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0028C3E" w14:paraId="2C078E63" wp14:textId="55207493">
      <w:pPr>
        <w:rPr>
          <w:b w:val="1"/>
          <w:bCs w:val="1"/>
          <w:i w:val="1"/>
          <w:iCs w:val="1"/>
        </w:rPr>
      </w:pPr>
      <w:bookmarkStart w:name="_GoBack" w:id="0"/>
      <w:bookmarkEnd w:id="0"/>
      <w:r w:rsidRPr="60028C3E" w:rsidR="45612BAF">
        <w:rPr>
          <w:b w:val="1"/>
          <w:bCs w:val="1"/>
          <w:i w:val="1"/>
          <w:iCs w:val="1"/>
        </w:rPr>
        <w:t>Write a critical analysis of one of the following pieces of ancient evidence.</w:t>
      </w:r>
    </w:p>
    <w:p w:rsidR="60028C3E" w:rsidP="60028C3E" w:rsidRDefault="60028C3E" w14:paraId="714D7E5C" w14:textId="4D1D3DF6">
      <w:pPr>
        <w:pStyle w:val="Normal"/>
      </w:pPr>
    </w:p>
    <w:p w:rsidR="40B4611D" w:rsidP="60028C3E" w:rsidRDefault="40B4611D" w14:paraId="446051AA" w14:textId="46305694">
      <w:pPr>
        <w:pStyle w:val="Normal"/>
      </w:pPr>
      <w:r w:rsidR="40B4611D">
        <w:rPr/>
        <w:t>Thucydides</w:t>
      </w:r>
      <w:r w:rsidR="70DBFADE">
        <w:rPr/>
        <w:t>, in 5.70-1</w:t>
      </w:r>
      <w:r w:rsidRPr="60028C3E">
        <w:rPr>
          <w:rStyle w:val="FootnoteReference"/>
        </w:rPr>
        <w:footnoteReference w:id="14653"/>
      </w:r>
      <w:r w:rsidR="70DBFADE">
        <w:rPr/>
        <w:t>,</w:t>
      </w:r>
      <w:r w:rsidR="506EF2CE">
        <w:rPr/>
        <w:t xml:space="preserve"> </w:t>
      </w:r>
      <w:r w:rsidR="506EF2CE">
        <w:rPr/>
        <w:t xml:space="preserve">provides in an introspective view of Greek warfare </w:t>
      </w:r>
      <w:r w:rsidR="5A844E32">
        <w:rPr/>
        <w:t xml:space="preserve">with insights to Greek battle tactics and </w:t>
      </w:r>
      <w:r w:rsidR="70342A33">
        <w:rPr/>
        <w:t>the role of the soldier.</w:t>
      </w:r>
    </w:p>
    <w:p w:rsidR="2B419EC0" w:rsidP="60028C3E" w:rsidRDefault="2B419EC0" w14:paraId="5DFE6427" w14:textId="47ABB26E">
      <w:pPr>
        <w:pStyle w:val="Normal"/>
        <w:rPr>
          <w:rFonts w:ascii="Calibri" w:hAnsi="Calibri" w:eastAsia="Calibri" w:cs="Calibri"/>
          <w:noProof w:val="0"/>
          <w:sz w:val="22"/>
          <w:szCs w:val="22"/>
          <w:lang w:val="en-US"/>
        </w:rPr>
      </w:pPr>
      <w:r w:rsidR="2B419EC0">
        <w:rPr/>
        <w:t xml:space="preserve"> Thucydides’ </w:t>
      </w:r>
      <w:r w:rsidR="36896580">
        <w:rPr/>
        <w:t>works began at the onset of the Peloponnesian war</w:t>
      </w:r>
      <w:r w:rsidRPr="60028C3E">
        <w:rPr>
          <w:rStyle w:val="FootnoteReference"/>
        </w:rPr>
        <w:footnoteReference w:id="7652"/>
      </w:r>
      <w:r w:rsidR="36896580">
        <w:rPr/>
        <w:t xml:space="preserve">, in 431 BCE, </w:t>
      </w:r>
      <w:r w:rsidR="4FECD1E0">
        <w:rPr/>
        <w:t xml:space="preserve">with him being a contemporary and an active Athenian general during the war until his exile. This </w:t>
      </w:r>
      <w:r w:rsidR="467E2D22">
        <w:rPr/>
        <w:t xml:space="preserve">would have allowed him to have access to many primary and anecdotal sources, </w:t>
      </w:r>
      <w:r w:rsidR="467E2D22">
        <w:rPr/>
        <w:t>perhaps his</w:t>
      </w:r>
      <w:r w:rsidR="467E2D22">
        <w:rPr/>
        <w:t xml:space="preserve"> position as an Athenian allowed for biases to creep into his </w:t>
      </w:r>
      <w:r w:rsidR="12B1EFF0">
        <w:rPr/>
        <w:t>recounting and interpretations of Spartan forces.</w:t>
      </w:r>
      <w:r w:rsidR="5D77D507">
        <w:rPr/>
        <w:t xml:space="preserve"> Lisa Irene Hau comments that “</w:t>
      </w:r>
      <w:r w:rsidRPr="60028C3E" w:rsidR="5D77D507">
        <w:rPr>
          <w:rFonts w:ascii="Calibri" w:hAnsi="Calibri" w:eastAsia="Calibri" w:cs="Calibri"/>
          <w:noProof w:val="0"/>
          <w:sz w:val="22"/>
          <w:szCs w:val="22"/>
          <w:lang w:val="en-US"/>
        </w:rPr>
        <w:t xml:space="preserve">his </w:t>
      </w:r>
      <w:r w:rsidRPr="60028C3E" w:rsidR="5D77D507">
        <w:rPr>
          <w:rFonts w:ascii="Calibri" w:hAnsi="Calibri" w:eastAsia="Calibri" w:cs="Calibri"/>
          <w:noProof w:val="0"/>
          <w:sz w:val="22"/>
          <w:szCs w:val="22"/>
          <w:lang w:val="en-US"/>
        </w:rPr>
        <w:t>History</w:t>
      </w:r>
      <w:r w:rsidRPr="60028C3E" w:rsidR="5D77D507">
        <w:rPr>
          <w:rFonts w:ascii="Calibri" w:hAnsi="Calibri" w:eastAsia="Calibri" w:cs="Calibri"/>
          <w:noProof w:val="0"/>
          <w:sz w:val="22"/>
          <w:szCs w:val="22"/>
          <w:lang w:val="en-US"/>
        </w:rPr>
        <w:t xml:space="preserve"> is not an ideal, objective account of events ‘just as they happened</w:t>
      </w:r>
      <w:r w:rsidRPr="60028C3E">
        <w:rPr>
          <w:rStyle w:val="FootnoteReference"/>
          <w:rFonts w:ascii="Calibri" w:hAnsi="Calibri" w:eastAsia="Calibri" w:cs="Calibri"/>
          <w:noProof w:val="0"/>
          <w:sz w:val="22"/>
          <w:szCs w:val="22"/>
          <w:lang w:val="en-US"/>
        </w:rPr>
        <w:footnoteReference w:id="3185"/>
      </w:r>
      <w:r w:rsidRPr="60028C3E" w:rsidR="5D77D507">
        <w:rPr>
          <w:rFonts w:ascii="Calibri" w:hAnsi="Calibri" w:eastAsia="Calibri" w:cs="Calibri"/>
          <w:noProof w:val="0"/>
          <w:sz w:val="22"/>
          <w:szCs w:val="22"/>
          <w:lang w:val="en-US"/>
        </w:rPr>
        <w:t>”</w:t>
      </w:r>
      <w:r w:rsidRPr="60028C3E" w:rsidR="7100639A">
        <w:rPr>
          <w:rFonts w:ascii="Calibri" w:hAnsi="Calibri" w:eastAsia="Calibri" w:cs="Calibri"/>
          <w:noProof w:val="0"/>
          <w:sz w:val="22"/>
          <w:szCs w:val="22"/>
          <w:lang w:val="en-US"/>
        </w:rPr>
        <w:t xml:space="preserve"> which goes to highlight that perhaps because through modern interpretations of Thucydides’ work as a piece of literature</w:t>
      </w:r>
      <w:r w:rsidRPr="60028C3E" w:rsidR="781D49E8">
        <w:rPr>
          <w:rFonts w:ascii="Calibri" w:hAnsi="Calibri" w:eastAsia="Calibri" w:cs="Calibri"/>
          <w:noProof w:val="0"/>
          <w:sz w:val="22"/>
          <w:szCs w:val="22"/>
          <w:lang w:val="en-US"/>
        </w:rPr>
        <w:t xml:space="preserve"> it allows for instances of ‘artistic credit’</w:t>
      </w:r>
      <w:r w:rsidRPr="60028C3E">
        <w:rPr>
          <w:rStyle w:val="FootnoteReference"/>
          <w:rFonts w:ascii="Calibri" w:hAnsi="Calibri" w:eastAsia="Calibri" w:cs="Calibri"/>
          <w:noProof w:val="0"/>
          <w:sz w:val="22"/>
          <w:szCs w:val="22"/>
          <w:lang w:val="en-US"/>
        </w:rPr>
        <w:footnoteReference w:id="6714"/>
      </w:r>
      <w:r w:rsidRPr="60028C3E" w:rsidR="7F5447F3">
        <w:rPr>
          <w:rFonts w:ascii="Calibri" w:hAnsi="Calibri" w:eastAsia="Calibri" w:cs="Calibri"/>
          <w:noProof w:val="0"/>
          <w:sz w:val="22"/>
          <w:szCs w:val="22"/>
          <w:lang w:val="en-US"/>
        </w:rPr>
        <w:t>. While questions of Thucydides’ authenticity and biasness are in question</w:t>
      </w:r>
      <w:r w:rsidRPr="60028C3E" w:rsidR="067B29A8">
        <w:rPr>
          <w:rFonts w:ascii="Calibri" w:hAnsi="Calibri" w:eastAsia="Calibri" w:cs="Calibri"/>
          <w:noProof w:val="0"/>
          <w:sz w:val="22"/>
          <w:szCs w:val="22"/>
          <w:lang w:val="en-US"/>
        </w:rPr>
        <w:t>, Thucydides himself addre</w:t>
      </w:r>
      <w:r w:rsidRPr="60028C3E" w:rsidR="067B29A8">
        <w:rPr>
          <w:rFonts w:ascii="Calibri" w:hAnsi="Calibri" w:eastAsia="Calibri" w:cs="Calibri" w:asciiTheme="minorAscii" w:hAnsiTheme="minorAscii" w:eastAsiaTheme="minorAscii" w:cstheme="minorAscii"/>
          <w:noProof w:val="0"/>
          <w:sz w:val="22"/>
          <w:szCs w:val="22"/>
          <w:lang w:val="en-US"/>
        </w:rPr>
        <w:t xml:space="preserve">sses this, </w:t>
      </w:r>
      <w:r w:rsidRPr="60028C3E" w:rsidR="067B29A8">
        <w:rPr>
          <w:rFonts w:ascii="Calibri" w:hAnsi="Calibri" w:eastAsia="Calibri" w:cs="Calibri" w:asciiTheme="minorAscii" w:hAnsiTheme="minorAscii" w:eastAsiaTheme="minorAscii" w:cstheme="minorAscii"/>
          <w:noProof w:val="0"/>
          <w:sz w:val="22"/>
          <w:szCs w:val="22"/>
          <w:lang w:val="en-US"/>
        </w:rPr>
        <w:t>perhaps wary</w:t>
      </w:r>
      <w:r w:rsidRPr="60028C3E" w:rsidR="067B29A8">
        <w:rPr>
          <w:rFonts w:ascii="Calibri" w:hAnsi="Calibri" w:eastAsia="Calibri" w:cs="Calibri" w:asciiTheme="minorAscii" w:hAnsiTheme="minorAscii" w:eastAsiaTheme="minorAscii" w:cstheme="minorAscii"/>
          <w:noProof w:val="0"/>
          <w:sz w:val="22"/>
          <w:szCs w:val="22"/>
          <w:lang w:val="en-US"/>
        </w:rPr>
        <w:t xml:space="preserve"> of similar claims during his lifetime or for future scholars looking upon his work</w:t>
      </w:r>
      <w:r w:rsidRPr="60028C3E" w:rsidR="192ABAB2">
        <w:rPr>
          <w:rFonts w:ascii="Calibri" w:hAnsi="Calibri" w:eastAsia="Calibri" w:cs="Calibri" w:asciiTheme="minorAscii" w:hAnsiTheme="minorAscii" w:eastAsiaTheme="minorAscii" w:cstheme="minorAscii"/>
          <w:noProof w:val="0"/>
          <w:sz w:val="22"/>
          <w:szCs w:val="22"/>
          <w:lang w:val="en-US"/>
        </w:rPr>
        <w:t>s; “</w:t>
      </w:r>
      <w:r w:rsidRPr="60028C3E" w:rsidR="192AB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 have written my work, not as an essay which is to win the applause of the moment, but as a possession for all time.</w:t>
      </w:r>
      <w:r w:rsidRPr="60028C3E">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footnoteReference w:id="11789"/>
      </w:r>
      <w:r w:rsidRPr="60028C3E" w:rsidR="192AB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6DA07C61" w:rsidP="60028C3E" w:rsidRDefault="6DA07C61" w14:paraId="62DABC8D" w14:textId="518A91D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0028C3E" w:rsidR="6DA07C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Thucydides</w:t>
      </w:r>
      <w:r w:rsidRPr="60028C3E" w:rsidR="2D92CA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began the works on the Peloponnesian</w:t>
      </w:r>
      <w:r w:rsidRPr="60028C3E" w:rsidR="653C75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Wars with the belief that </w:t>
      </w:r>
      <w:r w:rsidRPr="60028C3E" w:rsidR="4753D4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they were </w:t>
      </w:r>
      <w:r w:rsidRPr="60028C3E" w:rsidR="1ECB05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an incredibly important piece of Greek history; </w:t>
      </w:r>
      <w:r w:rsidRPr="60028C3E" w:rsidR="1A191A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“believing that it would be a great war, and more worthy of relation than any that had preceded it.</w:t>
      </w:r>
      <w:r w:rsidRPr="60028C3E">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footnoteReference w:id="23687"/>
      </w:r>
      <w:r w:rsidRPr="60028C3E" w:rsidR="1A191A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0028C3E" w:rsidR="337747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This is encapsulated in his works as Thucydides focuses heavily on the War's chronology, allowing ancient and modern historians to follow the War comprehensively.</w:t>
      </w:r>
      <w:r w:rsidRPr="60028C3E" w:rsidR="4ABFD5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0028C3E" w:rsidR="3BA2A5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5.70 begins to outline the marching armies of Sparta and Greece before they meet at the Ba</w:t>
      </w:r>
      <w:r w:rsidRPr="60028C3E" w:rsidR="273E12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ttle of Mantinea</w:t>
      </w:r>
      <w:r w:rsidRPr="60028C3E" w:rsidR="0CF71B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section 70 can be used to examine the psyche and tactics of </w:t>
      </w:r>
      <w:r w:rsidRPr="60028C3E" w:rsidR="2AEAEF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 Greek soldiers</w:t>
      </w:r>
      <w:r w:rsidRPr="60028C3E" w:rsidR="6952D3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perhaps Thucydides’ own battlefield experience goes </w:t>
      </w:r>
      <w:r w:rsidRPr="60028C3E" w:rsidR="1A8356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lengths</w:t>
      </w:r>
      <w:r w:rsidRPr="60028C3E" w:rsidR="6952D3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to create a cohesive account of the battles, allowing</w:t>
      </w:r>
      <w:r w:rsidRPr="60028C3E" w:rsidR="03288C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his tenure as a general to touch on aspects of the soldier experience whereas other historians </w:t>
      </w:r>
      <w:r w:rsidRPr="60028C3E" w:rsidR="6D089B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,such as Diodoros or Herodotus, </w:t>
      </w:r>
      <w:r w:rsidRPr="60028C3E" w:rsidR="03288C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who </w:t>
      </w:r>
      <w:r w:rsidRPr="60028C3E" w:rsidR="1820E5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did not have military experience</w:t>
      </w:r>
      <w:r w:rsidRPr="60028C3E" w:rsidR="571EBC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could not expand on such ideas</w:t>
      </w:r>
      <w:r w:rsidRPr="60028C3E" w:rsidR="1820E5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60028C3E" w:rsidR="2B95BE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0028C3E" w:rsidR="6DDE5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This can be highlighted in the last line of chapter 70:</w:t>
      </w:r>
      <w:r w:rsidRPr="60028C3E" w:rsidR="466FB7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“but is meant to make them advance evenly, stepping in time, without breaking their order, as large armies are apt to do in the moment of engaging.</w:t>
      </w:r>
      <w:r w:rsidRPr="60028C3E">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footnoteReference w:id="24395"/>
      </w:r>
      <w:r w:rsidRPr="60028C3E" w:rsidR="466FB7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60028C3E" w:rsidR="05149C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Thucydides not only highlights the importance of a tight and steady formation but also engages with the human aspect of being a soldier; the fear before going into battle, your fate being </w:t>
      </w:r>
      <w:r w:rsidRPr="60028C3E" w:rsidR="43B981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only left to you and your surrounding companions.</w:t>
      </w:r>
      <w:r w:rsidRPr="60028C3E" w:rsidR="3073E6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p>
    <w:p w:rsidR="3073E6B4" w:rsidP="60028C3E" w:rsidRDefault="3073E6B4" w14:paraId="18EFD061" w14:textId="58A1FC7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0028C3E" w:rsidR="3073E6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Furthermore, section 70 touches lightly </w:t>
      </w:r>
      <w:r w:rsidRPr="60028C3E" w:rsidR="4DC751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upon Thucydides’ decision to remove religion as an active aspect in war. </w:t>
      </w:r>
      <w:r w:rsidRPr="60028C3E" w:rsidR="2A2834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Thucydides</w:t>
      </w:r>
      <w:r w:rsidRPr="60028C3E" w:rsidR="2A2834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perhaps, </w:t>
      </w:r>
      <w:r w:rsidRPr="60028C3E" w:rsidR="03A1A6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has</w:t>
      </w:r>
      <w:r w:rsidRPr="60028C3E" w:rsidR="03A1A6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 cynical view upon the gods: “Supplications in the temples, divinations, and so forth were found equally futile</w:t>
      </w:r>
      <w:r w:rsidRPr="60028C3E" w:rsidR="00EB70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60028C3E">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footnoteReference w:id="1179"/>
      </w:r>
      <w:r w:rsidRPr="60028C3E" w:rsidR="03A1A6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60028C3E" w:rsidR="38AD46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in reference </w:t>
      </w:r>
      <w:r w:rsidRPr="60028C3E" w:rsidR="55F4F6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to </w:t>
      </w:r>
      <w:r w:rsidRPr="60028C3E" w:rsidR="38AD46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 devastating plague which arrived </w:t>
      </w:r>
      <w:r w:rsidRPr="60028C3E" w:rsidR="38AD46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into</w:t>
      </w:r>
      <w:r w:rsidRPr="60028C3E" w:rsidR="38AD46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Athens in 430 BCE</w:t>
      </w:r>
      <w:r w:rsidRPr="60028C3E" w:rsidR="532A6F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60028C3E" w:rsidR="0CD34A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Lisa Kallet notes that the plague would have commonly been associated with the god Apollo,</w:t>
      </w:r>
      <w:r w:rsidRPr="60028C3E" w:rsidR="443809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that Thucydides makes efforts to not attribute the gods to the plague, citing ideas of the Peloponnesians </w:t>
      </w:r>
      <w:r w:rsidRPr="60028C3E" w:rsidR="4A9EA0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poisoning</w:t>
      </w:r>
      <w:r w:rsidRPr="60028C3E" w:rsidR="443809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water</w:t>
      </w:r>
      <w:r w:rsidRPr="60028C3E">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footnoteReference w:id="32332"/>
      </w:r>
      <w:r w:rsidRPr="60028C3E" w:rsidR="18AD0E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60028C3E" w:rsidR="510536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0028C3E" w:rsidR="61B47E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Kallet highlights </w:t>
      </w:r>
      <w:r w:rsidRPr="60028C3E" w:rsidR="02C7E8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Thucydides’ </w:t>
      </w:r>
      <w:r w:rsidRPr="60028C3E" w:rsidR="7A8127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refusal to solely name the gods as the arbiters of their troubles, when </w:t>
      </w:r>
      <w:r w:rsidRPr="60028C3E" w:rsidR="7A8127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perhaps as</w:t>
      </w:r>
      <w:r w:rsidRPr="60028C3E" w:rsidR="7A8127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many of his contemporaries would have </w:t>
      </w:r>
      <w:r w:rsidRPr="60028C3E" w:rsidR="00E7BE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done so</w:t>
      </w:r>
      <w:r w:rsidRPr="60028C3E">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footnoteReference w:id="27129"/>
      </w:r>
      <w:r w:rsidRPr="60028C3E" w:rsidR="00E7BE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60028C3E" w:rsidR="66A0C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Therefore, it can be inferred that when presented with ideas of </w:t>
      </w:r>
      <w:r w:rsidRPr="60028C3E" w:rsidR="062479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soldiership</w:t>
      </w:r>
      <w:r w:rsidRPr="60028C3E" w:rsidR="66A0C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Thucydides took a </w:t>
      </w:r>
      <w:r w:rsidRPr="60028C3E" w:rsidR="258A05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more ‘human’ approach. This was already seen in section 70</w:t>
      </w:r>
      <w:r w:rsidRPr="60028C3E" w:rsidR="16CE7B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with ideas of </w:t>
      </w:r>
      <w:r w:rsidRPr="60028C3E" w:rsidR="03807F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fear and trepidation when in the face of the enemy and is mentioned earlier</w:t>
      </w:r>
      <w:r w:rsidRPr="60028C3E" w:rsidR="62D2F1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with the Spartan flute player, “that has nothing to do with religion</w:t>
      </w:r>
      <w:r w:rsidRPr="60028C3E" w:rsidR="534F8F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60028C3E">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footnoteReference w:id="27365"/>
      </w:r>
      <w:r w:rsidRPr="60028C3E" w:rsidR="62D2F1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60028C3E" w:rsidR="00CA49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it is shown here that Thucydides’ ideas of religious are mostly removed from his own philosophy</w:t>
      </w:r>
      <w:r w:rsidRPr="60028C3E" w:rsidR="62B29D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0028C3E" w:rsidR="3F6F2E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This is</w:t>
      </w:r>
      <w:r w:rsidRPr="60028C3E" w:rsidR="1681A6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0028C3E" w:rsidR="1795D5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distinguished from historians such</w:t>
      </w:r>
      <w:r w:rsidRPr="60028C3E" w:rsidR="103739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0028C3E" w:rsidR="103739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as </w:t>
      </w:r>
      <w:r w:rsidRPr="60028C3E" w:rsidR="1795D5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Herodotus</w:t>
      </w:r>
      <w:r w:rsidRPr="60028C3E" w:rsidR="1795D5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who </w:t>
      </w:r>
      <w:r w:rsidRPr="60028C3E" w:rsidR="76E848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was 24 years older than Thucydides, who cited the Greeks as actively practicing in religious rites and rituals </w:t>
      </w:r>
      <w:r w:rsidRPr="60028C3E" w:rsidR="2BF5D4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during wartime and actively attributes divine intervention during conflicts</w:t>
      </w:r>
      <w:r w:rsidRPr="60028C3E">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footnoteReference w:id="4485"/>
      </w:r>
      <w:r w:rsidRPr="60028C3E" w:rsidR="2BF5D4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60028C3E" w:rsidR="4F4C18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p>
    <w:p w:rsidR="166BFB0B" w:rsidP="60028C3E" w:rsidRDefault="166BFB0B" w14:paraId="13EE92BE" w14:textId="3445C0F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0028C3E" w:rsidR="166BFB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Thucydides in 5.71 shifts the narrative from the armies in preparation </w:t>
      </w:r>
      <w:r w:rsidRPr="60028C3E" w:rsidR="3A45B7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for the battle to the battle scene, he also shifts the narrative from the soldiers, as a unit, to the singular King Ag</w:t>
      </w:r>
      <w:r w:rsidRPr="60028C3E" w:rsidR="010634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is of Sparta.</w:t>
      </w:r>
      <w:r w:rsidRPr="60028C3E" w:rsidR="0093E7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Thucydides knowledge of the battlefield and his experience are further shown in this chapter</w:t>
      </w:r>
      <w:r w:rsidRPr="60028C3E" w:rsidR="0B945B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“because fear makes each man do his best to shelter his unarmed side with the shield of the man next him on the right, thinking that the closer the shields are locked together the better will he be protected.</w:t>
      </w:r>
      <w:r w:rsidRPr="60028C3E">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footnoteReference w:id="9657"/>
      </w:r>
      <w:r w:rsidRPr="60028C3E" w:rsidR="0B945B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60028C3E" w:rsidR="2A3AD2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Again, Thucydides’ experience is </w:t>
      </w:r>
      <w:r w:rsidRPr="60028C3E" w:rsidR="30A169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thoroughly</w:t>
      </w:r>
      <w:r w:rsidRPr="60028C3E" w:rsidR="2A3AD2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shown, humanizing the soldiers of Sparta and Athens.</w:t>
      </w:r>
      <w:r w:rsidRPr="60028C3E" w:rsidR="1EB333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This furtherly allows us to think about Greek warfare with </w:t>
      </w:r>
      <w:r w:rsidRPr="60028C3E" w:rsidR="17CD61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Thucydides introducing overa</w:t>
      </w:r>
      <w:r w:rsidRPr="60028C3E" w:rsidR="43C2B5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rching themes of moral</w:t>
      </w:r>
      <w:r w:rsidRPr="60028C3E" w:rsidR="5E6B23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w:t>
      </w:r>
      <w:r w:rsidRPr="60028C3E" w:rsidR="43C2B5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fear and ideas of the singular soldier, which </w:t>
      </w:r>
      <w:r w:rsidRPr="60028C3E" w:rsidR="02679AF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are not focused upon in other pieces of ancient historical work.</w:t>
      </w:r>
      <w:r w:rsidRPr="60028C3E" w:rsidR="612DFE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This is lent to Thucydides’ generalship</w:t>
      </w:r>
      <w:r w:rsidRPr="60028C3E" w:rsidR="338D68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w:t>
      </w:r>
      <w:r w:rsidRPr="60028C3E" w:rsidR="338D68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perhaps removal</w:t>
      </w:r>
      <w:r w:rsidRPr="60028C3E" w:rsidR="338D68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of religious superstitions in war, allowing him a more introspective view on how the </w:t>
      </w:r>
      <w:r w:rsidRPr="60028C3E" w:rsidR="72324D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singular soldier can affect and is affected by the tides of war</w:t>
      </w:r>
      <w:r w:rsidRPr="60028C3E" w:rsidR="6057C5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1981B04D" w:rsidP="60028C3E" w:rsidRDefault="1981B04D" w14:paraId="21353F65" w14:textId="1661478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0028C3E" w:rsidR="1981B0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In conclusion, Thucydides </w:t>
      </w:r>
      <w:r w:rsidRPr="60028C3E" w:rsidR="1981B0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provides</w:t>
      </w:r>
      <w:r w:rsidRPr="60028C3E" w:rsidR="1981B0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 unique account of the Peloponnesian Wars due to him being a contemporary and active general during the war.</w:t>
      </w:r>
      <w:r w:rsidRPr="60028C3E" w:rsidR="325EA4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Unlike other historians, such as his contemporary Herodotus who attributes</w:t>
      </w:r>
      <w:r w:rsidRPr="60028C3E" w:rsidR="1817AD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factors of battles to the gods, </w:t>
      </w:r>
      <w:r w:rsidRPr="60028C3E" w:rsidR="56BC92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Thucydides </w:t>
      </w:r>
      <w:r w:rsidRPr="60028C3E" w:rsidR="339305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stays pragmatic</w:t>
      </w:r>
      <w:r w:rsidRPr="60028C3E" w:rsidR="5A736A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refuses to attribute victories, </w:t>
      </w:r>
      <w:bookmarkStart w:name="_Int_Xbkxg4Rv" w:id="538794186"/>
      <w:r w:rsidRPr="60028C3E" w:rsidR="5A736A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defeats</w:t>
      </w:r>
      <w:bookmarkEnd w:id="538794186"/>
      <w:r w:rsidRPr="60028C3E" w:rsidR="5A736A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or tragedies to the gods, </w:t>
      </w:r>
      <w:bookmarkStart w:name="_Int_hR869Nkx" w:id="1342721277"/>
      <w:r w:rsidRPr="60028C3E" w:rsidR="5A736A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perhaps even</w:t>
      </w:r>
      <w:bookmarkEnd w:id="1342721277"/>
      <w:r w:rsidRPr="60028C3E" w:rsidR="5A736A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 the face of his fellow Athenians.</w:t>
      </w:r>
    </w:p>
    <w:p w:rsidR="60028C3E" w:rsidP="60028C3E" w:rsidRDefault="60028C3E" w14:paraId="27D6C5E3" w14:textId="29A0DD8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17934C75" w:rsidP="60028C3E" w:rsidRDefault="17934C75" w14:paraId="775D85AA" w14:textId="1CE901FB">
      <w:pPr>
        <w:pStyle w:val="Normal"/>
        <w:spacing w:line="360" w:lineRule="auto"/>
        <w:jc w:val="left"/>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pPr>
      <w:r w:rsidRPr="60028C3E" w:rsidR="17934C7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Ancient Sources </w:t>
      </w:r>
    </w:p>
    <w:p w:rsidR="2EA8B58B" w:rsidP="60028C3E" w:rsidRDefault="2EA8B58B" w14:paraId="61872018" w14:textId="027F029C">
      <w:pPr>
        <w:pStyle w:val="Normal"/>
        <w:spacing w:line="360" w:lineRule="auto"/>
        <w:jc w:val="left"/>
        <w:rPr>
          <w:rFonts w:ascii="Calibri" w:hAnsi="Calibri" w:eastAsia="Calibri" w:cs="Calibri" w:asciiTheme="minorAscii" w:hAnsiTheme="minorAscii" w:eastAsiaTheme="minorAscii" w:cstheme="minorAscii"/>
          <w:noProof w:val="0"/>
          <w:sz w:val="20"/>
          <w:szCs w:val="20"/>
          <w:lang w:val="en-US"/>
        </w:rPr>
      </w:pPr>
      <w:r w:rsidRPr="60028C3E" w:rsidR="2EA8B58B">
        <w:rPr>
          <w:rFonts w:ascii="Calibri" w:hAnsi="Calibri" w:eastAsia="Calibri" w:cs="Calibri" w:asciiTheme="minorAscii" w:hAnsiTheme="minorAscii" w:eastAsiaTheme="minorAscii" w:cstheme="minorAscii"/>
          <w:noProof w:val="0"/>
          <w:sz w:val="22"/>
          <w:szCs w:val="22"/>
          <w:lang w:val="en-US"/>
        </w:rPr>
        <w:t xml:space="preserve">Dent, J.M. (1910). </w:t>
      </w:r>
      <w:r w:rsidRPr="60028C3E" w:rsidR="2EA8B58B">
        <w:rPr>
          <w:rFonts w:ascii="Calibri" w:hAnsi="Calibri" w:eastAsia="Calibri" w:cs="Calibri" w:asciiTheme="minorAscii" w:hAnsiTheme="minorAscii" w:eastAsiaTheme="minorAscii" w:cstheme="minorAscii"/>
          <w:i w:val="1"/>
          <w:iCs w:val="1"/>
          <w:noProof w:val="0"/>
          <w:sz w:val="22"/>
          <w:szCs w:val="22"/>
          <w:lang w:val="en-US"/>
        </w:rPr>
        <w:t>Thucydides, The Peloponnesian War</w:t>
      </w:r>
      <w:r w:rsidRPr="60028C3E" w:rsidR="2EA8B58B">
        <w:rPr>
          <w:rFonts w:ascii="Calibri" w:hAnsi="Calibri" w:eastAsia="Calibri" w:cs="Calibri" w:asciiTheme="minorAscii" w:hAnsiTheme="minorAscii" w:eastAsiaTheme="minorAscii" w:cstheme="minorAscii"/>
          <w:noProof w:val="0"/>
          <w:sz w:val="22"/>
          <w:szCs w:val="22"/>
          <w:lang w:val="en-US"/>
        </w:rPr>
        <w:t xml:space="preserve"> [online] </w:t>
      </w:r>
      <w:hyperlink>
        <w:r w:rsidRPr="60028C3E" w:rsidR="2EA8B58B">
          <w:rPr>
            <w:rStyle w:val="Hyperlink"/>
            <w:rFonts w:ascii="Calibri" w:hAnsi="Calibri" w:eastAsia="Calibri" w:cs="Calibri" w:asciiTheme="minorAscii" w:hAnsiTheme="minorAscii" w:eastAsiaTheme="minorAscii" w:cstheme="minorAscii"/>
            <w:noProof w:val="0"/>
            <w:sz w:val="22"/>
            <w:szCs w:val="22"/>
            <w:lang w:val="en-US"/>
          </w:rPr>
          <w:t>www.perseus.tufts.edu</w:t>
        </w:r>
      </w:hyperlink>
      <w:r w:rsidRPr="60028C3E" w:rsidR="2EA8B58B">
        <w:rPr>
          <w:rFonts w:ascii="Calibri" w:hAnsi="Calibri" w:eastAsia="Calibri" w:cs="Calibri" w:asciiTheme="minorAscii" w:hAnsiTheme="minorAscii" w:eastAsiaTheme="minorAscii" w:cstheme="minorAscii"/>
          <w:noProof w:val="0"/>
          <w:sz w:val="22"/>
          <w:szCs w:val="22"/>
          <w:lang w:val="en-US"/>
        </w:rPr>
        <w:t xml:space="preserve">. Available at: </w:t>
      </w:r>
      <w:hyperlink r:id="Rfc657588dea34eb9">
        <w:r w:rsidRPr="60028C3E" w:rsidR="2EA8B58B">
          <w:rPr>
            <w:rStyle w:val="Hyperlink"/>
            <w:rFonts w:ascii="Calibri" w:hAnsi="Calibri" w:eastAsia="Calibri" w:cs="Calibri" w:asciiTheme="minorAscii" w:hAnsiTheme="minorAscii" w:eastAsiaTheme="minorAscii" w:cstheme="minorAscii"/>
            <w:noProof w:val="0"/>
            <w:sz w:val="22"/>
            <w:szCs w:val="22"/>
            <w:lang w:val="en-US"/>
          </w:rPr>
          <w:t>http://www.perseus.tufts.edu/hopper/text?doc=Perseus%3Atext%3A1999.01.0200%3Abook%3D5%3Achapter%3D71</w:t>
        </w:r>
      </w:hyperlink>
      <w:r w:rsidRPr="60028C3E" w:rsidR="2EA8B58B">
        <w:rPr>
          <w:rFonts w:ascii="Calibri" w:hAnsi="Calibri" w:eastAsia="Calibri" w:cs="Calibri" w:asciiTheme="minorAscii" w:hAnsiTheme="minorAscii" w:eastAsiaTheme="minorAscii" w:cstheme="minorAscii"/>
          <w:noProof w:val="0"/>
          <w:sz w:val="22"/>
          <w:szCs w:val="22"/>
          <w:lang w:val="en-US"/>
        </w:rPr>
        <w:t xml:space="preserve"> [Accessed 2 Mar. 2023].</w:t>
      </w:r>
    </w:p>
    <w:p w:rsidR="6425BB95" w:rsidP="60028C3E" w:rsidRDefault="6425BB95" w14:paraId="71889DE8" w14:textId="3FD78142">
      <w:pPr>
        <w:pStyle w:val="Normal"/>
        <w:spacing w:line="360" w:lineRule="auto"/>
        <w:jc w:val="left"/>
        <w:rPr>
          <w:rFonts w:ascii="Calibri" w:hAnsi="Calibri" w:eastAsia="Calibri" w:cs="Calibri" w:asciiTheme="minorAscii" w:hAnsiTheme="minorAscii" w:eastAsiaTheme="minorAscii" w:cstheme="minorAscii"/>
          <w:noProof w:val="0"/>
          <w:sz w:val="22"/>
          <w:szCs w:val="22"/>
          <w:lang w:val="en-US"/>
        </w:rPr>
      </w:pPr>
      <w:r w:rsidRPr="60028C3E" w:rsidR="6425BB95">
        <w:rPr>
          <w:rFonts w:ascii="Calibri" w:hAnsi="Calibri" w:eastAsia="Calibri" w:cs="Calibri" w:asciiTheme="minorAscii" w:hAnsiTheme="minorAscii" w:eastAsiaTheme="minorAscii" w:cstheme="minorAscii"/>
          <w:i w:val="1"/>
          <w:iCs w:val="1"/>
          <w:noProof w:val="0"/>
          <w:sz w:val="22"/>
          <w:szCs w:val="22"/>
          <w:lang w:val="en-US"/>
        </w:rPr>
        <w:t>Secondary Sources</w:t>
      </w:r>
    </w:p>
    <w:p w:rsidR="2EA8B58B" w:rsidP="60028C3E" w:rsidRDefault="2EA8B58B" w14:paraId="7E720D1C" w14:textId="7163A259">
      <w:pPr>
        <w:spacing w:line="360" w:lineRule="auto"/>
        <w:rPr>
          <w:rFonts w:ascii="Calibri" w:hAnsi="Calibri" w:eastAsia="Calibri" w:cs="Calibri" w:asciiTheme="minorAscii" w:hAnsiTheme="minorAscii" w:eastAsiaTheme="minorAscii" w:cstheme="minorAscii"/>
          <w:noProof w:val="0"/>
          <w:sz w:val="20"/>
          <w:szCs w:val="20"/>
          <w:lang w:val="en-US"/>
        </w:rPr>
      </w:pPr>
      <w:r w:rsidRPr="60028C3E" w:rsidR="2EA8B58B">
        <w:rPr>
          <w:rFonts w:ascii="Calibri" w:hAnsi="Calibri" w:eastAsia="Calibri" w:cs="Calibri" w:asciiTheme="minorAscii" w:hAnsiTheme="minorAscii" w:eastAsiaTheme="minorAscii" w:cstheme="minorAscii"/>
          <w:noProof w:val="0"/>
          <w:sz w:val="22"/>
          <w:szCs w:val="22"/>
          <w:lang w:val="en-US"/>
        </w:rPr>
        <w:t xml:space="preserve">Hau, L.I. (2016). Thucydides. In: </w:t>
      </w:r>
      <w:r w:rsidRPr="60028C3E" w:rsidR="2EA8B58B">
        <w:rPr>
          <w:rFonts w:ascii="Calibri" w:hAnsi="Calibri" w:eastAsia="Calibri" w:cs="Calibri" w:asciiTheme="minorAscii" w:hAnsiTheme="minorAscii" w:eastAsiaTheme="minorAscii" w:cstheme="minorAscii"/>
          <w:i w:val="1"/>
          <w:iCs w:val="1"/>
          <w:noProof w:val="0"/>
          <w:sz w:val="22"/>
          <w:szCs w:val="22"/>
          <w:lang w:val="en-US"/>
        </w:rPr>
        <w:t>Moral History from Herodotus to Diodorus Siculus</w:t>
      </w:r>
      <w:r w:rsidRPr="60028C3E" w:rsidR="2EA8B58B">
        <w:rPr>
          <w:rFonts w:ascii="Calibri" w:hAnsi="Calibri" w:eastAsia="Calibri" w:cs="Calibri" w:asciiTheme="minorAscii" w:hAnsiTheme="minorAscii" w:eastAsiaTheme="minorAscii" w:cstheme="minorAscii"/>
          <w:noProof w:val="0"/>
          <w:sz w:val="22"/>
          <w:szCs w:val="22"/>
          <w:lang w:val="en-US"/>
        </w:rPr>
        <w:t xml:space="preserve">. [online] Edinburgh University Press, p.194. Available at: </w:t>
      </w:r>
      <w:hyperlink r:id="Rb2d9a173641541e2">
        <w:r w:rsidRPr="60028C3E" w:rsidR="2EA8B58B">
          <w:rPr>
            <w:rStyle w:val="Hyperlink"/>
            <w:rFonts w:ascii="Calibri" w:hAnsi="Calibri" w:eastAsia="Calibri" w:cs="Calibri" w:asciiTheme="minorAscii" w:hAnsiTheme="minorAscii" w:eastAsiaTheme="minorAscii" w:cstheme="minorAscii"/>
            <w:noProof w:val="0"/>
            <w:sz w:val="22"/>
            <w:szCs w:val="22"/>
            <w:lang w:val="en-US"/>
          </w:rPr>
          <w:t>https://www.jstor.org/stable/10.3366/j.ctt1bh2hwv.10</w:t>
        </w:r>
      </w:hyperlink>
      <w:r w:rsidRPr="60028C3E" w:rsidR="2EA8B58B">
        <w:rPr>
          <w:rFonts w:ascii="Calibri" w:hAnsi="Calibri" w:eastAsia="Calibri" w:cs="Calibri" w:asciiTheme="minorAscii" w:hAnsiTheme="minorAscii" w:eastAsiaTheme="minorAscii" w:cstheme="minorAscii"/>
          <w:noProof w:val="0"/>
          <w:sz w:val="22"/>
          <w:szCs w:val="22"/>
          <w:lang w:val="en-US"/>
        </w:rPr>
        <w:t xml:space="preserve"> [Accessed 2 Mar. 2023].</w:t>
      </w:r>
    </w:p>
    <w:p w:rsidR="2EA8B58B" w:rsidP="60028C3E" w:rsidRDefault="2EA8B58B" w14:paraId="31A89DF5" w14:textId="57C010A1">
      <w:pPr>
        <w:spacing w:line="360" w:lineRule="auto"/>
        <w:rPr>
          <w:rFonts w:ascii="Calibri" w:hAnsi="Calibri" w:eastAsia="Calibri" w:cs="Calibri" w:asciiTheme="minorAscii" w:hAnsiTheme="minorAscii" w:eastAsiaTheme="minorAscii" w:cstheme="minorAscii"/>
          <w:noProof w:val="0"/>
          <w:sz w:val="20"/>
          <w:szCs w:val="20"/>
          <w:lang w:val="en-US"/>
        </w:rPr>
      </w:pPr>
      <w:r w:rsidRPr="60028C3E" w:rsidR="2EA8B58B">
        <w:rPr>
          <w:rFonts w:ascii="Calibri" w:hAnsi="Calibri" w:eastAsia="Calibri" w:cs="Calibri" w:asciiTheme="minorAscii" w:hAnsiTheme="minorAscii" w:eastAsiaTheme="minorAscii" w:cstheme="minorAscii"/>
          <w:noProof w:val="0"/>
          <w:sz w:val="22"/>
          <w:szCs w:val="22"/>
          <w:lang w:val="en-US"/>
        </w:rPr>
        <w:t xml:space="preserve">Kagan, D. (1975). The Speeches in Thucydides and the Mytilene Debate. </w:t>
      </w:r>
      <w:r w:rsidRPr="60028C3E" w:rsidR="2EA8B58B">
        <w:rPr>
          <w:rFonts w:ascii="Calibri" w:hAnsi="Calibri" w:eastAsia="Calibri" w:cs="Calibri" w:asciiTheme="minorAscii" w:hAnsiTheme="minorAscii" w:eastAsiaTheme="minorAscii" w:cstheme="minorAscii"/>
          <w:i w:val="1"/>
          <w:iCs w:val="1"/>
          <w:noProof w:val="0"/>
          <w:sz w:val="22"/>
          <w:szCs w:val="22"/>
          <w:lang w:val="en-US"/>
        </w:rPr>
        <w:t>Yale Classical Studies</w:t>
      </w:r>
      <w:r w:rsidRPr="60028C3E" w:rsidR="2EA8B58B">
        <w:rPr>
          <w:rFonts w:ascii="Calibri" w:hAnsi="Calibri" w:eastAsia="Calibri" w:cs="Calibri" w:asciiTheme="minorAscii" w:hAnsiTheme="minorAscii" w:eastAsiaTheme="minorAscii" w:cstheme="minorAscii"/>
          <w:noProof w:val="0"/>
          <w:sz w:val="22"/>
          <w:szCs w:val="22"/>
          <w:lang w:val="en-US"/>
        </w:rPr>
        <w:t>, pp.24:71-94.</w:t>
      </w:r>
    </w:p>
    <w:p w:rsidR="2EA8B58B" w:rsidP="60028C3E" w:rsidRDefault="2EA8B58B" w14:paraId="0FE4A1B3" w14:textId="1261B4B7">
      <w:pPr>
        <w:spacing w:line="360" w:lineRule="auto"/>
        <w:rPr>
          <w:rFonts w:ascii="Calibri" w:hAnsi="Calibri" w:eastAsia="Calibri" w:cs="Calibri" w:asciiTheme="minorAscii" w:hAnsiTheme="minorAscii" w:eastAsiaTheme="minorAscii" w:cstheme="minorAscii"/>
          <w:noProof w:val="0"/>
          <w:sz w:val="20"/>
          <w:szCs w:val="20"/>
          <w:lang w:val="en-US"/>
        </w:rPr>
      </w:pPr>
      <w:r w:rsidRPr="60028C3E" w:rsidR="2EA8B58B">
        <w:rPr>
          <w:rFonts w:ascii="Calibri" w:hAnsi="Calibri" w:eastAsia="Calibri" w:cs="Calibri" w:asciiTheme="minorAscii" w:hAnsiTheme="minorAscii" w:eastAsiaTheme="minorAscii" w:cstheme="minorAscii"/>
          <w:noProof w:val="0"/>
          <w:sz w:val="22"/>
          <w:szCs w:val="22"/>
          <w:lang w:val="en-US"/>
        </w:rPr>
        <w:t xml:space="preserve">Kallet, L. (2013). Thucydides, Apollo, the Plague, and the War. </w:t>
      </w:r>
      <w:r w:rsidRPr="60028C3E" w:rsidR="2EA8B58B">
        <w:rPr>
          <w:rFonts w:ascii="Calibri" w:hAnsi="Calibri" w:eastAsia="Calibri" w:cs="Calibri" w:asciiTheme="minorAscii" w:hAnsiTheme="minorAscii" w:eastAsiaTheme="minorAscii" w:cstheme="minorAscii"/>
          <w:i w:val="1"/>
          <w:iCs w:val="1"/>
          <w:noProof w:val="0"/>
          <w:sz w:val="22"/>
          <w:szCs w:val="22"/>
          <w:lang w:val="en-US"/>
        </w:rPr>
        <w:t>American Journal of Philology</w:t>
      </w:r>
      <w:r w:rsidRPr="60028C3E" w:rsidR="2EA8B58B">
        <w:rPr>
          <w:rFonts w:ascii="Calibri" w:hAnsi="Calibri" w:eastAsia="Calibri" w:cs="Calibri" w:asciiTheme="minorAscii" w:hAnsiTheme="minorAscii" w:eastAsiaTheme="minorAscii" w:cstheme="minorAscii"/>
          <w:noProof w:val="0"/>
          <w:sz w:val="22"/>
          <w:szCs w:val="22"/>
          <w:lang w:val="en-US"/>
        </w:rPr>
        <w:t xml:space="preserve">, [online] 134(3), pp.355–382. </w:t>
      </w:r>
      <w:r w:rsidRPr="60028C3E" w:rsidR="2EA8B58B">
        <w:rPr>
          <w:rFonts w:ascii="Calibri" w:hAnsi="Calibri" w:eastAsia="Calibri" w:cs="Calibri" w:asciiTheme="minorAscii" w:hAnsiTheme="minorAscii" w:eastAsiaTheme="minorAscii" w:cstheme="minorAscii"/>
          <w:noProof w:val="0"/>
          <w:sz w:val="22"/>
          <w:szCs w:val="22"/>
          <w:lang w:val="en-US"/>
        </w:rPr>
        <w:t>doi:https</w:t>
      </w:r>
      <w:r w:rsidRPr="60028C3E" w:rsidR="2EA8B58B">
        <w:rPr>
          <w:rFonts w:ascii="Calibri" w:hAnsi="Calibri" w:eastAsia="Calibri" w:cs="Calibri" w:asciiTheme="minorAscii" w:hAnsiTheme="minorAscii" w:eastAsiaTheme="minorAscii" w:cstheme="minorAscii"/>
          <w:noProof w:val="0"/>
          <w:sz w:val="22"/>
          <w:szCs w:val="22"/>
          <w:lang w:val="en-US"/>
        </w:rPr>
        <w:t>://doi.org/10.1353/ajp.2013.0031.</w:t>
      </w:r>
    </w:p>
    <w:p w:rsidR="2EA8B58B" w:rsidP="60028C3E" w:rsidRDefault="2EA8B58B" w14:paraId="00070A0E" w14:textId="5AE3F3F4">
      <w:pPr>
        <w:spacing w:line="360" w:lineRule="auto"/>
        <w:rPr>
          <w:rFonts w:ascii="Calibri" w:hAnsi="Calibri" w:eastAsia="Calibri" w:cs="Calibri" w:asciiTheme="minorAscii" w:hAnsiTheme="minorAscii" w:eastAsiaTheme="minorAscii" w:cstheme="minorAscii"/>
          <w:noProof w:val="0"/>
          <w:sz w:val="20"/>
          <w:szCs w:val="20"/>
          <w:lang w:val="en-US"/>
        </w:rPr>
      </w:pPr>
      <w:r w:rsidRPr="60028C3E" w:rsidR="2EA8B58B">
        <w:rPr>
          <w:rFonts w:ascii="Calibri" w:hAnsi="Calibri" w:eastAsia="Calibri" w:cs="Calibri" w:asciiTheme="minorAscii" w:hAnsiTheme="minorAscii" w:eastAsiaTheme="minorAscii" w:cstheme="minorAscii"/>
          <w:noProof w:val="0"/>
          <w:sz w:val="22"/>
          <w:szCs w:val="22"/>
          <w:lang w:val="en-US"/>
        </w:rPr>
        <w:t>Mikalson</w:t>
      </w:r>
      <w:r w:rsidRPr="60028C3E" w:rsidR="2EA8B58B">
        <w:rPr>
          <w:rFonts w:ascii="Calibri" w:hAnsi="Calibri" w:eastAsia="Calibri" w:cs="Calibri" w:asciiTheme="minorAscii" w:hAnsiTheme="minorAscii" w:eastAsiaTheme="minorAscii" w:cstheme="minorAscii"/>
          <w:noProof w:val="0"/>
          <w:sz w:val="22"/>
          <w:szCs w:val="22"/>
          <w:lang w:val="en-US"/>
        </w:rPr>
        <w:t xml:space="preserve">, J.D. (2003). Review of: Herodotus and Religion in the Persian Wars. </w:t>
      </w:r>
      <w:r w:rsidRPr="60028C3E" w:rsidR="2EA8B58B">
        <w:rPr>
          <w:rFonts w:ascii="Calibri" w:hAnsi="Calibri" w:eastAsia="Calibri" w:cs="Calibri" w:asciiTheme="minorAscii" w:hAnsiTheme="minorAscii" w:eastAsiaTheme="minorAscii" w:cstheme="minorAscii"/>
          <w:i w:val="1"/>
          <w:iCs w:val="1"/>
          <w:noProof w:val="0"/>
          <w:sz w:val="22"/>
          <w:szCs w:val="22"/>
          <w:lang w:val="en-US"/>
        </w:rPr>
        <w:t>Bryn Mawr Classical Review</w:t>
      </w:r>
      <w:r w:rsidRPr="60028C3E" w:rsidR="2EA8B58B">
        <w:rPr>
          <w:rFonts w:ascii="Calibri" w:hAnsi="Calibri" w:eastAsia="Calibri" w:cs="Calibri" w:asciiTheme="minorAscii" w:hAnsiTheme="minorAscii" w:eastAsiaTheme="minorAscii" w:cstheme="minorAscii"/>
          <w:noProof w:val="0"/>
          <w:sz w:val="22"/>
          <w:szCs w:val="22"/>
          <w:lang w:val="en-US"/>
        </w:rPr>
        <w:t xml:space="preserve">, [online] (0807862010). Available at: </w:t>
      </w:r>
      <w:hyperlink r:id="R6045e0e1fcf54478">
        <w:r w:rsidRPr="60028C3E" w:rsidR="2EA8B58B">
          <w:rPr>
            <w:rStyle w:val="Hyperlink"/>
            <w:rFonts w:ascii="Calibri" w:hAnsi="Calibri" w:eastAsia="Calibri" w:cs="Calibri" w:asciiTheme="minorAscii" w:hAnsiTheme="minorAscii" w:eastAsiaTheme="minorAscii" w:cstheme="minorAscii"/>
            <w:noProof w:val="0"/>
            <w:sz w:val="22"/>
            <w:szCs w:val="22"/>
            <w:lang w:val="en-US"/>
          </w:rPr>
          <w:t>https://bmcr.brynmawr.edu/2004/2004.07.13/</w:t>
        </w:r>
      </w:hyperlink>
      <w:r w:rsidRPr="60028C3E" w:rsidR="2EA8B58B">
        <w:rPr>
          <w:rFonts w:ascii="Calibri" w:hAnsi="Calibri" w:eastAsia="Calibri" w:cs="Calibri" w:asciiTheme="minorAscii" w:hAnsiTheme="minorAscii" w:eastAsiaTheme="minorAscii" w:cstheme="minorAscii"/>
          <w:noProof w:val="0"/>
          <w:sz w:val="22"/>
          <w:szCs w:val="22"/>
          <w:lang w:val="en-US"/>
        </w:rPr>
        <w:t xml:space="preserve"> [Accessed 2 Mar. 2023].</w:t>
      </w:r>
    </w:p>
    <w:p w:rsidR="2EA8B58B" w:rsidP="60028C3E" w:rsidRDefault="2EA8B58B" w14:paraId="6D493220" w14:textId="162A533D">
      <w:pPr>
        <w:spacing w:line="360" w:lineRule="auto"/>
        <w:rPr>
          <w:rFonts w:ascii="Calibri" w:hAnsi="Calibri" w:eastAsia="Calibri" w:cs="Calibri" w:asciiTheme="minorAscii" w:hAnsiTheme="minorAscii" w:eastAsiaTheme="minorAscii" w:cstheme="minorAscii"/>
          <w:noProof w:val="0"/>
          <w:sz w:val="20"/>
          <w:szCs w:val="20"/>
          <w:lang w:val="en-US"/>
        </w:rPr>
      </w:pPr>
      <w:r w:rsidRPr="60028C3E" w:rsidR="2EA8B58B">
        <w:rPr>
          <w:rFonts w:ascii="Calibri" w:hAnsi="Calibri" w:eastAsia="Calibri" w:cs="Calibri" w:asciiTheme="minorAscii" w:hAnsiTheme="minorAscii" w:eastAsiaTheme="minorAscii" w:cstheme="minorAscii"/>
          <w:noProof w:val="0"/>
          <w:sz w:val="22"/>
          <w:szCs w:val="22"/>
          <w:lang w:val="en-US"/>
        </w:rPr>
        <w:t xml:space="preserve">Thucydides, Peter John Rhodes and Hammond, M. (2009). </w:t>
      </w:r>
      <w:r w:rsidRPr="60028C3E" w:rsidR="2EA8B58B">
        <w:rPr>
          <w:rFonts w:ascii="Calibri" w:hAnsi="Calibri" w:eastAsia="Calibri" w:cs="Calibri" w:asciiTheme="minorAscii" w:hAnsiTheme="minorAscii" w:eastAsiaTheme="minorAscii" w:cstheme="minorAscii"/>
          <w:i w:val="1"/>
          <w:iCs w:val="1"/>
          <w:noProof w:val="0"/>
          <w:sz w:val="22"/>
          <w:szCs w:val="22"/>
          <w:lang w:val="en-US"/>
        </w:rPr>
        <w:t>The Peloponnesian War</w:t>
      </w:r>
      <w:r w:rsidRPr="60028C3E" w:rsidR="2EA8B58B">
        <w:rPr>
          <w:rFonts w:ascii="Calibri" w:hAnsi="Calibri" w:eastAsia="Calibri" w:cs="Calibri" w:asciiTheme="minorAscii" w:hAnsiTheme="minorAscii" w:eastAsiaTheme="minorAscii" w:cstheme="minorAscii"/>
          <w:noProof w:val="0"/>
          <w:sz w:val="22"/>
          <w:szCs w:val="22"/>
          <w:lang w:val="en-US"/>
        </w:rPr>
        <w:t xml:space="preserve">. New </w:t>
      </w:r>
      <w:r w:rsidRPr="60028C3E" w:rsidR="2EA8B58B">
        <w:rPr>
          <w:rFonts w:ascii="Calibri" w:hAnsi="Calibri" w:eastAsia="Calibri" w:cs="Calibri" w:asciiTheme="minorAscii" w:hAnsiTheme="minorAscii" w:eastAsiaTheme="minorAscii" w:cstheme="minorAscii"/>
          <w:noProof w:val="0"/>
          <w:sz w:val="22"/>
          <w:szCs w:val="22"/>
          <w:lang w:val="en-US"/>
        </w:rPr>
        <w:t>York ;</w:t>
      </w:r>
      <w:r w:rsidRPr="60028C3E" w:rsidR="2EA8B58B">
        <w:rPr>
          <w:rFonts w:ascii="Calibri" w:hAnsi="Calibri" w:eastAsia="Calibri" w:cs="Calibri" w:asciiTheme="minorAscii" w:hAnsiTheme="minorAscii" w:eastAsiaTheme="minorAscii" w:cstheme="minorAscii"/>
          <w:noProof w:val="0"/>
          <w:sz w:val="22"/>
          <w:szCs w:val="22"/>
          <w:lang w:val="en-US"/>
        </w:rPr>
        <w:t xml:space="preserve"> Oxford: Oxford University Press.</w:t>
      </w:r>
    </w:p>
    <w:p w:rsidR="60028C3E" w:rsidP="60028C3E" w:rsidRDefault="60028C3E" w14:paraId="6A3A6EB4" w14:textId="06CA36A3">
      <w:pPr>
        <w:pStyle w:val="Normal"/>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pPr>
    </w:p>
    <w:p w:rsidR="60028C3E" w:rsidP="60028C3E" w:rsidRDefault="60028C3E" w14:paraId="73F1EFE6" w14:textId="220A148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60028C3E" w:rsidP="60028C3E" w:rsidRDefault="60028C3E" w14:paraId="715B8D22" w14:textId="04BB156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60028C3E" w:rsidP="60028C3E" w:rsidRDefault="60028C3E" w14:paraId="48637197" w14:textId="05D95A2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60028C3E" w:rsidRDefault="60028C3E" w14:paraId="2AA74F8D" w14:textId="7722578D">
      <w:pPr>
        <w:spacing w:after="0" w:line="240" w:lineRule="auto"/>
      </w:pPr>
      <w:r>
        <w:separator/>
      </w:r>
    </w:p>
  </w:footnote>
  <w:footnote w:type="continuationSeparator" w:id="0">
    <w:p w:rsidR="60028C3E" w:rsidRDefault="60028C3E" w14:paraId="47B87413" w14:textId="0D8B9DF4">
      <w:pPr>
        <w:spacing w:after="0" w:line="240" w:lineRule="auto"/>
      </w:pPr>
      <w:r>
        <w:continuationSeparator/>
      </w:r>
    </w:p>
  </w:footnote>
  <w:footnote w:id="14653">
    <w:p w:rsidR="60028C3E" w:rsidP="60028C3E" w:rsidRDefault="60028C3E" w14:paraId="377B9139" w14:textId="35D06F43">
      <w:pPr>
        <w:pStyle w:val="Normal"/>
        <w:bidi w:val="0"/>
        <w:rPr>
          <w:noProof w:val="0"/>
          <w:sz w:val="20"/>
          <w:szCs w:val="20"/>
          <w:lang w:val="en-US"/>
        </w:rPr>
      </w:pPr>
      <w:r w:rsidRPr="60028C3E">
        <w:rPr>
          <w:rStyle w:val="FootnoteReference"/>
          <w:sz w:val="20"/>
          <w:szCs w:val="20"/>
        </w:rPr>
        <w:footnoteRef/>
      </w:r>
      <w:r w:rsidRPr="60028C3E" w:rsidR="60028C3E">
        <w:rPr>
          <w:sz w:val="20"/>
          <w:szCs w:val="20"/>
        </w:rPr>
        <w:t xml:space="preserve"> </w:t>
      </w:r>
      <w:r w:rsidRPr="60028C3E" w:rsidR="60028C3E">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0"/>
          <w:szCs w:val="20"/>
          <w:lang w:val="en-US"/>
        </w:rPr>
        <w:t xml:space="preserve">Thucydides, </w:t>
      </w:r>
      <w:r w:rsidRPr="60028C3E" w:rsidR="60028C3E">
        <w:rPr>
          <w:rFonts w:ascii="Calibri" w:hAnsi="Calibri" w:eastAsia="Calibri" w:cs="Calibri" w:asciiTheme="minorAscii" w:hAnsiTheme="minorAscii" w:eastAsiaTheme="minorAscii" w:cstheme="minorAscii"/>
          <w:b w:val="0"/>
          <w:bCs w:val="0"/>
          <w:i w:val="1"/>
          <w:iCs w:val="1"/>
          <w:caps w:val="0"/>
          <w:smallCaps w:val="0"/>
          <w:noProof w:val="0"/>
          <w:color w:val="1E1E1E"/>
          <w:sz w:val="20"/>
          <w:szCs w:val="20"/>
          <w:lang w:val="en-US"/>
        </w:rPr>
        <w:t>The History of the Peloponnesian War</w:t>
      </w:r>
    </w:p>
    <w:p w:rsidR="60028C3E" w:rsidP="60028C3E" w:rsidRDefault="60028C3E" w14:paraId="07847F24" w14:textId="27E6E0BD">
      <w:pPr>
        <w:pStyle w:val="FootnoteText"/>
        <w:bidi w:val="0"/>
      </w:pPr>
    </w:p>
  </w:footnote>
  <w:footnote w:id="7652">
    <w:p w:rsidR="60028C3E" w:rsidP="60028C3E" w:rsidRDefault="60028C3E" w14:paraId="359F26F5" w14:textId="624C0367">
      <w:pPr>
        <w:pStyle w:val="Normal"/>
        <w:bidi w:val="0"/>
        <w:spacing w:line="360" w:lineRule="auto"/>
      </w:pPr>
      <w:r w:rsidRPr="60028C3E">
        <w:rPr>
          <w:rStyle w:val="FootnoteReference"/>
        </w:rPr>
        <w:footnoteRef/>
      </w:r>
      <w:r w:rsidR="60028C3E">
        <w:rPr/>
        <w:t xml:space="preserve"> </w:t>
      </w:r>
      <w:r w:rsidRPr="60028C3E" w:rsidR="60028C3E">
        <w:rPr>
          <w:rFonts w:ascii="Times New Roman" w:hAnsi="Times New Roman" w:eastAsia="Times New Roman" w:cs="Times New Roman"/>
          <w:noProof w:val="0"/>
          <w:sz w:val="24"/>
          <w:szCs w:val="24"/>
          <w:lang w:val="en-US"/>
        </w:rPr>
        <w:t xml:space="preserve">Dent, J.M. (1910). </w:t>
      </w:r>
      <w:r w:rsidRPr="60028C3E" w:rsidR="60028C3E">
        <w:rPr>
          <w:rFonts w:ascii="Times New Roman" w:hAnsi="Times New Roman" w:eastAsia="Times New Roman" w:cs="Times New Roman"/>
          <w:i w:val="1"/>
          <w:iCs w:val="1"/>
          <w:noProof w:val="0"/>
          <w:sz w:val="24"/>
          <w:szCs w:val="24"/>
          <w:lang w:val="en-US"/>
        </w:rPr>
        <w:t>Thucydides, The Peloponnesian War, 1.1.1</w:t>
      </w:r>
      <w:r w:rsidRPr="60028C3E" w:rsidR="60028C3E">
        <w:rPr>
          <w:rFonts w:ascii="Times New Roman" w:hAnsi="Times New Roman" w:eastAsia="Times New Roman" w:cs="Times New Roman"/>
          <w:noProof w:val="0"/>
          <w:sz w:val="24"/>
          <w:szCs w:val="24"/>
          <w:lang w:val="en-US"/>
        </w:rPr>
        <w:t xml:space="preserve">. [online] </w:t>
      </w:r>
      <w:hyperlink>
        <w:r w:rsidRPr="60028C3E" w:rsidR="60028C3E">
          <w:rPr>
            <w:rStyle w:val="Hyperlink"/>
            <w:rFonts w:ascii="Times New Roman" w:hAnsi="Times New Roman" w:eastAsia="Times New Roman" w:cs="Times New Roman"/>
            <w:noProof w:val="0"/>
            <w:sz w:val="24"/>
            <w:szCs w:val="24"/>
            <w:lang w:val="en-US"/>
          </w:rPr>
          <w:t>www.perseus.tufts.edu</w:t>
        </w:r>
      </w:hyperlink>
      <w:r w:rsidRPr="60028C3E" w:rsidR="60028C3E">
        <w:rPr>
          <w:rFonts w:ascii="Times New Roman" w:hAnsi="Times New Roman" w:eastAsia="Times New Roman" w:cs="Times New Roman"/>
          <w:noProof w:val="0"/>
          <w:sz w:val="24"/>
          <w:szCs w:val="24"/>
          <w:lang w:val="en-US"/>
        </w:rPr>
        <w:t xml:space="preserve">. Available at: </w:t>
      </w:r>
      <w:hyperlink r:id="Rb40b34bf77c14862">
        <w:r w:rsidRPr="60028C3E" w:rsidR="60028C3E">
          <w:rPr>
            <w:rStyle w:val="Hyperlink"/>
            <w:rFonts w:ascii="Times New Roman" w:hAnsi="Times New Roman" w:eastAsia="Times New Roman" w:cs="Times New Roman"/>
            <w:noProof w:val="0"/>
            <w:sz w:val="24"/>
            <w:szCs w:val="24"/>
            <w:lang w:val="en-US"/>
          </w:rPr>
          <w:t>http://www.perseus.tufts.edu/hopper/text?doc=Perseus%3Atext%3A1999.01.0200%3Abook%3D5%3Achapter%3D70</w:t>
        </w:r>
      </w:hyperlink>
      <w:r w:rsidRPr="60028C3E" w:rsidR="60028C3E">
        <w:rPr>
          <w:rFonts w:ascii="Times New Roman" w:hAnsi="Times New Roman" w:eastAsia="Times New Roman" w:cs="Times New Roman"/>
          <w:noProof w:val="0"/>
          <w:sz w:val="24"/>
          <w:szCs w:val="24"/>
          <w:lang w:val="en-US"/>
        </w:rPr>
        <w:t xml:space="preserve"> [Accessed 2 Mar. 2023].</w:t>
      </w:r>
    </w:p>
    <w:p w:rsidR="60028C3E" w:rsidP="60028C3E" w:rsidRDefault="60028C3E" w14:paraId="24AC73B5" w14:textId="691FADAF">
      <w:pPr>
        <w:pStyle w:val="FootnoteText"/>
        <w:bidi w:val="0"/>
      </w:pPr>
    </w:p>
  </w:footnote>
  <w:footnote w:id="3185">
    <w:p w:rsidR="60028C3E" w:rsidP="60028C3E" w:rsidRDefault="60028C3E" w14:paraId="41BBA603" w14:textId="316F5110">
      <w:pPr>
        <w:pStyle w:val="Normal"/>
        <w:bidi w:val="0"/>
        <w:spacing w:line="360" w:lineRule="auto"/>
      </w:pPr>
      <w:r w:rsidRPr="60028C3E">
        <w:rPr>
          <w:rStyle w:val="FootnoteReference"/>
        </w:rPr>
        <w:footnoteRef/>
      </w:r>
      <w:r w:rsidR="60028C3E">
        <w:rPr/>
        <w:t xml:space="preserve"> </w:t>
      </w:r>
      <w:r w:rsidRPr="60028C3E" w:rsidR="60028C3E">
        <w:rPr>
          <w:rFonts w:ascii="Times New Roman" w:hAnsi="Times New Roman" w:eastAsia="Times New Roman" w:cs="Times New Roman"/>
          <w:noProof w:val="0"/>
          <w:sz w:val="24"/>
          <w:szCs w:val="24"/>
          <w:lang w:val="en-US"/>
        </w:rPr>
        <w:t xml:space="preserve">Hau, L.I. (2016). Thucydides. In: </w:t>
      </w:r>
      <w:r w:rsidRPr="60028C3E" w:rsidR="60028C3E">
        <w:rPr>
          <w:rFonts w:ascii="Times New Roman" w:hAnsi="Times New Roman" w:eastAsia="Times New Roman" w:cs="Times New Roman"/>
          <w:i w:val="1"/>
          <w:iCs w:val="1"/>
          <w:noProof w:val="0"/>
          <w:sz w:val="24"/>
          <w:szCs w:val="24"/>
          <w:lang w:val="en-US"/>
        </w:rPr>
        <w:t>Moral History from Herodotus to Diodorus Siculus</w:t>
      </w:r>
      <w:r w:rsidRPr="60028C3E" w:rsidR="60028C3E">
        <w:rPr>
          <w:rFonts w:ascii="Times New Roman" w:hAnsi="Times New Roman" w:eastAsia="Times New Roman" w:cs="Times New Roman"/>
          <w:noProof w:val="0"/>
          <w:sz w:val="24"/>
          <w:szCs w:val="24"/>
          <w:lang w:val="en-US"/>
        </w:rPr>
        <w:t xml:space="preserve">. [online] Edinburgh University Press, p.194. Available at: </w:t>
      </w:r>
      <w:hyperlink r:id="R53b35dfc56904109">
        <w:r w:rsidRPr="60028C3E" w:rsidR="60028C3E">
          <w:rPr>
            <w:rStyle w:val="Hyperlink"/>
            <w:rFonts w:ascii="Times New Roman" w:hAnsi="Times New Roman" w:eastAsia="Times New Roman" w:cs="Times New Roman"/>
            <w:noProof w:val="0"/>
            <w:sz w:val="24"/>
            <w:szCs w:val="24"/>
            <w:lang w:val="en-US"/>
          </w:rPr>
          <w:t>https://www.jstor.org/stable/10.3366/j.ctt1bh2hwv.10</w:t>
        </w:r>
      </w:hyperlink>
      <w:r w:rsidRPr="60028C3E" w:rsidR="60028C3E">
        <w:rPr>
          <w:rFonts w:ascii="Times New Roman" w:hAnsi="Times New Roman" w:eastAsia="Times New Roman" w:cs="Times New Roman"/>
          <w:noProof w:val="0"/>
          <w:sz w:val="24"/>
          <w:szCs w:val="24"/>
          <w:lang w:val="en-US"/>
        </w:rPr>
        <w:t xml:space="preserve"> [Accessed 2 Mar. 2023].</w:t>
      </w:r>
    </w:p>
    <w:p w:rsidR="60028C3E" w:rsidP="60028C3E" w:rsidRDefault="60028C3E" w14:paraId="7DAF2CE1" w14:textId="519D418F">
      <w:pPr>
        <w:pStyle w:val="Normal"/>
        <w:bidi w:val="0"/>
        <w:spacing w:line="360" w:lineRule="auto"/>
      </w:pPr>
    </w:p>
    <w:p w:rsidR="60028C3E" w:rsidP="60028C3E" w:rsidRDefault="60028C3E" w14:paraId="4428203C" w14:textId="2BCBABAD">
      <w:pPr>
        <w:pStyle w:val="FootnoteText"/>
        <w:bidi w:val="0"/>
      </w:pPr>
    </w:p>
  </w:footnote>
  <w:footnote w:id="6714">
    <w:p w:rsidR="60028C3E" w:rsidP="60028C3E" w:rsidRDefault="60028C3E" w14:paraId="64998BD4" w14:textId="27099606">
      <w:pPr>
        <w:pStyle w:val="Normal"/>
        <w:bidi w:val="0"/>
        <w:spacing w:line="360" w:lineRule="auto"/>
      </w:pPr>
      <w:r w:rsidRPr="60028C3E">
        <w:rPr>
          <w:rStyle w:val="FootnoteReference"/>
        </w:rPr>
        <w:footnoteRef/>
      </w:r>
      <w:r w:rsidR="60028C3E">
        <w:rPr/>
        <w:t xml:space="preserve"> </w:t>
      </w:r>
      <w:r w:rsidRPr="60028C3E" w:rsidR="60028C3E">
        <w:rPr>
          <w:rFonts w:ascii="Times New Roman" w:hAnsi="Times New Roman" w:eastAsia="Times New Roman" w:cs="Times New Roman"/>
          <w:noProof w:val="0"/>
          <w:sz w:val="24"/>
          <w:szCs w:val="24"/>
          <w:lang w:val="en-US"/>
        </w:rPr>
        <w:t xml:space="preserve">Kagan, D. (1975). The Speeches in Thucydides and the Mytilene Debate. </w:t>
      </w:r>
      <w:r w:rsidRPr="60028C3E" w:rsidR="60028C3E">
        <w:rPr>
          <w:rFonts w:ascii="Times New Roman" w:hAnsi="Times New Roman" w:eastAsia="Times New Roman" w:cs="Times New Roman"/>
          <w:i w:val="1"/>
          <w:iCs w:val="1"/>
          <w:noProof w:val="0"/>
          <w:sz w:val="24"/>
          <w:szCs w:val="24"/>
          <w:lang w:val="en-US"/>
        </w:rPr>
        <w:t>Yale Classical Studies</w:t>
      </w:r>
      <w:r w:rsidRPr="60028C3E" w:rsidR="60028C3E">
        <w:rPr>
          <w:rFonts w:ascii="Times New Roman" w:hAnsi="Times New Roman" w:eastAsia="Times New Roman" w:cs="Times New Roman"/>
          <w:noProof w:val="0"/>
          <w:sz w:val="24"/>
          <w:szCs w:val="24"/>
          <w:lang w:val="en-US"/>
        </w:rPr>
        <w:t>, pp.24:71-94.</w:t>
      </w:r>
    </w:p>
    <w:p w:rsidR="60028C3E" w:rsidP="60028C3E" w:rsidRDefault="60028C3E" w14:paraId="79A095FA" w14:textId="6926FCDC">
      <w:pPr>
        <w:pStyle w:val="FootnoteText"/>
        <w:bidi w:val="0"/>
      </w:pPr>
    </w:p>
  </w:footnote>
  <w:footnote w:id="11789">
    <w:p w:rsidR="60028C3E" w:rsidP="60028C3E" w:rsidRDefault="60028C3E" w14:paraId="5AE48FC3" w14:textId="4C582FE3">
      <w:pPr>
        <w:pStyle w:val="Normal"/>
        <w:bidi w:val="0"/>
        <w:spacing w:line="360" w:lineRule="auto"/>
      </w:pPr>
      <w:r w:rsidRPr="60028C3E">
        <w:rPr>
          <w:rStyle w:val="FootnoteReference"/>
        </w:rPr>
        <w:footnoteRef/>
      </w:r>
      <w:r w:rsidR="60028C3E">
        <w:rPr/>
        <w:t xml:space="preserve"> </w:t>
      </w:r>
      <w:r w:rsidRPr="60028C3E" w:rsidR="60028C3E">
        <w:rPr>
          <w:rFonts w:ascii="Times New Roman" w:hAnsi="Times New Roman" w:eastAsia="Times New Roman" w:cs="Times New Roman"/>
          <w:noProof w:val="0"/>
          <w:sz w:val="24"/>
          <w:szCs w:val="24"/>
          <w:lang w:val="en-US"/>
        </w:rPr>
        <w:t xml:space="preserve">Dent, J.M. (1910). </w:t>
      </w:r>
      <w:r w:rsidRPr="60028C3E" w:rsidR="60028C3E">
        <w:rPr>
          <w:rFonts w:ascii="Times New Roman" w:hAnsi="Times New Roman" w:eastAsia="Times New Roman" w:cs="Times New Roman"/>
          <w:i w:val="1"/>
          <w:iCs w:val="1"/>
          <w:noProof w:val="0"/>
          <w:sz w:val="24"/>
          <w:szCs w:val="24"/>
          <w:lang w:val="en-US"/>
        </w:rPr>
        <w:t>Thucydides, The Peloponnesian War, 1.22.4</w:t>
      </w:r>
      <w:r w:rsidRPr="60028C3E" w:rsidR="60028C3E">
        <w:rPr>
          <w:rFonts w:ascii="Times New Roman" w:hAnsi="Times New Roman" w:eastAsia="Times New Roman" w:cs="Times New Roman"/>
          <w:noProof w:val="0"/>
          <w:sz w:val="24"/>
          <w:szCs w:val="24"/>
          <w:lang w:val="en-US"/>
        </w:rPr>
        <w:t xml:space="preserve">. [online] </w:t>
      </w:r>
      <w:hyperlink>
        <w:r w:rsidRPr="60028C3E" w:rsidR="60028C3E">
          <w:rPr>
            <w:rStyle w:val="Hyperlink"/>
            <w:rFonts w:ascii="Times New Roman" w:hAnsi="Times New Roman" w:eastAsia="Times New Roman" w:cs="Times New Roman"/>
            <w:noProof w:val="0"/>
            <w:sz w:val="24"/>
            <w:szCs w:val="24"/>
            <w:lang w:val="en-US"/>
          </w:rPr>
          <w:t>www.perseus.tufts.edu</w:t>
        </w:r>
      </w:hyperlink>
      <w:r w:rsidRPr="60028C3E" w:rsidR="60028C3E">
        <w:rPr>
          <w:rFonts w:ascii="Times New Roman" w:hAnsi="Times New Roman" w:eastAsia="Times New Roman" w:cs="Times New Roman"/>
          <w:noProof w:val="0"/>
          <w:sz w:val="24"/>
          <w:szCs w:val="24"/>
          <w:lang w:val="en-US"/>
        </w:rPr>
        <w:t xml:space="preserve">. Available at: </w:t>
      </w:r>
      <w:hyperlink r:id="Rbe3b270bd5f6434f">
        <w:r w:rsidRPr="60028C3E" w:rsidR="60028C3E">
          <w:rPr>
            <w:rStyle w:val="Hyperlink"/>
            <w:rFonts w:ascii="Times New Roman" w:hAnsi="Times New Roman" w:eastAsia="Times New Roman" w:cs="Times New Roman"/>
            <w:noProof w:val="0"/>
            <w:sz w:val="24"/>
            <w:szCs w:val="24"/>
            <w:lang w:val="en-US"/>
          </w:rPr>
          <w:t>http://www.perseus.tufts.edu/hopper/text?doc=Perseus%3Atext%3A1999.01.0200%3Abook%3D1%3Achapter%3D22%3Asection%3D4</w:t>
        </w:r>
      </w:hyperlink>
      <w:r w:rsidRPr="60028C3E" w:rsidR="60028C3E">
        <w:rPr>
          <w:rFonts w:ascii="Times New Roman" w:hAnsi="Times New Roman" w:eastAsia="Times New Roman" w:cs="Times New Roman"/>
          <w:noProof w:val="0"/>
          <w:sz w:val="24"/>
          <w:szCs w:val="24"/>
          <w:lang w:val="en-US"/>
        </w:rPr>
        <w:t xml:space="preserve"> [Accessed 2 Mar. 2023].</w:t>
      </w:r>
    </w:p>
    <w:p w:rsidR="60028C3E" w:rsidP="60028C3E" w:rsidRDefault="60028C3E" w14:paraId="5D6A0DCD" w14:textId="510CCA10">
      <w:pPr>
        <w:pStyle w:val="FootnoteText"/>
        <w:bidi w:val="0"/>
      </w:pPr>
    </w:p>
  </w:footnote>
  <w:footnote w:id="23687">
    <w:p w:rsidR="60028C3E" w:rsidP="60028C3E" w:rsidRDefault="60028C3E" w14:paraId="5178DF9E" w14:textId="642B78F1">
      <w:pPr>
        <w:pStyle w:val="Normal"/>
        <w:bidi w:val="0"/>
        <w:spacing w:line="360" w:lineRule="auto"/>
        <w:rPr>
          <w:rFonts w:ascii="Times New Roman" w:hAnsi="Times New Roman" w:eastAsia="Times New Roman" w:cs="Times New Roman"/>
          <w:noProof w:val="0"/>
          <w:sz w:val="24"/>
          <w:szCs w:val="24"/>
          <w:lang w:val="en-US"/>
        </w:rPr>
      </w:pPr>
      <w:r w:rsidRPr="60028C3E">
        <w:rPr>
          <w:rStyle w:val="FootnoteReference"/>
        </w:rPr>
        <w:footnoteRef/>
      </w:r>
      <w:r w:rsidR="60028C3E">
        <w:rPr/>
        <w:t xml:space="preserve"> </w:t>
      </w:r>
      <w:r w:rsidR="60028C3E">
        <w:rPr/>
        <w:t>ibid, 1.1.1</w:t>
      </w:r>
    </w:p>
    <w:p w:rsidR="60028C3E" w:rsidP="60028C3E" w:rsidRDefault="60028C3E" w14:paraId="6C085E54" w14:textId="0EF58DDE">
      <w:pPr>
        <w:pStyle w:val="FootnoteText"/>
        <w:bidi w:val="0"/>
      </w:pPr>
    </w:p>
  </w:footnote>
  <w:footnote w:id="24395">
    <w:p w:rsidR="60028C3E" w:rsidP="60028C3E" w:rsidRDefault="60028C3E" w14:paraId="05CBE54B" w14:textId="0538025F">
      <w:pPr>
        <w:pStyle w:val="FootnoteText"/>
        <w:bidi w:val="0"/>
      </w:pPr>
      <w:r w:rsidRPr="60028C3E">
        <w:rPr>
          <w:rStyle w:val="FootnoteReference"/>
        </w:rPr>
        <w:footnoteRef/>
      </w:r>
      <w:r w:rsidR="60028C3E">
        <w:rPr/>
        <w:t xml:space="preserve"> ibid, 5.70</w:t>
      </w:r>
    </w:p>
  </w:footnote>
  <w:footnote w:id="1179">
    <w:p w:rsidR="60028C3E" w:rsidP="60028C3E" w:rsidRDefault="60028C3E" w14:paraId="7A1C5C31" w14:textId="2C2612B0">
      <w:pPr>
        <w:pStyle w:val="FootnoteText"/>
        <w:bidi w:val="0"/>
      </w:pPr>
      <w:r w:rsidRPr="60028C3E">
        <w:rPr>
          <w:rStyle w:val="FootnoteReference"/>
        </w:rPr>
        <w:footnoteRef/>
      </w:r>
      <w:r w:rsidR="60028C3E">
        <w:rPr/>
        <w:t xml:space="preserve"> ibid, 2.47</w:t>
      </w:r>
    </w:p>
  </w:footnote>
  <w:footnote w:id="32332">
    <w:p w:rsidR="60028C3E" w:rsidP="60028C3E" w:rsidRDefault="60028C3E" w14:paraId="6D2BD808" w14:textId="3EDC4F36">
      <w:pPr>
        <w:pStyle w:val="Normal"/>
        <w:bidi w:val="0"/>
        <w:spacing w:line="360" w:lineRule="auto"/>
      </w:pPr>
      <w:r w:rsidRPr="60028C3E">
        <w:rPr>
          <w:rStyle w:val="FootnoteReference"/>
        </w:rPr>
        <w:footnoteRef/>
      </w:r>
      <w:r w:rsidR="60028C3E">
        <w:rPr/>
        <w:t xml:space="preserve"> </w:t>
      </w:r>
      <w:r w:rsidRPr="60028C3E" w:rsidR="60028C3E">
        <w:rPr>
          <w:rFonts w:ascii="Times New Roman" w:hAnsi="Times New Roman" w:eastAsia="Times New Roman" w:cs="Times New Roman"/>
          <w:noProof w:val="0"/>
          <w:sz w:val="24"/>
          <w:szCs w:val="24"/>
          <w:lang w:val="en-US"/>
        </w:rPr>
        <w:t xml:space="preserve">Kallet, L. (2013). Thucydides, Apollo, the Plague, and the War. </w:t>
      </w:r>
      <w:r w:rsidRPr="60028C3E" w:rsidR="60028C3E">
        <w:rPr>
          <w:rFonts w:ascii="Times New Roman" w:hAnsi="Times New Roman" w:eastAsia="Times New Roman" w:cs="Times New Roman"/>
          <w:i w:val="1"/>
          <w:iCs w:val="1"/>
          <w:noProof w:val="0"/>
          <w:sz w:val="24"/>
          <w:szCs w:val="24"/>
          <w:lang w:val="en-US"/>
        </w:rPr>
        <w:t>American Journal of Philology</w:t>
      </w:r>
      <w:r w:rsidRPr="60028C3E" w:rsidR="60028C3E">
        <w:rPr>
          <w:rFonts w:ascii="Times New Roman" w:hAnsi="Times New Roman" w:eastAsia="Times New Roman" w:cs="Times New Roman"/>
          <w:noProof w:val="0"/>
          <w:sz w:val="24"/>
          <w:szCs w:val="24"/>
          <w:lang w:val="en-US"/>
        </w:rPr>
        <w:t>, [online] 134(3), pp.355–382. doi:https://doi.org/10.1353/ajp.2013.0031.</w:t>
      </w:r>
    </w:p>
    <w:p w:rsidR="60028C3E" w:rsidP="60028C3E" w:rsidRDefault="60028C3E" w14:paraId="3149B919" w14:textId="7D8552A0">
      <w:pPr>
        <w:pStyle w:val="FootnoteText"/>
        <w:bidi w:val="0"/>
      </w:pPr>
    </w:p>
  </w:footnote>
  <w:footnote w:id="27365">
    <w:p w:rsidR="60028C3E" w:rsidP="60028C3E" w:rsidRDefault="60028C3E" w14:paraId="3CFF52C4" w14:textId="55FEB4DF">
      <w:pPr>
        <w:pStyle w:val="Normal"/>
        <w:bidi w:val="0"/>
        <w:spacing w:line="360" w:lineRule="auto"/>
      </w:pPr>
      <w:r w:rsidRPr="60028C3E">
        <w:rPr>
          <w:rStyle w:val="FootnoteReference"/>
        </w:rPr>
        <w:footnoteRef/>
      </w:r>
      <w:r w:rsidR="60028C3E">
        <w:rPr/>
        <w:t xml:space="preserve"> </w:t>
      </w:r>
      <w:r w:rsidRPr="60028C3E" w:rsidR="60028C3E">
        <w:rPr>
          <w:rFonts w:ascii="Times New Roman" w:hAnsi="Times New Roman" w:eastAsia="Times New Roman" w:cs="Times New Roman"/>
          <w:noProof w:val="0"/>
          <w:sz w:val="24"/>
          <w:szCs w:val="24"/>
          <w:lang w:val="en-US"/>
        </w:rPr>
        <w:t xml:space="preserve">Dent, J.M. (1910). </w:t>
      </w:r>
      <w:r w:rsidRPr="60028C3E" w:rsidR="60028C3E">
        <w:rPr>
          <w:rFonts w:ascii="Times New Roman" w:hAnsi="Times New Roman" w:eastAsia="Times New Roman" w:cs="Times New Roman"/>
          <w:i w:val="1"/>
          <w:iCs w:val="1"/>
          <w:noProof w:val="0"/>
          <w:sz w:val="24"/>
          <w:szCs w:val="24"/>
          <w:lang w:val="en-US"/>
        </w:rPr>
        <w:t>Thucydides, The Peloponnesian War, 5.70</w:t>
      </w:r>
      <w:r w:rsidRPr="60028C3E" w:rsidR="60028C3E">
        <w:rPr>
          <w:rFonts w:ascii="Times New Roman" w:hAnsi="Times New Roman" w:eastAsia="Times New Roman" w:cs="Times New Roman"/>
          <w:noProof w:val="0"/>
          <w:sz w:val="24"/>
          <w:szCs w:val="24"/>
          <w:lang w:val="en-US"/>
        </w:rPr>
        <w:t xml:space="preserve">. [online] </w:t>
      </w:r>
      <w:hyperlink>
        <w:r w:rsidRPr="60028C3E" w:rsidR="60028C3E">
          <w:rPr>
            <w:rStyle w:val="Hyperlink"/>
            <w:rFonts w:ascii="Times New Roman" w:hAnsi="Times New Roman" w:eastAsia="Times New Roman" w:cs="Times New Roman"/>
            <w:noProof w:val="0"/>
            <w:sz w:val="24"/>
            <w:szCs w:val="24"/>
            <w:lang w:val="en-US"/>
          </w:rPr>
          <w:t>www.perseus.tufts.edu</w:t>
        </w:r>
      </w:hyperlink>
      <w:r w:rsidRPr="60028C3E" w:rsidR="60028C3E">
        <w:rPr>
          <w:rFonts w:ascii="Times New Roman" w:hAnsi="Times New Roman" w:eastAsia="Times New Roman" w:cs="Times New Roman"/>
          <w:noProof w:val="0"/>
          <w:sz w:val="24"/>
          <w:szCs w:val="24"/>
          <w:lang w:val="en-US"/>
        </w:rPr>
        <w:t xml:space="preserve">. Available at: </w:t>
      </w:r>
      <w:hyperlink r:id="R8b54d39d86ef4b11">
        <w:r w:rsidRPr="60028C3E" w:rsidR="60028C3E">
          <w:rPr>
            <w:rStyle w:val="Hyperlink"/>
            <w:rFonts w:ascii="Times New Roman" w:hAnsi="Times New Roman" w:eastAsia="Times New Roman" w:cs="Times New Roman"/>
            <w:noProof w:val="0"/>
            <w:sz w:val="24"/>
            <w:szCs w:val="24"/>
            <w:lang w:val="en-US"/>
          </w:rPr>
          <w:t>http://www.perseus.tufts.edu/hopper/text?doc=Perseus%3Atext%3A1999.01.0200%3Abook%3D5%3Achapter%3D70</w:t>
        </w:r>
      </w:hyperlink>
      <w:r w:rsidRPr="60028C3E" w:rsidR="60028C3E">
        <w:rPr>
          <w:rFonts w:ascii="Times New Roman" w:hAnsi="Times New Roman" w:eastAsia="Times New Roman" w:cs="Times New Roman"/>
          <w:noProof w:val="0"/>
          <w:sz w:val="24"/>
          <w:szCs w:val="24"/>
          <w:lang w:val="en-US"/>
        </w:rPr>
        <w:t xml:space="preserve"> [Accessed 2 Mar. 2023].</w:t>
      </w:r>
    </w:p>
    <w:p w:rsidR="60028C3E" w:rsidP="60028C3E" w:rsidRDefault="60028C3E" w14:paraId="214CE159" w14:textId="596C56EA">
      <w:pPr>
        <w:pStyle w:val="FootnoteText"/>
        <w:bidi w:val="0"/>
      </w:pPr>
    </w:p>
  </w:footnote>
  <w:footnote w:id="4485">
    <w:p w:rsidR="60028C3E" w:rsidP="60028C3E" w:rsidRDefault="60028C3E" w14:paraId="38D9FA55" w14:textId="0AD6E0CB">
      <w:pPr>
        <w:pStyle w:val="Normal"/>
        <w:bidi w:val="0"/>
        <w:spacing w:line="360" w:lineRule="auto"/>
      </w:pPr>
      <w:r w:rsidRPr="60028C3E">
        <w:rPr>
          <w:rStyle w:val="FootnoteReference"/>
        </w:rPr>
        <w:footnoteRef/>
      </w:r>
      <w:r w:rsidR="60028C3E">
        <w:rPr/>
        <w:t xml:space="preserve"> </w:t>
      </w:r>
      <w:r w:rsidRPr="60028C3E" w:rsidR="60028C3E">
        <w:rPr>
          <w:rFonts w:ascii="Times New Roman" w:hAnsi="Times New Roman" w:eastAsia="Times New Roman" w:cs="Times New Roman"/>
          <w:noProof w:val="0"/>
          <w:sz w:val="24"/>
          <w:szCs w:val="24"/>
          <w:lang w:val="en-US"/>
        </w:rPr>
        <w:t xml:space="preserve">Mikalson, J.D. (2003). Review of: Herodotus and Religion in the Persian Wars. </w:t>
      </w:r>
      <w:r w:rsidRPr="60028C3E" w:rsidR="60028C3E">
        <w:rPr>
          <w:rFonts w:ascii="Times New Roman" w:hAnsi="Times New Roman" w:eastAsia="Times New Roman" w:cs="Times New Roman"/>
          <w:i w:val="1"/>
          <w:iCs w:val="1"/>
          <w:noProof w:val="0"/>
          <w:sz w:val="24"/>
          <w:szCs w:val="24"/>
          <w:lang w:val="en-US"/>
        </w:rPr>
        <w:t>Bryn Mawr Classical Review</w:t>
      </w:r>
      <w:r w:rsidRPr="60028C3E" w:rsidR="60028C3E">
        <w:rPr>
          <w:rFonts w:ascii="Times New Roman" w:hAnsi="Times New Roman" w:eastAsia="Times New Roman" w:cs="Times New Roman"/>
          <w:noProof w:val="0"/>
          <w:sz w:val="24"/>
          <w:szCs w:val="24"/>
          <w:lang w:val="en-US"/>
        </w:rPr>
        <w:t xml:space="preserve">, [online] (0807862010). Available at: </w:t>
      </w:r>
      <w:hyperlink r:id="Rc848c5b84e074665">
        <w:r w:rsidRPr="60028C3E" w:rsidR="60028C3E">
          <w:rPr>
            <w:rStyle w:val="Hyperlink"/>
            <w:rFonts w:ascii="Times New Roman" w:hAnsi="Times New Roman" w:eastAsia="Times New Roman" w:cs="Times New Roman"/>
            <w:noProof w:val="0"/>
            <w:sz w:val="24"/>
            <w:szCs w:val="24"/>
            <w:lang w:val="en-US"/>
          </w:rPr>
          <w:t>https://bmcr.brynmawr.edu/2004/2004.07.13/</w:t>
        </w:r>
      </w:hyperlink>
      <w:r w:rsidRPr="60028C3E" w:rsidR="60028C3E">
        <w:rPr>
          <w:rFonts w:ascii="Times New Roman" w:hAnsi="Times New Roman" w:eastAsia="Times New Roman" w:cs="Times New Roman"/>
          <w:noProof w:val="0"/>
          <w:sz w:val="24"/>
          <w:szCs w:val="24"/>
          <w:lang w:val="en-US"/>
        </w:rPr>
        <w:t xml:space="preserve"> [Accessed 2 Mar. 2023].</w:t>
      </w:r>
    </w:p>
    <w:p w:rsidR="60028C3E" w:rsidP="60028C3E" w:rsidRDefault="60028C3E" w14:paraId="13E06677" w14:textId="4A8B7275">
      <w:pPr>
        <w:pStyle w:val="FootnoteText"/>
        <w:bidi w:val="0"/>
      </w:pPr>
    </w:p>
  </w:footnote>
  <w:footnote w:id="9657">
    <w:p w:rsidR="60028C3E" w:rsidP="60028C3E" w:rsidRDefault="60028C3E" w14:paraId="71A469E5" w14:textId="2008DF6E">
      <w:pPr>
        <w:pStyle w:val="Normal"/>
        <w:bidi w:val="0"/>
        <w:spacing w:line="360" w:lineRule="auto"/>
      </w:pPr>
      <w:r w:rsidRPr="60028C3E">
        <w:rPr>
          <w:rStyle w:val="FootnoteReference"/>
        </w:rPr>
        <w:footnoteRef/>
      </w:r>
      <w:r w:rsidR="60028C3E">
        <w:rPr/>
        <w:t xml:space="preserve"> </w:t>
      </w:r>
      <w:r w:rsidRPr="60028C3E" w:rsidR="60028C3E">
        <w:rPr>
          <w:rFonts w:ascii="Times New Roman" w:hAnsi="Times New Roman" w:eastAsia="Times New Roman" w:cs="Times New Roman"/>
          <w:noProof w:val="0"/>
          <w:sz w:val="24"/>
          <w:szCs w:val="24"/>
          <w:lang w:val="en-US"/>
        </w:rPr>
        <w:t xml:space="preserve">Dent, J.M. (1910). </w:t>
      </w:r>
      <w:r w:rsidRPr="60028C3E" w:rsidR="60028C3E">
        <w:rPr>
          <w:rFonts w:ascii="Times New Roman" w:hAnsi="Times New Roman" w:eastAsia="Times New Roman" w:cs="Times New Roman"/>
          <w:i w:val="1"/>
          <w:iCs w:val="1"/>
          <w:noProof w:val="0"/>
          <w:sz w:val="24"/>
          <w:szCs w:val="24"/>
          <w:lang w:val="en-US"/>
        </w:rPr>
        <w:t>Thucydides, The Peloponnesian War, 5.71</w:t>
      </w:r>
      <w:r w:rsidRPr="60028C3E" w:rsidR="60028C3E">
        <w:rPr>
          <w:rFonts w:ascii="Times New Roman" w:hAnsi="Times New Roman" w:eastAsia="Times New Roman" w:cs="Times New Roman"/>
          <w:noProof w:val="0"/>
          <w:sz w:val="24"/>
          <w:szCs w:val="24"/>
          <w:lang w:val="en-US"/>
        </w:rPr>
        <w:t xml:space="preserve">. [online] </w:t>
      </w:r>
      <w:hyperlink>
        <w:r w:rsidRPr="60028C3E" w:rsidR="60028C3E">
          <w:rPr>
            <w:rStyle w:val="Hyperlink"/>
            <w:rFonts w:ascii="Times New Roman" w:hAnsi="Times New Roman" w:eastAsia="Times New Roman" w:cs="Times New Roman"/>
            <w:noProof w:val="0"/>
            <w:sz w:val="24"/>
            <w:szCs w:val="24"/>
            <w:lang w:val="en-US"/>
          </w:rPr>
          <w:t>www.perseus.tufts.edu</w:t>
        </w:r>
      </w:hyperlink>
      <w:r w:rsidRPr="60028C3E" w:rsidR="60028C3E">
        <w:rPr>
          <w:rFonts w:ascii="Times New Roman" w:hAnsi="Times New Roman" w:eastAsia="Times New Roman" w:cs="Times New Roman"/>
          <w:noProof w:val="0"/>
          <w:sz w:val="24"/>
          <w:szCs w:val="24"/>
          <w:lang w:val="en-US"/>
        </w:rPr>
        <w:t xml:space="preserve">. Available at: </w:t>
      </w:r>
      <w:hyperlink r:id="Rb5bbd54076d94d1c">
        <w:r w:rsidRPr="60028C3E" w:rsidR="60028C3E">
          <w:rPr>
            <w:rStyle w:val="Hyperlink"/>
            <w:rFonts w:ascii="Times New Roman" w:hAnsi="Times New Roman" w:eastAsia="Times New Roman" w:cs="Times New Roman"/>
            <w:noProof w:val="0"/>
            <w:sz w:val="24"/>
            <w:szCs w:val="24"/>
            <w:lang w:val="en-US"/>
          </w:rPr>
          <w:t>http://www.perseus.tufts.edu/hopper/text?doc=Perseus%3Atext%3A1999.01.0200%3Abook%3D5%3Achapter%3D71</w:t>
        </w:r>
      </w:hyperlink>
      <w:r w:rsidRPr="60028C3E" w:rsidR="60028C3E">
        <w:rPr>
          <w:rFonts w:ascii="Times New Roman" w:hAnsi="Times New Roman" w:eastAsia="Times New Roman" w:cs="Times New Roman"/>
          <w:noProof w:val="0"/>
          <w:sz w:val="24"/>
          <w:szCs w:val="24"/>
          <w:lang w:val="en-US"/>
        </w:rPr>
        <w:t xml:space="preserve"> [Accessed 2 Mar. 2023].</w:t>
      </w:r>
    </w:p>
    <w:p w:rsidR="60028C3E" w:rsidP="60028C3E" w:rsidRDefault="60028C3E" w14:paraId="15FDD279" w14:textId="4DDE2ED9">
      <w:pPr>
        <w:pStyle w:val="FootnoteText"/>
        <w:bidi w:val="0"/>
      </w:pPr>
    </w:p>
  </w:footnote>
  <w:footnote w:id="27129">
    <w:p w:rsidR="60028C3E" w:rsidP="60028C3E" w:rsidRDefault="60028C3E" w14:paraId="1B7BB397" w14:textId="4BAB09B8">
      <w:pPr>
        <w:pStyle w:val="FootnoteText"/>
        <w:bidi w:val="0"/>
      </w:pPr>
      <w:r w:rsidRPr="60028C3E">
        <w:rPr>
          <w:rStyle w:val="FootnoteReference"/>
        </w:rPr>
        <w:footnoteRef/>
      </w:r>
      <w:r w:rsidR="60028C3E">
        <w:rPr/>
        <w:t xml:space="preserve"> ibid</w:t>
      </w:r>
    </w:p>
  </w:footnote>
</w:footnotes>
</file>

<file path=word/intelligence2.xml><?xml version="1.0" encoding="utf-8"?>
<int2:intelligence xmlns:int2="http://schemas.microsoft.com/office/intelligence/2020/intelligence">
  <int2:observations>
    <int2:bookmark int2:bookmarkName="_Int_Xbkxg4Rv" int2:invalidationBookmarkName="" int2:hashCode="AxKQMzoX8fT2dT" int2:id="gatmsXjp">
      <int2:state int2:type="AugLoop_Text_Critique" int2:value="Rejected"/>
    </int2:bookmark>
    <int2:bookmark int2:bookmarkName="_Int_hR869Nkx" int2:invalidationBookmarkName="" int2:hashCode="NJJfaUHW72a0H3" int2:id="AXzUwKTX">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9B61E7"/>
    <w:rsid w:val="0093E75C"/>
    <w:rsid w:val="00CA49AB"/>
    <w:rsid w:val="00E7BE24"/>
    <w:rsid w:val="00EB70F7"/>
    <w:rsid w:val="01063464"/>
    <w:rsid w:val="016962D2"/>
    <w:rsid w:val="01996044"/>
    <w:rsid w:val="0213D49B"/>
    <w:rsid w:val="02679AF0"/>
    <w:rsid w:val="02B45F3D"/>
    <w:rsid w:val="02C7E8E2"/>
    <w:rsid w:val="03288CEB"/>
    <w:rsid w:val="033530A5"/>
    <w:rsid w:val="03807F48"/>
    <w:rsid w:val="03A1A694"/>
    <w:rsid w:val="03F5A7BA"/>
    <w:rsid w:val="04502F9E"/>
    <w:rsid w:val="05149CA1"/>
    <w:rsid w:val="058A8E2A"/>
    <w:rsid w:val="0591781B"/>
    <w:rsid w:val="05B11612"/>
    <w:rsid w:val="062479B4"/>
    <w:rsid w:val="067B29A8"/>
    <w:rsid w:val="0762CA01"/>
    <w:rsid w:val="0A2E229E"/>
    <w:rsid w:val="0B34BA7A"/>
    <w:rsid w:val="0B945BA6"/>
    <w:rsid w:val="0BC9F2FF"/>
    <w:rsid w:val="0C9B3F49"/>
    <w:rsid w:val="0CD34A59"/>
    <w:rsid w:val="0CF71BDE"/>
    <w:rsid w:val="0D77EFBE"/>
    <w:rsid w:val="0E3A21A8"/>
    <w:rsid w:val="0F668D4E"/>
    <w:rsid w:val="10082B9D"/>
    <w:rsid w:val="10373941"/>
    <w:rsid w:val="1186B054"/>
    <w:rsid w:val="118CD0F7"/>
    <w:rsid w:val="11A3FBFE"/>
    <w:rsid w:val="12855FC2"/>
    <w:rsid w:val="12B1EFF0"/>
    <w:rsid w:val="1328A158"/>
    <w:rsid w:val="14213023"/>
    <w:rsid w:val="14674C45"/>
    <w:rsid w:val="14BF14E4"/>
    <w:rsid w:val="14DB9CC0"/>
    <w:rsid w:val="14EF1256"/>
    <w:rsid w:val="156D8D54"/>
    <w:rsid w:val="166BFB0B"/>
    <w:rsid w:val="1681A621"/>
    <w:rsid w:val="16CE7B2A"/>
    <w:rsid w:val="16CECDD7"/>
    <w:rsid w:val="16F1C8EF"/>
    <w:rsid w:val="17934C75"/>
    <w:rsid w:val="1795D5DF"/>
    <w:rsid w:val="179B61E7"/>
    <w:rsid w:val="17CD6197"/>
    <w:rsid w:val="1817AD0C"/>
    <w:rsid w:val="1820E51D"/>
    <w:rsid w:val="18531F9D"/>
    <w:rsid w:val="188D9950"/>
    <w:rsid w:val="18AD0E68"/>
    <w:rsid w:val="18E07212"/>
    <w:rsid w:val="190FA958"/>
    <w:rsid w:val="192ABAB2"/>
    <w:rsid w:val="1981B04D"/>
    <w:rsid w:val="1A191AE0"/>
    <w:rsid w:val="1A1C0639"/>
    <w:rsid w:val="1A835614"/>
    <w:rsid w:val="1ACDE2A9"/>
    <w:rsid w:val="1B478FD8"/>
    <w:rsid w:val="1D50E1E6"/>
    <w:rsid w:val="1D610A73"/>
    <w:rsid w:val="1E03E512"/>
    <w:rsid w:val="1EB33313"/>
    <w:rsid w:val="1ECB05A4"/>
    <w:rsid w:val="1EECB247"/>
    <w:rsid w:val="1F259FD9"/>
    <w:rsid w:val="2048B6B8"/>
    <w:rsid w:val="2098AB35"/>
    <w:rsid w:val="22347B96"/>
    <w:rsid w:val="251C27DB"/>
    <w:rsid w:val="258A054B"/>
    <w:rsid w:val="25EB508C"/>
    <w:rsid w:val="26BC10F1"/>
    <w:rsid w:val="273E12E1"/>
    <w:rsid w:val="2746D930"/>
    <w:rsid w:val="2888874F"/>
    <w:rsid w:val="28BC6EC2"/>
    <w:rsid w:val="2A28340E"/>
    <w:rsid w:val="2A3AD2FC"/>
    <w:rsid w:val="2A439FB5"/>
    <w:rsid w:val="2AEAEF4A"/>
    <w:rsid w:val="2B419EC0"/>
    <w:rsid w:val="2B95BE1E"/>
    <w:rsid w:val="2BF5D4D5"/>
    <w:rsid w:val="2C4A5358"/>
    <w:rsid w:val="2C92FD5A"/>
    <w:rsid w:val="2CE7897B"/>
    <w:rsid w:val="2D352113"/>
    <w:rsid w:val="2D92CAFE"/>
    <w:rsid w:val="2E94C109"/>
    <w:rsid w:val="2EA8B58B"/>
    <w:rsid w:val="2FE3A25D"/>
    <w:rsid w:val="3073E6B4"/>
    <w:rsid w:val="30A16960"/>
    <w:rsid w:val="30C98F10"/>
    <w:rsid w:val="30CF046E"/>
    <w:rsid w:val="32287FA9"/>
    <w:rsid w:val="325EA40F"/>
    <w:rsid w:val="326AD4CF"/>
    <w:rsid w:val="3282BC2E"/>
    <w:rsid w:val="33774747"/>
    <w:rsid w:val="338D68C5"/>
    <w:rsid w:val="3393052A"/>
    <w:rsid w:val="34C2C627"/>
    <w:rsid w:val="35173185"/>
    <w:rsid w:val="35ED1CE9"/>
    <w:rsid w:val="36896580"/>
    <w:rsid w:val="36D75EBF"/>
    <w:rsid w:val="37863CD1"/>
    <w:rsid w:val="384CD38E"/>
    <w:rsid w:val="38AD4642"/>
    <w:rsid w:val="39CE16AF"/>
    <w:rsid w:val="3A45B717"/>
    <w:rsid w:val="3A4DCAB9"/>
    <w:rsid w:val="3A9C8B42"/>
    <w:rsid w:val="3AE0575E"/>
    <w:rsid w:val="3B69E710"/>
    <w:rsid w:val="3BA2A5A2"/>
    <w:rsid w:val="3C59ADF4"/>
    <w:rsid w:val="3D05B771"/>
    <w:rsid w:val="3D3D2AB9"/>
    <w:rsid w:val="3D484A05"/>
    <w:rsid w:val="3DD832AB"/>
    <w:rsid w:val="3F6F2EDC"/>
    <w:rsid w:val="3F9116CF"/>
    <w:rsid w:val="403D6D63"/>
    <w:rsid w:val="40B4611D"/>
    <w:rsid w:val="40B6AD4A"/>
    <w:rsid w:val="415CD12F"/>
    <w:rsid w:val="41D93DC4"/>
    <w:rsid w:val="4237C5D4"/>
    <w:rsid w:val="42527DAB"/>
    <w:rsid w:val="4305D5C0"/>
    <w:rsid w:val="43B981D2"/>
    <w:rsid w:val="43C273E7"/>
    <w:rsid w:val="43C2B5BE"/>
    <w:rsid w:val="443809E9"/>
    <w:rsid w:val="44BC6215"/>
    <w:rsid w:val="45612BAF"/>
    <w:rsid w:val="464A3A78"/>
    <w:rsid w:val="466FB76F"/>
    <w:rsid w:val="467E2D22"/>
    <w:rsid w:val="4753D444"/>
    <w:rsid w:val="4760BB03"/>
    <w:rsid w:val="4816BC69"/>
    <w:rsid w:val="482F0452"/>
    <w:rsid w:val="4A834297"/>
    <w:rsid w:val="4A9EA04D"/>
    <w:rsid w:val="4ABFD53F"/>
    <w:rsid w:val="4ADB6108"/>
    <w:rsid w:val="4BBA2403"/>
    <w:rsid w:val="4BF07A69"/>
    <w:rsid w:val="4CE899F5"/>
    <w:rsid w:val="4CEA2D8C"/>
    <w:rsid w:val="4DC75167"/>
    <w:rsid w:val="4EA37D37"/>
    <w:rsid w:val="4F4C1815"/>
    <w:rsid w:val="4FECD1E0"/>
    <w:rsid w:val="506EF2CE"/>
    <w:rsid w:val="510536B1"/>
    <w:rsid w:val="51BAD5AD"/>
    <w:rsid w:val="532A6F70"/>
    <w:rsid w:val="534F8F7B"/>
    <w:rsid w:val="53F1A785"/>
    <w:rsid w:val="558D77E6"/>
    <w:rsid w:val="55F4F63E"/>
    <w:rsid w:val="5608B58B"/>
    <w:rsid w:val="56BC923D"/>
    <w:rsid w:val="571EBC1B"/>
    <w:rsid w:val="578445E5"/>
    <w:rsid w:val="584591DB"/>
    <w:rsid w:val="58BC4111"/>
    <w:rsid w:val="59201646"/>
    <w:rsid w:val="59390BD2"/>
    <w:rsid w:val="593FF5C3"/>
    <w:rsid w:val="59C13348"/>
    <w:rsid w:val="5A736A0C"/>
    <w:rsid w:val="5A844E32"/>
    <w:rsid w:val="5ABBE6A7"/>
    <w:rsid w:val="5BD3380D"/>
    <w:rsid w:val="5C1C2073"/>
    <w:rsid w:val="5C57B708"/>
    <w:rsid w:val="5CA62381"/>
    <w:rsid w:val="5D77D507"/>
    <w:rsid w:val="5DEECCA4"/>
    <w:rsid w:val="5DF38769"/>
    <w:rsid w:val="5E6B239E"/>
    <w:rsid w:val="5EE33822"/>
    <w:rsid w:val="5F462C7B"/>
    <w:rsid w:val="5F4BEDF7"/>
    <w:rsid w:val="5F8F57CA"/>
    <w:rsid w:val="60028C3E"/>
    <w:rsid w:val="603EA436"/>
    <w:rsid w:val="6057C586"/>
    <w:rsid w:val="61007C2E"/>
    <w:rsid w:val="61266D66"/>
    <w:rsid w:val="612DFEDA"/>
    <w:rsid w:val="6168B3DC"/>
    <w:rsid w:val="61B47EC9"/>
    <w:rsid w:val="61F3F7E8"/>
    <w:rsid w:val="62010F72"/>
    <w:rsid w:val="62B29DE6"/>
    <w:rsid w:val="62C6E261"/>
    <w:rsid w:val="62D2F1E0"/>
    <w:rsid w:val="639CDFD3"/>
    <w:rsid w:val="63A96A7D"/>
    <w:rsid w:val="6425BB95"/>
    <w:rsid w:val="642A314D"/>
    <w:rsid w:val="645E0E28"/>
    <w:rsid w:val="64A0549E"/>
    <w:rsid w:val="64FB1275"/>
    <w:rsid w:val="653C753B"/>
    <w:rsid w:val="655279A6"/>
    <w:rsid w:val="66A0C720"/>
    <w:rsid w:val="672E2C22"/>
    <w:rsid w:val="68553478"/>
    <w:rsid w:val="68C9FC83"/>
    <w:rsid w:val="6942FE06"/>
    <w:rsid w:val="6952D382"/>
    <w:rsid w:val="69B6860E"/>
    <w:rsid w:val="6B94A102"/>
    <w:rsid w:val="6C17BB1A"/>
    <w:rsid w:val="6C8EEFBA"/>
    <w:rsid w:val="6CCB295A"/>
    <w:rsid w:val="6D089BE4"/>
    <w:rsid w:val="6D6854E5"/>
    <w:rsid w:val="6DA07C61"/>
    <w:rsid w:val="6DDE50AC"/>
    <w:rsid w:val="6F6D74F1"/>
    <w:rsid w:val="70342A33"/>
    <w:rsid w:val="70DBFADE"/>
    <w:rsid w:val="7100639A"/>
    <w:rsid w:val="716260DD"/>
    <w:rsid w:val="72324DF6"/>
    <w:rsid w:val="759304C1"/>
    <w:rsid w:val="76E84877"/>
    <w:rsid w:val="779FDF82"/>
    <w:rsid w:val="77B3C03A"/>
    <w:rsid w:val="781D49E8"/>
    <w:rsid w:val="7A6A8E99"/>
    <w:rsid w:val="7A8127BF"/>
    <w:rsid w:val="7B75C494"/>
    <w:rsid w:val="7D6F9BB8"/>
    <w:rsid w:val="7E0C5804"/>
    <w:rsid w:val="7E7D6C01"/>
    <w:rsid w:val="7F5447F3"/>
    <w:rsid w:val="7F601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B61E7"/>
  <w15:chartTrackingRefBased/>
  <w15:docId w15:val="{F6FADA47-8BD6-4024-9A72-41BB4B8029E3}"/>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perseus.tufts.edu/hopper/text?doc=Perseus%3Atext%3A1999.01.0200%3Abook%3D5%3Achapter%3D71" TargetMode="External" Id="Rfc657588dea34eb9" /><Relationship Type="http://schemas.openxmlformats.org/officeDocument/2006/relationships/hyperlink" Target="https://www.jstor.org/stable/10.3366/j.ctt1bh2hwv.10" TargetMode="External" Id="Rb2d9a173641541e2" /><Relationship Type="http://schemas.openxmlformats.org/officeDocument/2006/relationships/hyperlink" Target="https://bmcr.brynmawr.edu/2004/2004.07.13/" TargetMode="External" Id="R6045e0e1fcf54478" /><Relationship Type="http://schemas.openxmlformats.org/officeDocument/2006/relationships/footnotes" Target="footnotes.xml" Id="R9f9c379d4c1f4304" /><Relationship Type="http://schemas.microsoft.com/office/2020/10/relationships/intelligence" Target="intelligence2.xml" Id="Rbf21b5458a554b92" /></Relationships>
</file>

<file path=word/_rels/footnotes.xml.rels>&#65279;<?xml version="1.0" encoding="utf-8"?><Relationships xmlns="http://schemas.openxmlformats.org/package/2006/relationships"><Relationship Type="http://schemas.openxmlformats.org/officeDocument/2006/relationships/hyperlink" Target="http://www.perseus.tufts.edu/hopper/text?doc=Perseus%3Atext%3A1999.01.0200%3Abook%3D5%3Achapter%3D70" TargetMode="External" Id="Rb40b34bf77c14862" /><Relationship Type="http://schemas.openxmlformats.org/officeDocument/2006/relationships/hyperlink" Target="https://www.jstor.org/stable/10.3366/j.ctt1bh2hwv.10" TargetMode="External" Id="R53b35dfc56904109" /><Relationship Type="http://schemas.openxmlformats.org/officeDocument/2006/relationships/hyperlink" Target="http://www.perseus.tufts.edu/hopper/text?doc=Perseus%3Atext%3A1999.01.0200%3Abook%3D1%3Achapter%3D22%3Asection%3D4" TargetMode="External" Id="Rbe3b270bd5f6434f" /><Relationship Type="http://schemas.openxmlformats.org/officeDocument/2006/relationships/hyperlink" Target="http://www.perseus.tufts.edu/hopper/text?doc=Perseus%3Atext%3A1999.01.0200%3Abook%3D5%3Achapter%3D70" TargetMode="External" Id="R8b54d39d86ef4b11" /><Relationship Type="http://schemas.openxmlformats.org/officeDocument/2006/relationships/hyperlink" Target="https://bmcr.brynmawr.edu/2004/2004.07.13/" TargetMode="External" Id="Rc848c5b84e074665" /><Relationship Type="http://schemas.openxmlformats.org/officeDocument/2006/relationships/hyperlink" Target="http://www.perseus.tufts.edu/hopper/text?doc=Perseus%3Atext%3A1999.01.0200%3Abook%3D5%3Achapter%3D71" TargetMode="External" Id="Rb5bbd54076d94d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2023-03-02T17:16:28.9214239Z</dcterms:created>
  <dcterms:modified xsi:type="dcterms:W3CDTF">2023-03-02T23:23:56.6689163Z</dcterms:modified>
  <dc:creator>Pijus Norkus (2100846)</dc:creator>
  <lastModifiedBy>Pijus Norkus (2100846)</lastModifiedBy>
</coreProperties>
</file>