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709653" w14:textId="5640E2CA" w:rsidR="009A3494" w:rsidRPr="009A3494" w:rsidRDefault="00DD6885" w:rsidP="00E01337">
      <w:pPr>
        <w:keepNext/>
        <w:keepLines/>
        <w:spacing w:before="40" w:after="0" w:line="259" w:lineRule="auto"/>
        <w:ind w:left="0" w:right="0"/>
        <w:outlineLvl w:val="1"/>
        <w:rPr>
          <w:rFonts w:ascii="Calibri Light" w:eastAsia="Times New Roman" w:hAnsi="Calibri Light"/>
          <w:color w:val="2E74B5"/>
          <w:sz w:val="26"/>
          <w:szCs w:val="26"/>
          <w:lang w:eastAsia="en-GB"/>
        </w:rPr>
      </w:pPr>
      <w:r>
        <w:rPr>
          <w:rFonts w:ascii="Calibri Light" w:eastAsia="Times New Roman" w:hAnsi="Calibri Light"/>
          <w:color w:val="2E74B5"/>
          <w:sz w:val="26"/>
          <w:szCs w:val="26"/>
          <w:lang w:eastAsia="en-GB"/>
        </w:rPr>
        <w:t xml:space="preserve">8. </w:t>
      </w:r>
      <w:r w:rsidR="009A3494" w:rsidRPr="009A3494">
        <w:rPr>
          <w:rFonts w:ascii="Calibri Light" w:eastAsia="Times New Roman" w:hAnsi="Calibri Light"/>
          <w:color w:val="2E74B5"/>
          <w:sz w:val="26"/>
          <w:szCs w:val="26"/>
          <w:lang w:eastAsia="en-GB"/>
        </w:rPr>
        <w:t>“I am myself alone”</w:t>
      </w:r>
    </w:p>
    <w:p w14:paraId="3343A0A8"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p>
    <w:p w14:paraId="447710D7"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So, then, is the pursuit of ‘the SELF’ or ‘the soul’ or, indeed,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 misconceived, a will o’ the wisp—leaving aside the question how would you know that it is </w:t>
      </w:r>
      <w:r w:rsidRPr="009A3494">
        <w:rPr>
          <w:rFonts w:ascii="Book Antiqua" w:eastAsia="Times New Roman" w:hAnsi="Book Antiqua"/>
          <w:i/>
          <w:color w:val="333333"/>
          <w:sz w:val="24"/>
          <w:szCs w:val="24"/>
          <w:lang w:eastAsia="en-GB"/>
        </w:rPr>
        <w:t>this</w:t>
      </w:r>
      <w:r w:rsidRPr="009A3494">
        <w:rPr>
          <w:rFonts w:ascii="Book Antiqua" w:eastAsia="Times New Roman" w:hAnsi="Book Antiqua"/>
          <w:color w:val="333333"/>
          <w:sz w:val="24"/>
          <w:szCs w:val="24"/>
          <w:lang w:eastAsia="en-GB"/>
        </w:rPr>
        <w:t>—permanent, unchanging—of which one is allegedly conscious? Does the failure to be continuously conscious of it show that there is no such thing? Must we dismiss the idea of a ‘</w:t>
      </w:r>
      <w:proofErr w:type="spellStart"/>
      <w:r w:rsidRPr="009A3494">
        <w:rPr>
          <w:rFonts w:ascii="Book Antiqua" w:eastAsia="Times New Roman" w:hAnsi="Book Antiqua"/>
          <w:color w:val="333333"/>
          <w:sz w:val="24"/>
          <w:szCs w:val="24"/>
          <w:lang w:eastAsia="en-GB"/>
        </w:rPr>
        <w:t>substantival</w:t>
      </w:r>
      <w:proofErr w:type="spellEnd"/>
      <w:r w:rsidRPr="009A3494">
        <w:rPr>
          <w:rFonts w:ascii="Book Antiqua" w:eastAsia="Times New Roman" w:hAnsi="Book Antiqua"/>
          <w:color w:val="333333"/>
          <w:sz w:val="24"/>
          <w:szCs w:val="24"/>
          <w:lang w:eastAsia="en-GB"/>
        </w:rPr>
        <w:t xml:space="preserve"> self’, to use a term that comes from that Welsh philosopher</w:t>
      </w:r>
      <w:r w:rsidRPr="009A3494">
        <w:rPr>
          <w:rFonts w:ascii="Book Antiqua" w:eastAsia="Times New Roman" w:hAnsi="Book Antiqua"/>
          <w:color w:val="333333"/>
          <w:sz w:val="24"/>
          <w:szCs w:val="24"/>
          <w:vertAlign w:val="superscript"/>
          <w:lang w:eastAsia="en-GB"/>
        </w:rPr>
        <w:footnoteReference w:id="1"/>
      </w:r>
      <w:r w:rsidRPr="009A3494">
        <w:rPr>
          <w:rFonts w:ascii="Book Antiqua" w:eastAsia="Times New Roman" w:hAnsi="Book Antiqua"/>
          <w:color w:val="333333"/>
          <w:sz w:val="24"/>
          <w:szCs w:val="24"/>
          <w:lang w:eastAsia="en-GB"/>
        </w:rPr>
        <w:t xml:space="preserve"> of an earlier generation, Hywel David Lewis?</w:t>
      </w:r>
      <w:r w:rsidRPr="009A3494">
        <w:rPr>
          <w:rFonts w:ascii="Book Antiqua" w:eastAsia="Times New Roman" w:hAnsi="Book Antiqua"/>
          <w:color w:val="333333"/>
          <w:sz w:val="24"/>
          <w:szCs w:val="24"/>
          <w:vertAlign w:val="superscript"/>
          <w:lang w:eastAsia="en-GB"/>
        </w:rPr>
        <w:footnoteReference w:id="2"/>
      </w:r>
      <w:r w:rsidRPr="009A3494">
        <w:rPr>
          <w:rFonts w:ascii="Book Antiqua" w:eastAsia="Times New Roman" w:hAnsi="Book Antiqua"/>
          <w:color w:val="333333"/>
          <w:sz w:val="24"/>
          <w:szCs w:val="24"/>
          <w:lang w:eastAsia="en-GB"/>
        </w:rPr>
        <w:t xml:space="preserve"> I discuss Lewis in the first place because he attempted to by-pass Hume’s scepticism, and, in the second, because the way he talked of the soul and ‘the elusive self’ attracted the attention of an important recent proponent of </w:t>
      </w:r>
      <w:proofErr w:type="spellStart"/>
      <w:r w:rsidRPr="009A3494">
        <w:rPr>
          <w:rFonts w:ascii="Book Antiqua" w:eastAsia="Times New Roman" w:hAnsi="Book Antiqua"/>
          <w:color w:val="333333"/>
          <w:sz w:val="24"/>
          <w:szCs w:val="24"/>
          <w:lang w:eastAsia="en-GB"/>
        </w:rPr>
        <w:t>Advaita</w:t>
      </w:r>
      <w:proofErr w:type="spellEnd"/>
      <w:r w:rsidRPr="009A3494">
        <w:rPr>
          <w:rFonts w:ascii="Book Antiqua" w:eastAsia="Times New Roman" w:hAnsi="Book Antiqua"/>
          <w:color w:val="333333"/>
          <w:sz w:val="24"/>
          <w:szCs w:val="24"/>
          <w:lang w:eastAsia="en-GB"/>
        </w:rPr>
        <w:t xml:space="preserve"> Vedanta, Ramchandra Gandhi. I recall attending a lecture in the late nineteen sixties by Lewis, who said this:</w:t>
      </w:r>
    </w:p>
    <w:p w14:paraId="26CDF0B5"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For those who posit, as I do, a self that is more than its passing states, and which may not be reduced at all to observable phenomena, the problem arises at once of how such a self is to be described and identified. It cannot be identified in terms of any pattern of experience or of any relation to a physically identifiable body. How then can it be known at all? It is known, I maintain, solely in the way each one, in the first instance, knows himself to be the unique being he is. No one, at this level, is in any doubt as to who he is—he is himself. … The mistake of many who defend a </w:t>
      </w:r>
      <w:proofErr w:type="spellStart"/>
      <w:r w:rsidRPr="009A3494">
        <w:rPr>
          <w:rFonts w:ascii="Book Antiqua" w:eastAsia="Times New Roman" w:hAnsi="Book Antiqua"/>
          <w:color w:val="333333"/>
          <w:sz w:val="24"/>
          <w:szCs w:val="24"/>
          <w:lang w:eastAsia="en-GB"/>
        </w:rPr>
        <w:t>substantival</w:t>
      </w:r>
      <w:proofErr w:type="spellEnd"/>
      <w:r w:rsidRPr="009A3494">
        <w:rPr>
          <w:rFonts w:ascii="Book Antiqua" w:eastAsia="Times New Roman" w:hAnsi="Book Antiqua"/>
          <w:color w:val="333333"/>
          <w:sz w:val="24"/>
          <w:szCs w:val="24"/>
          <w:lang w:eastAsia="en-GB"/>
        </w:rPr>
        <w:t xml:space="preserve"> view of the self is to take up the challenge of those who demand a description of such a self; for the moment they do so, as we all know, they are in the hands of their critics. On the other hand, it would be a mistake to suppose that the self which is thus uniquely known to itself can be known or be thought to exist apart from </w:t>
      </w:r>
      <w:proofErr w:type="gramStart"/>
      <w:r w:rsidRPr="009A3494">
        <w:rPr>
          <w:rFonts w:ascii="Book Antiqua" w:eastAsia="Times New Roman" w:hAnsi="Book Antiqua"/>
          <w:color w:val="333333"/>
          <w:sz w:val="24"/>
          <w:szCs w:val="24"/>
          <w:lang w:eastAsia="en-GB"/>
        </w:rPr>
        <w:t>its</w:t>
      </w:r>
      <w:proofErr w:type="gramEnd"/>
      <w:r w:rsidRPr="009A3494">
        <w:rPr>
          <w:rFonts w:ascii="Book Antiqua" w:eastAsia="Times New Roman" w:hAnsi="Book Antiqua"/>
          <w:color w:val="333333"/>
          <w:sz w:val="24"/>
          <w:szCs w:val="24"/>
          <w:lang w:eastAsia="en-GB"/>
        </w:rPr>
        <w:t xml:space="preserve"> having certain experiences (pp 168-169).</w:t>
      </w:r>
    </w:p>
    <w:p w14:paraId="4598191C"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lastRenderedPageBreak/>
        <w:t xml:space="preserve">Hume is clearly in his mind, this ‘self’ is not something that could be </w:t>
      </w:r>
      <w:r w:rsidRPr="009A3494">
        <w:rPr>
          <w:rFonts w:ascii="Book Antiqua" w:eastAsia="Times New Roman" w:hAnsi="Book Antiqua"/>
          <w:i/>
          <w:color w:val="333333"/>
          <w:sz w:val="24"/>
          <w:szCs w:val="24"/>
          <w:lang w:eastAsia="en-GB"/>
        </w:rPr>
        <w:t>observed</w:t>
      </w:r>
      <w:r w:rsidRPr="009A3494">
        <w:rPr>
          <w:rFonts w:ascii="Book Antiqua" w:eastAsia="Times New Roman" w:hAnsi="Book Antiqua"/>
          <w:color w:val="333333"/>
          <w:sz w:val="24"/>
          <w:szCs w:val="24"/>
          <w:lang w:eastAsia="en-GB"/>
        </w:rPr>
        <w:t xml:space="preserve">, partly, perhaps, as I should want to say, because it </w:t>
      </w:r>
      <w:r w:rsidRPr="009A3494">
        <w:rPr>
          <w:rFonts w:ascii="Book Antiqua" w:eastAsia="Times New Roman" w:hAnsi="Book Antiqua"/>
          <w:i/>
          <w:color w:val="333333"/>
          <w:sz w:val="24"/>
          <w:szCs w:val="24"/>
          <w:lang w:eastAsia="en-GB"/>
        </w:rPr>
        <w:t>is</w:t>
      </w:r>
      <w:r w:rsidRPr="009A3494">
        <w:rPr>
          <w:rFonts w:ascii="Book Antiqua" w:eastAsia="Times New Roman" w:hAnsi="Book Antiqua"/>
          <w:color w:val="333333"/>
          <w:sz w:val="24"/>
          <w:szCs w:val="24"/>
          <w:lang w:eastAsia="en-GB"/>
        </w:rPr>
        <w:t xml:space="preserve"> the observer and can’t in that way catch itself, </w:t>
      </w:r>
      <w:r w:rsidRPr="009A3494">
        <w:rPr>
          <w:rFonts w:ascii="Book Antiqua" w:eastAsia="Times New Roman" w:hAnsi="Book Antiqua"/>
          <w:i/>
          <w:color w:val="333333"/>
          <w:sz w:val="24"/>
          <w:szCs w:val="24"/>
          <w:lang w:eastAsia="en-GB"/>
        </w:rPr>
        <w:t>pace</w:t>
      </w:r>
      <w:r w:rsidRPr="009A3494">
        <w:rPr>
          <w:rFonts w:ascii="Book Antiqua" w:eastAsia="Times New Roman" w:hAnsi="Book Antiqua"/>
          <w:color w:val="333333"/>
          <w:sz w:val="24"/>
          <w:szCs w:val="24"/>
          <w:lang w:eastAsia="en-GB"/>
        </w:rPr>
        <w:t xml:space="preserve"> Hume. But I  wonder  whether Lewis trades on the ambiguity of talk of ‘self-consciousness’ in this passage, pushing it towards his own conception of an elusive self, when he says that this ‘self’ is known ‘in the way each one … knows himself to be the unique being he is’. I think Lewis says too much.  Do I know myself in my uniqueness? </w:t>
      </w:r>
      <w:proofErr w:type="gramStart"/>
      <w:r w:rsidRPr="009A3494">
        <w:rPr>
          <w:rFonts w:ascii="Book Antiqua" w:eastAsia="Times New Roman" w:hAnsi="Book Antiqua"/>
          <w:color w:val="333333"/>
          <w:sz w:val="24"/>
          <w:szCs w:val="24"/>
          <w:lang w:eastAsia="en-GB"/>
        </w:rPr>
        <w:t>Of course</w:t>
      </w:r>
      <w:proofErr w:type="gramEnd"/>
      <w:r w:rsidRPr="009A3494">
        <w:rPr>
          <w:rFonts w:ascii="Book Antiqua" w:eastAsia="Times New Roman" w:hAnsi="Book Antiqua"/>
          <w:color w:val="333333"/>
          <w:sz w:val="24"/>
          <w:szCs w:val="24"/>
          <w:lang w:eastAsia="en-GB"/>
        </w:rPr>
        <w:t xml:space="preserve"> I can, </w:t>
      </w:r>
      <w:r w:rsidRPr="009A3494">
        <w:rPr>
          <w:rFonts w:ascii="Book Antiqua" w:eastAsia="Times New Roman" w:hAnsi="Book Antiqua"/>
          <w:i/>
          <w:color w:val="333333"/>
          <w:sz w:val="24"/>
          <w:szCs w:val="24"/>
          <w:lang w:eastAsia="en-GB"/>
        </w:rPr>
        <w:t>on reflection</w:t>
      </w:r>
      <w:r w:rsidRPr="009A3494">
        <w:rPr>
          <w:rFonts w:ascii="Book Antiqua" w:eastAsia="Times New Roman" w:hAnsi="Book Antiqua"/>
          <w:color w:val="333333"/>
          <w:sz w:val="24"/>
          <w:szCs w:val="24"/>
          <w:lang w:eastAsia="en-GB"/>
        </w:rPr>
        <w:t xml:space="preserve">, conclude that I am a unique being, in just the way everyone else is, taking into account history, space and time, life narrative and so forth. I might say, yes, well, I am indeed </w:t>
      </w:r>
      <w:r w:rsidRPr="009A3494">
        <w:rPr>
          <w:rFonts w:ascii="Book Antiqua" w:eastAsia="Times New Roman" w:hAnsi="Book Antiqua"/>
          <w:i/>
          <w:color w:val="333333"/>
          <w:sz w:val="24"/>
          <w:szCs w:val="24"/>
          <w:lang w:eastAsia="en-GB"/>
        </w:rPr>
        <w:t>this</w:t>
      </w:r>
      <w:r w:rsidRPr="009A3494">
        <w:rPr>
          <w:rFonts w:ascii="Book Antiqua" w:eastAsia="Times New Roman" w:hAnsi="Book Antiqua"/>
          <w:color w:val="333333"/>
          <w:sz w:val="24"/>
          <w:szCs w:val="24"/>
          <w:lang w:eastAsia="en-GB"/>
        </w:rPr>
        <w:t xml:space="preserve"> person, not any other, but this is hardly the same as the thought that I know myself </w:t>
      </w:r>
      <w:r w:rsidRPr="009A3494">
        <w:rPr>
          <w:rFonts w:ascii="Book Antiqua" w:eastAsia="Times New Roman" w:hAnsi="Book Antiqua"/>
          <w:i/>
          <w:color w:val="333333"/>
          <w:sz w:val="24"/>
          <w:szCs w:val="24"/>
          <w:lang w:eastAsia="en-GB"/>
        </w:rPr>
        <w:t>as</w:t>
      </w:r>
      <w:r w:rsidRPr="009A3494">
        <w:rPr>
          <w:rFonts w:ascii="Book Antiqua" w:eastAsia="Times New Roman" w:hAnsi="Book Antiqua"/>
          <w:color w:val="333333"/>
          <w:sz w:val="24"/>
          <w:szCs w:val="24"/>
          <w:lang w:eastAsia="en-GB"/>
        </w:rPr>
        <w:t xml:space="preserve"> a unique being, except in this reflective, discursive sense. Lewis seems to be drawing on a kind of ancient reassurance, the hairs on my head are numbered, I am a child of God, individually known and loved by God. I can imagine someone having this form of awareness of themselves, but ‘the unique being that I am’ is not a primitive intuition or form of awareness. Lewis talks of a self that is ‘more than its passing states’ and rightly so—a ‘state’ has to be the state of </w:t>
      </w:r>
      <w:r w:rsidRPr="009A3494">
        <w:rPr>
          <w:rFonts w:ascii="Book Antiqua" w:eastAsia="Times New Roman" w:hAnsi="Book Antiqua"/>
          <w:i/>
          <w:color w:val="333333"/>
          <w:sz w:val="24"/>
          <w:szCs w:val="24"/>
          <w:lang w:eastAsia="en-GB"/>
        </w:rPr>
        <w:t>something</w:t>
      </w:r>
      <w:r w:rsidRPr="009A3494">
        <w:rPr>
          <w:rFonts w:ascii="Book Antiqua" w:eastAsia="Times New Roman" w:hAnsi="Book Antiqua"/>
          <w:color w:val="333333"/>
          <w:sz w:val="24"/>
          <w:szCs w:val="24"/>
          <w:lang w:eastAsia="en-GB"/>
        </w:rPr>
        <w:t xml:space="preserve">, but ‘a human being’ is the obvious candidate. If we talk about ‘the state of my soul’ we do indeed help ourselves to a </w:t>
      </w:r>
      <w:proofErr w:type="gramStart"/>
      <w:r w:rsidRPr="009A3494">
        <w:rPr>
          <w:rFonts w:ascii="Book Antiqua" w:eastAsia="Times New Roman" w:hAnsi="Book Antiqua"/>
          <w:color w:val="333333"/>
          <w:sz w:val="24"/>
          <w:szCs w:val="24"/>
          <w:lang w:eastAsia="en-GB"/>
        </w:rPr>
        <w:t>particular and</w:t>
      </w:r>
      <w:proofErr w:type="gramEnd"/>
      <w:r w:rsidRPr="009A3494">
        <w:rPr>
          <w:rFonts w:ascii="Book Antiqua" w:eastAsia="Times New Roman" w:hAnsi="Book Antiqua"/>
          <w:color w:val="333333"/>
          <w:sz w:val="24"/>
          <w:szCs w:val="24"/>
          <w:lang w:eastAsia="en-GB"/>
        </w:rPr>
        <w:t xml:space="preserve"> traditional language, but we refer to my moral condition, as revealed in thought and deed. The temptation is to think that this is precisely a ‘self’ in the sense of SELF. However, and Lewis is right in what he implies, Hume doesn’t establish that there is no ‘self’— he simply establishes that no one is going to be able to trace back the ‘idea’ of a SELF to a corresponding impression, not least because Hume is using an attenuated meaning of ‘idea’ which allies it closely to the notion of an ‘image’. But the self-consciousness of human beings was never the consciousness of a SELF.  Lewis is also right when he says that ‘the mistake … is to take up the challenge of those who demand a description of such a self, for the moment they do so … they are in the hands of their critics’; and right to say that it is ‘a mistake to suppose that the self which is … uniquely known to itself can be known or be thought to exist apart from its having certain experiences’. Self-consciousness is an essential aspect of experience, or at least, echoing Kant, its </w:t>
      </w:r>
      <w:r w:rsidRPr="009A3494">
        <w:rPr>
          <w:rFonts w:ascii="Book Antiqua" w:eastAsia="Times New Roman" w:hAnsi="Book Antiqua"/>
          <w:i/>
          <w:color w:val="333333"/>
          <w:sz w:val="24"/>
          <w:szCs w:val="24"/>
          <w:lang w:eastAsia="en-GB"/>
        </w:rPr>
        <w:t>possibility</w:t>
      </w:r>
      <w:r w:rsidRPr="009A3494">
        <w:rPr>
          <w:rFonts w:ascii="Book Antiqua" w:eastAsia="Times New Roman" w:hAnsi="Book Antiqua"/>
          <w:color w:val="333333"/>
          <w:sz w:val="24"/>
          <w:szCs w:val="24"/>
          <w:lang w:eastAsia="en-GB"/>
        </w:rPr>
        <w:t xml:space="preserve"> is essential. But ‘being uniquely known to itself’ is not the same as ‘knowing oneself to be the unique being one is’, however, since the former simply implies that the self-consciousness that Lewis refers to is distinctive and </w:t>
      </w:r>
      <w:r w:rsidRPr="009A3494">
        <w:rPr>
          <w:rFonts w:ascii="Book Antiqua" w:eastAsia="Times New Roman" w:hAnsi="Book Antiqua"/>
          <w:i/>
          <w:color w:val="333333"/>
          <w:sz w:val="24"/>
          <w:szCs w:val="24"/>
          <w:lang w:eastAsia="en-GB"/>
        </w:rPr>
        <w:t>sui generis</w:t>
      </w:r>
      <w:r w:rsidRPr="009A3494">
        <w:rPr>
          <w:rFonts w:ascii="Book Antiqua" w:eastAsia="Times New Roman" w:hAnsi="Book Antiqua"/>
          <w:color w:val="333333"/>
          <w:sz w:val="24"/>
          <w:szCs w:val="24"/>
          <w:lang w:eastAsia="en-GB"/>
        </w:rPr>
        <w:t xml:space="preserve"> and ineffable. The conceptual danger is that one tailors the notion of ‘experience’ to refer exclusively to something ‘inner’, as opposed, say, to the experience of running out of petrol on an isolated Welsh road in the middle of winter—that is something that happens to a human being, not an inner self, though, indeed, there is something that it is like to run out of petrol on an isolated Welsh road in winter. I used the words </w:t>
      </w:r>
      <w:r w:rsidRPr="009A3494">
        <w:rPr>
          <w:rFonts w:ascii="Book Antiqua" w:eastAsia="Times New Roman" w:hAnsi="Book Antiqua"/>
          <w:i/>
          <w:color w:val="333333"/>
          <w:sz w:val="24"/>
          <w:szCs w:val="24"/>
          <w:lang w:eastAsia="en-GB"/>
        </w:rPr>
        <w:t>sui generis</w:t>
      </w:r>
      <w:r w:rsidRPr="009A3494">
        <w:rPr>
          <w:rFonts w:ascii="Book Antiqua" w:eastAsia="Times New Roman" w:hAnsi="Book Antiqua"/>
          <w:color w:val="333333"/>
          <w:sz w:val="24"/>
          <w:szCs w:val="24"/>
          <w:lang w:eastAsia="en-GB"/>
        </w:rPr>
        <w:t xml:space="preserve"> and </w:t>
      </w:r>
      <w:r w:rsidRPr="009A3494">
        <w:rPr>
          <w:rFonts w:ascii="Book Antiqua" w:eastAsia="Times New Roman" w:hAnsi="Book Antiqua"/>
          <w:i/>
          <w:color w:val="333333"/>
          <w:sz w:val="24"/>
          <w:szCs w:val="24"/>
          <w:lang w:eastAsia="en-GB"/>
        </w:rPr>
        <w:t>ineffable</w:t>
      </w:r>
      <w:r w:rsidRPr="009A3494">
        <w:rPr>
          <w:rFonts w:ascii="Book Antiqua" w:eastAsia="Times New Roman" w:hAnsi="Book Antiqua"/>
          <w:color w:val="333333"/>
          <w:sz w:val="24"/>
          <w:szCs w:val="24"/>
          <w:lang w:eastAsia="en-GB"/>
        </w:rPr>
        <w:t xml:space="preserve">’ just now because I think Lewis is indeed trying to capture something elusive about self-consciousness, the feeling of it, and the attempt to put it into words quickly goes awry. Self-consciousness is not one </w:t>
      </w:r>
      <w:proofErr w:type="gramStart"/>
      <w:r w:rsidRPr="009A3494">
        <w:rPr>
          <w:rFonts w:ascii="Book Antiqua" w:eastAsia="Times New Roman" w:hAnsi="Book Antiqua"/>
          <w:color w:val="333333"/>
          <w:sz w:val="24"/>
          <w:szCs w:val="24"/>
          <w:lang w:eastAsia="en-GB"/>
        </w:rPr>
        <w:t>thing,</w:t>
      </w:r>
      <w:proofErr w:type="gramEnd"/>
      <w:r w:rsidRPr="009A3494">
        <w:rPr>
          <w:rFonts w:ascii="Book Antiqua" w:eastAsia="Times New Roman" w:hAnsi="Book Antiqua"/>
          <w:color w:val="333333"/>
          <w:sz w:val="24"/>
          <w:szCs w:val="24"/>
          <w:lang w:eastAsia="en-GB"/>
        </w:rPr>
        <w:t xml:space="preserve"> however, an unhappy consciousness has a different weight from a happy one. It seems to me to go awry when Lewis says </w:t>
      </w:r>
      <w:proofErr w:type="gramStart"/>
      <w:r w:rsidRPr="009A3494">
        <w:rPr>
          <w:rFonts w:ascii="Book Antiqua" w:eastAsia="Times New Roman" w:hAnsi="Book Antiqua"/>
          <w:color w:val="333333"/>
          <w:sz w:val="24"/>
          <w:szCs w:val="24"/>
          <w:lang w:eastAsia="en-GB"/>
        </w:rPr>
        <w:t>this:—</w:t>
      </w:r>
      <w:proofErr w:type="gramEnd"/>
      <w:r w:rsidRPr="009A3494">
        <w:rPr>
          <w:rFonts w:ascii="Book Antiqua" w:eastAsia="Times New Roman" w:hAnsi="Book Antiqua"/>
          <w:color w:val="333333"/>
          <w:sz w:val="24"/>
          <w:szCs w:val="24"/>
          <w:lang w:eastAsia="en-GB"/>
        </w:rPr>
        <w:t xml:space="preserve">‘No one, at this level, is in any doubt as to who he is—he is himself’. ‘Doubt’ is too epistemologically entangled a word to get a purchase here, as is the ‘certainty’ mentioned a little earlier by David Hume. Lewis would say, I think, that even in a state of amnesia at least I know who I am, I am myself.  When Lear </w:t>
      </w:r>
      <w:proofErr w:type="gramStart"/>
      <w:r w:rsidRPr="009A3494">
        <w:rPr>
          <w:rFonts w:ascii="Book Antiqua" w:eastAsia="Times New Roman" w:hAnsi="Book Antiqua"/>
          <w:color w:val="333333"/>
          <w:sz w:val="24"/>
          <w:szCs w:val="24"/>
          <w:lang w:eastAsia="en-GB"/>
        </w:rPr>
        <w:t>asks</w:t>
      </w:r>
      <w:proofErr w:type="gramEnd"/>
      <w:r w:rsidRPr="009A3494">
        <w:rPr>
          <w:rFonts w:ascii="Book Antiqua" w:eastAsia="Times New Roman" w:hAnsi="Book Antiqua"/>
          <w:color w:val="333333"/>
          <w:sz w:val="24"/>
          <w:szCs w:val="24"/>
          <w:lang w:eastAsia="en-GB"/>
        </w:rPr>
        <w:t xml:space="preserve"> ‘who is it that can tell me who I am?’ he is lamenting the absence of those co-ordinates of power which had earlier defined him in his social position. Presumably Lewis would say that nevertheless even in this state Lear has no doubt about who he is—he is himself. Lear would know that he himself is asking the question, who is it who can tell me who I am? The language seems to be idling if I say at least I know who I am, I am myself—lost in the middle of the desert, someone blurts out ‘at least we know we are </w:t>
      </w:r>
      <w:r w:rsidRPr="009A3494">
        <w:rPr>
          <w:rFonts w:ascii="Book Antiqua" w:eastAsia="Times New Roman" w:hAnsi="Book Antiqua"/>
          <w:i/>
          <w:color w:val="333333"/>
          <w:sz w:val="24"/>
          <w:szCs w:val="24"/>
          <w:lang w:eastAsia="en-GB"/>
        </w:rPr>
        <w:t>here</w:t>
      </w:r>
      <w:r w:rsidRPr="009A3494">
        <w:rPr>
          <w:rFonts w:ascii="Book Antiqua" w:eastAsia="Times New Roman" w:hAnsi="Book Antiqua"/>
          <w:color w:val="333333"/>
          <w:sz w:val="24"/>
          <w:szCs w:val="24"/>
          <w:lang w:eastAsia="en-GB"/>
        </w:rPr>
        <w:t>’. Nevertheless, we are self-conscious beings and being self-conscious is not the same as self-awareness or self-knowledge—both of which are roughly ethical categories—and we are conscious of ourselves thinking, feeling and acting, they have a feeling tone which is not captured in words, and not always the same feeling tone: ‘I should have been a pair of ragged claws …’; ‘I have heard the mermaids singing, each to each’ … As Wittgenstein said: ‘if only you do not try to utter what cannot be uttered, then nothing gets lost, but the unutterable is contained, unutterably, in what has been uttered’</w:t>
      </w:r>
      <w:r w:rsidRPr="009A3494">
        <w:rPr>
          <w:rFonts w:ascii="Book Antiqua" w:eastAsia="Times New Roman" w:hAnsi="Book Antiqua"/>
          <w:color w:val="333333"/>
          <w:sz w:val="24"/>
          <w:szCs w:val="24"/>
          <w:vertAlign w:val="superscript"/>
          <w:lang w:eastAsia="en-GB"/>
        </w:rPr>
        <w:footnoteReference w:id="3"/>
      </w:r>
    </w:p>
    <w:p w14:paraId="77081A57"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2</w:t>
      </w:r>
    </w:p>
    <w:p w14:paraId="0CE76D46"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One reason for introducing H.D. Lewis into this discussion is, as I noted, that in an early and intriguing essay</w:t>
      </w:r>
      <w:r w:rsidRPr="009A3494">
        <w:rPr>
          <w:rFonts w:ascii="Book Antiqua" w:eastAsia="Times New Roman" w:hAnsi="Book Antiqua"/>
          <w:color w:val="333333"/>
          <w:sz w:val="24"/>
          <w:szCs w:val="24"/>
          <w:vertAlign w:val="superscript"/>
          <w:lang w:eastAsia="en-GB"/>
        </w:rPr>
        <w:footnoteReference w:id="4"/>
      </w:r>
      <w:r w:rsidRPr="009A3494">
        <w:rPr>
          <w:rFonts w:ascii="Book Antiqua" w:eastAsia="Times New Roman" w:hAnsi="Book Antiqua"/>
          <w:color w:val="333333"/>
          <w:sz w:val="24"/>
          <w:szCs w:val="24"/>
          <w:lang w:eastAsia="en-GB"/>
        </w:rPr>
        <w:t xml:space="preserve"> the distinguished </w:t>
      </w:r>
      <w:proofErr w:type="spellStart"/>
      <w:r w:rsidRPr="009A3494">
        <w:rPr>
          <w:rFonts w:ascii="Book Antiqua" w:eastAsia="Times New Roman" w:hAnsi="Book Antiqua"/>
          <w:color w:val="333333"/>
          <w:sz w:val="24"/>
          <w:szCs w:val="24"/>
          <w:lang w:eastAsia="en-GB"/>
        </w:rPr>
        <w:t>Advaitin</w:t>
      </w:r>
      <w:proofErr w:type="spellEnd"/>
      <w:r w:rsidRPr="009A3494">
        <w:rPr>
          <w:rFonts w:ascii="Book Antiqua" w:eastAsia="Times New Roman" w:hAnsi="Book Antiqua"/>
          <w:color w:val="333333"/>
          <w:sz w:val="24"/>
          <w:szCs w:val="24"/>
          <w:lang w:eastAsia="en-GB"/>
        </w:rPr>
        <w:t xml:space="preserve"> philosopher, Ramchandra Gandhi, quoted the Lewis passage about the self with approval, focussing on this: </w:t>
      </w:r>
    </w:p>
    <w:p w14:paraId="2557DF0A"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How then can it be known at all? It is known, I maintain, solely in the way each one, in the first instance, knows himself to be a unique being. No one, at this level, is in any doubt as to who he is—he is himself.</w:t>
      </w:r>
    </w:p>
    <w:p w14:paraId="3714367C"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Gandhi refers to this as a ‘sense of final self-acquaintance’ (p 22). But what does this amount to? He seems to be drawing on Russell’s distinction between knowledge by description and knowledge by </w:t>
      </w:r>
      <w:proofErr w:type="gramStart"/>
      <w:r w:rsidRPr="009A3494">
        <w:rPr>
          <w:rFonts w:ascii="Book Antiqua" w:eastAsia="Times New Roman" w:hAnsi="Book Antiqua"/>
          <w:color w:val="333333"/>
          <w:sz w:val="24"/>
          <w:szCs w:val="24"/>
          <w:lang w:eastAsia="en-GB"/>
        </w:rPr>
        <w:t>acquaintance, and</w:t>
      </w:r>
      <w:proofErr w:type="gramEnd"/>
      <w:r w:rsidRPr="009A3494">
        <w:rPr>
          <w:rFonts w:ascii="Book Antiqua" w:eastAsia="Times New Roman" w:hAnsi="Book Antiqua"/>
          <w:color w:val="333333"/>
          <w:sz w:val="24"/>
          <w:szCs w:val="24"/>
          <w:lang w:eastAsia="en-GB"/>
        </w:rPr>
        <w:t xml:space="preserve"> will insist as Lewis does and rightly that this ‘self’ cannot be described. But it is hard to see how this ‘self-acquaintance’ is different from the self-consciousness we have just been discussing—that we are conscious of being conscious of …, aware that we are aware of … (though not conscious of something that is conscious or aware of something that is aware). In other words, ‘self-acquaintance’ is simply another way of talking about ‘self-awareness’ or ‘self-consciousness’. And this acquaintance is best not further characterised. However, apart from knowing a variety of facts about ourselves, Gandhi continues, echoing Lewis still, ‘we are also aware of ourselves as being </w:t>
      </w:r>
      <w:r w:rsidRPr="009A3494">
        <w:rPr>
          <w:rFonts w:ascii="Book Antiqua" w:eastAsia="Times New Roman" w:hAnsi="Book Antiqua"/>
          <w:i/>
          <w:color w:val="333333"/>
          <w:sz w:val="24"/>
          <w:szCs w:val="24"/>
          <w:lang w:eastAsia="en-GB"/>
        </w:rPr>
        <w:t>ourselves</w:t>
      </w:r>
      <w:r w:rsidRPr="009A3494">
        <w:rPr>
          <w:rFonts w:ascii="Book Antiqua" w:eastAsia="Times New Roman" w:hAnsi="Book Antiqua"/>
          <w:color w:val="333333"/>
          <w:sz w:val="24"/>
          <w:szCs w:val="24"/>
          <w:lang w:eastAsia="en-GB"/>
        </w:rPr>
        <w:t>’ (</w:t>
      </w:r>
      <w:r w:rsidRPr="009A3494">
        <w:rPr>
          <w:rFonts w:ascii="Book Antiqua" w:eastAsia="Times New Roman" w:hAnsi="Book Antiqua"/>
          <w:i/>
          <w:color w:val="333333"/>
          <w:sz w:val="24"/>
          <w:szCs w:val="24"/>
          <w:lang w:eastAsia="en-GB"/>
        </w:rPr>
        <w:t>ibid</w:t>
      </w:r>
      <w:r w:rsidRPr="009A3494">
        <w:rPr>
          <w:rFonts w:ascii="Book Antiqua" w:eastAsia="Times New Roman" w:hAnsi="Book Antiqua"/>
          <w:color w:val="333333"/>
          <w:sz w:val="24"/>
          <w:szCs w:val="24"/>
          <w:lang w:eastAsia="en-GB"/>
        </w:rPr>
        <w:t xml:space="preserve">.). But what is the difference between ‘being aware of ourselves’ and ‘being aware of ourselves as being </w:t>
      </w:r>
      <w:r w:rsidRPr="009A3494">
        <w:rPr>
          <w:rFonts w:ascii="Book Antiqua" w:eastAsia="Times New Roman" w:hAnsi="Book Antiqua"/>
          <w:i/>
          <w:color w:val="333333"/>
          <w:sz w:val="24"/>
          <w:szCs w:val="24"/>
          <w:lang w:eastAsia="en-GB"/>
        </w:rPr>
        <w:t>ourselves</w:t>
      </w:r>
      <w:r w:rsidRPr="009A3494">
        <w:rPr>
          <w:rFonts w:ascii="Book Antiqua" w:eastAsia="Times New Roman" w:hAnsi="Book Antiqua"/>
          <w:color w:val="333333"/>
          <w:sz w:val="24"/>
          <w:szCs w:val="24"/>
          <w:lang w:eastAsia="en-GB"/>
        </w:rPr>
        <w:t xml:space="preserve">? Is it like Being John Malkovich?  Kierkegaard somewhere relates the story of the young man who wished to be like Socrates and woke up one morning in a state of deep confusion: and realised that he had been given his wish. There is a characteristic series of forms of self-consciousness that are distinctive of being Socrates, and by that token of being oneself.  This is what it is like to be </w:t>
      </w:r>
      <w:r w:rsidRPr="009A3494">
        <w:rPr>
          <w:rFonts w:ascii="Book Antiqua" w:eastAsia="Times New Roman" w:hAnsi="Book Antiqua"/>
          <w:i/>
          <w:color w:val="333333"/>
          <w:sz w:val="24"/>
          <w:szCs w:val="24"/>
          <w:lang w:eastAsia="en-GB"/>
        </w:rPr>
        <w:t>me</w:t>
      </w:r>
      <w:r w:rsidRPr="009A3494">
        <w:rPr>
          <w:rFonts w:ascii="Book Antiqua" w:eastAsia="Times New Roman" w:hAnsi="Book Antiqua"/>
          <w:color w:val="333333"/>
          <w:sz w:val="24"/>
          <w:szCs w:val="24"/>
          <w:lang w:eastAsia="en-GB"/>
        </w:rPr>
        <w:t xml:space="preserve"> someone might say, but they would be referring to their characteristic conduct, feelings, predicament. But if Gandhi doesn’t mean this, it is hard to see what is left. Now, Gandhi glosses his remark later by saying: </w:t>
      </w:r>
    </w:p>
    <w:p w14:paraId="1D7B0133"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there is … in all self-consciousness a </w:t>
      </w:r>
      <w:r w:rsidRPr="009A3494">
        <w:rPr>
          <w:rFonts w:ascii="Book Antiqua" w:eastAsia="Times New Roman" w:hAnsi="Book Antiqua"/>
          <w:i/>
          <w:color w:val="333333"/>
          <w:sz w:val="24"/>
          <w:szCs w:val="24"/>
          <w:lang w:eastAsia="en-GB"/>
        </w:rPr>
        <w:t>conviction</w:t>
      </w:r>
      <w:r w:rsidRPr="009A3494">
        <w:rPr>
          <w:rFonts w:ascii="Book Antiqua" w:eastAsia="Times New Roman" w:hAnsi="Book Antiqua"/>
          <w:color w:val="333333"/>
          <w:sz w:val="24"/>
          <w:szCs w:val="24"/>
          <w:lang w:eastAsia="en-GB"/>
        </w:rPr>
        <w:t xml:space="preserve"> of self-identity which cannot without absurdity be disowned (p 23). </w:t>
      </w:r>
    </w:p>
    <w:p w14:paraId="12E9C651"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Further down the page he insists that this conviction </w:t>
      </w:r>
    </w:p>
    <w:p w14:paraId="2D69BB2A"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‘is crucial for understanding the concept of a human soul—that is of our conviction of a deep and final, although elusive, self-acquaintance’. </w:t>
      </w:r>
    </w:p>
    <w:p w14:paraId="4C3DF467"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Gandhi’s chapter on ‘Soul’ is subtle and complex, and he is dealing with elusive material, where language is going to be precarious and misleading—at critical moments. </w:t>
      </w:r>
      <w:proofErr w:type="gramStart"/>
      <w:r w:rsidRPr="009A3494">
        <w:rPr>
          <w:rFonts w:ascii="Book Antiqua" w:eastAsia="Times New Roman" w:hAnsi="Book Antiqua"/>
          <w:color w:val="333333"/>
          <w:sz w:val="24"/>
          <w:szCs w:val="24"/>
          <w:lang w:eastAsia="en-GB"/>
        </w:rPr>
        <w:t>Thus</w:t>
      </w:r>
      <w:proofErr w:type="gramEnd"/>
      <w:r w:rsidRPr="009A3494">
        <w:rPr>
          <w:rFonts w:ascii="Book Antiqua" w:eastAsia="Times New Roman" w:hAnsi="Book Antiqua"/>
          <w:color w:val="333333"/>
          <w:sz w:val="24"/>
          <w:szCs w:val="24"/>
          <w:lang w:eastAsia="en-GB"/>
        </w:rPr>
        <w:t xml:space="preserve"> I cannot construe this ‘conviction’ of self-acquaintance as ‘crucial to understanding the concept of a human soul’. As against Hume’s dismissal of the prospect of finding a soul or </w:t>
      </w:r>
      <w:proofErr w:type="spellStart"/>
      <w:r w:rsidRPr="009A3494">
        <w:rPr>
          <w:rFonts w:ascii="Book Antiqua" w:eastAsia="Times New Roman" w:hAnsi="Book Antiqua"/>
          <w:color w:val="333333"/>
          <w:sz w:val="24"/>
          <w:szCs w:val="24"/>
          <w:lang w:eastAsia="en-GB"/>
        </w:rPr>
        <w:t>self Gandhi</w:t>
      </w:r>
      <w:proofErr w:type="spellEnd"/>
      <w:r w:rsidRPr="009A3494">
        <w:rPr>
          <w:rFonts w:ascii="Book Antiqua" w:eastAsia="Times New Roman" w:hAnsi="Book Antiqua"/>
          <w:color w:val="333333"/>
          <w:sz w:val="24"/>
          <w:szCs w:val="24"/>
          <w:lang w:eastAsia="en-GB"/>
        </w:rPr>
        <w:t xml:space="preserve"> and Lewis seem to have rather simply awareness itself. But this is not </w:t>
      </w:r>
      <w:r w:rsidRPr="009A3494">
        <w:rPr>
          <w:rFonts w:ascii="Book Antiqua" w:eastAsia="Times New Roman" w:hAnsi="Book Antiqua"/>
          <w:i/>
          <w:color w:val="333333"/>
          <w:sz w:val="24"/>
          <w:szCs w:val="24"/>
          <w:lang w:eastAsia="en-GB"/>
        </w:rPr>
        <w:t>an</w:t>
      </w:r>
      <w:r w:rsidRPr="009A3494">
        <w:rPr>
          <w:rFonts w:ascii="Book Antiqua" w:eastAsia="Times New Roman" w:hAnsi="Book Antiqua"/>
          <w:color w:val="333333"/>
          <w:sz w:val="24"/>
          <w:szCs w:val="24"/>
          <w:lang w:eastAsia="en-GB"/>
        </w:rPr>
        <w:t xml:space="preserve"> </w:t>
      </w:r>
      <w:r w:rsidRPr="009A3494">
        <w:rPr>
          <w:rFonts w:ascii="Book Antiqua" w:eastAsia="Times New Roman" w:hAnsi="Book Antiqua"/>
          <w:i/>
          <w:color w:val="333333"/>
          <w:sz w:val="24"/>
          <w:szCs w:val="24"/>
          <w:lang w:eastAsia="en-GB"/>
        </w:rPr>
        <w:t>entry</w:t>
      </w:r>
      <w:r w:rsidRPr="009A3494">
        <w:rPr>
          <w:rFonts w:ascii="Book Antiqua" w:eastAsia="Times New Roman" w:hAnsi="Book Antiqua"/>
          <w:color w:val="333333"/>
          <w:sz w:val="24"/>
          <w:szCs w:val="24"/>
          <w:lang w:eastAsia="en-GB"/>
        </w:rPr>
        <w:t xml:space="preserve"> </w:t>
      </w:r>
      <w:r w:rsidRPr="009A3494">
        <w:rPr>
          <w:rFonts w:ascii="Book Antiqua" w:eastAsia="Times New Roman" w:hAnsi="Book Antiqua"/>
          <w:i/>
          <w:color w:val="333333"/>
          <w:sz w:val="24"/>
          <w:szCs w:val="24"/>
          <w:lang w:eastAsia="en-GB"/>
        </w:rPr>
        <w:t>into the concept</w:t>
      </w:r>
      <w:r w:rsidRPr="009A3494">
        <w:rPr>
          <w:rFonts w:ascii="Book Antiqua" w:eastAsia="Times New Roman" w:hAnsi="Book Antiqua"/>
          <w:color w:val="333333"/>
          <w:sz w:val="24"/>
          <w:szCs w:val="24"/>
          <w:lang w:eastAsia="en-GB"/>
        </w:rPr>
        <w:t xml:space="preserve">, but rather an attempt to justify and validate a concept already in place. To put it another way, someone could have a very vivid ‘sense of self-acquaintance’, be thoroughly self-aware, and have no notion of a ‘soul’ and </w:t>
      </w:r>
      <w:r w:rsidRPr="009A3494">
        <w:rPr>
          <w:rFonts w:ascii="Book Antiqua" w:eastAsia="Times New Roman" w:hAnsi="Book Antiqua"/>
          <w:i/>
          <w:color w:val="333333"/>
          <w:sz w:val="24"/>
          <w:szCs w:val="24"/>
          <w:lang w:eastAsia="en-GB"/>
        </w:rPr>
        <w:t>a fortiori</w:t>
      </w:r>
      <w:r w:rsidRPr="009A3494">
        <w:rPr>
          <w:rFonts w:ascii="Book Antiqua" w:eastAsia="Times New Roman" w:hAnsi="Book Antiqua"/>
          <w:color w:val="333333"/>
          <w:sz w:val="24"/>
          <w:szCs w:val="24"/>
          <w:lang w:eastAsia="en-GB"/>
        </w:rPr>
        <w:t xml:space="preserve"> none of one that is permanent and immutable.  Gandhi is properly insistent that this ‘self-acquaintance’ and ‘conviction of self-identity’ are </w:t>
      </w:r>
    </w:p>
    <w:p w14:paraId="7FD5EB75"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not reducible to knowledge </w:t>
      </w:r>
      <w:r w:rsidRPr="009A3494">
        <w:rPr>
          <w:rFonts w:ascii="Book Antiqua" w:eastAsia="Times New Roman" w:hAnsi="Book Antiqua"/>
          <w:i/>
          <w:color w:val="333333"/>
          <w:sz w:val="24"/>
          <w:szCs w:val="24"/>
          <w:lang w:eastAsia="en-GB"/>
        </w:rPr>
        <w:t>that</w:t>
      </w:r>
      <w:r w:rsidRPr="009A3494">
        <w:rPr>
          <w:rFonts w:ascii="Book Antiqua" w:eastAsia="Times New Roman" w:hAnsi="Book Antiqua"/>
          <w:color w:val="333333"/>
          <w:sz w:val="24"/>
          <w:szCs w:val="24"/>
          <w:lang w:eastAsia="en-GB"/>
        </w:rPr>
        <w:t xml:space="preserve"> one is so-and-so, such-and-such …It is not an </w:t>
      </w:r>
      <w:r w:rsidRPr="009A3494">
        <w:rPr>
          <w:rFonts w:ascii="Book Antiqua" w:eastAsia="Times New Roman" w:hAnsi="Book Antiqua"/>
          <w:i/>
          <w:color w:val="333333"/>
          <w:sz w:val="24"/>
          <w:szCs w:val="24"/>
          <w:lang w:eastAsia="en-GB"/>
        </w:rPr>
        <w:t>experience</w:t>
      </w:r>
      <w:r w:rsidRPr="009A3494">
        <w:rPr>
          <w:rFonts w:ascii="Book Antiqua" w:eastAsia="Times New Roman" w:hAnsi="Book Antiqua"/>
          <w:color w:val="333333"/>
          <w:sz w:val="24"/>
          <w:szCs w:val="24"/>
          <w:lang w:eastAsia="en-GB"/>
        </w:rPr>
        <w:t xml:space="preserve"> of self, but a conviction of self-identity. </w:t>
      </w:r>
    </w:p>
    <w:p w14:paraId="4CB6D1C0"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He is right to emphasise this latter point, that we are not talking about an experience of self, because the self-consciousness of the experiencer is not its own object. This underlines Lewis’s insistence that ‘it would be a mistake to suppose that the self which is thus uniquely known to itself can be known or be thought to exist apart from </w:t>
      </w:r>
      <w:proofErr w:type="gramStart"/>
      <w:r w:rsidRPr="009A3494">
        <w:rPr>
          <w:rFonts w:ascii="Book Antiqua" w:eastAsia="Times New Roman" w:hAnsi="Book Antiqua"/>
          <w:color w:val="333333"/>
          <w:sz w:val="24"/>
          <w:szCs w:val="24"/>
          <w:lang w:eastAsia="en-GB"/>
        </w:rPr>
        <w:t>its</w:t>
      </w:r>
      <w:proofErr w:type="gramEnd"/>
      <w:r w:rsidRPr="009A3494">
        <w:rPr>
          <w:rFonts w:ascii="Book Antiqua" w:eastAsia="Times New Roman" w:hAnsi="Book Antiqua"/>
          <w:color w:val="333333"/>
          <w:sz w:val="24"/>
          <w:szCs w:val="24"/>
          <w:lang w:eastAsia="en-GB"/>
        </w:rPr>
        <w:t xml:space="preserve"> having certain experiences.’ We know ourselves </w:t>
      </w:r>
      <w:proofErr w:type="gramStart"/>
      <w:r w:rsidRPr="009A3494">
        <w:rPr>
          <w:rFonts w:ascii="Book Antiqua" w:eastAsia="Times New Roman" w:hAnsi="Book Antiqua"/>
          <w:color w:val="333333"/>
          <w:sz w:val="24"/>
          <w:szCs w:val="24"/>
          <w:lang w:eastAsia="en-GB"/>
        </w:rPr>
        <w:t>in the course of</w:t>
      </w:r>
      <w:proofErr w:type="gramEnd"/>
      <w:r w:rsidRPr="009A3494">
        <w:rPr>
          <w:rFonts w:ascii="Book Antiqua" w:eastAsia="Times New Roman" w:hAnsi="Book Antiqua"/>
          <w:color w:val="333333"/>
          <w:sz w:val="24"/>
          <w:szCs w:val="24"/>
          <w:lang w:eastAsia="en-GB"/>
        </w:rPr>
        <w:t xml:space="preserve"> experience, and not separately. </w:t>
      </w:r>
    </w:p>
    <w:p w14:paraId="1C99A278"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But what can be said in favour of Gandhi’s remarks? I can sometimes discover a calm awareness of my mental states, a peripheral or background awareness, even when things are going emotionally awry and I am in distress, a quiet, undisturbed awareness and I can be both reflectively and pre-reflectively aware that I am thus aware. And sometimes this peripheral or background awareness comes to the centre, and this is surely a large part of spiritual practice, but it seems to me that this simply reveals </w:t>
      </w:r>
      <w:r w:rsidRPr="009A3494">
        <w:rPr>
          <w:rFonts w:ascii="Book Antiqua" w:eastAsia="Times New Roman" w:hAnsi="Book Antiqua"/>
          <w:i/>
          <w:color w:val="333333"/>
          <w:sz w:val="24"/>
          <w:szCs w:val="24"/>
          <w:lang w:eastAsia="en-GB"/>
        </w:rPr>
        <w:t>a possibility of consciousness</w:t>
      </w:r>
      <w:r w:rsidRPr="009A3494">
        <w:rPr>
          <w:rFonts w:ascii="Book Antiqua" w:eastAsia="Times New Roman" w:hAnsi="Book Antiqua"/>
          <w:color w:val="333333"/>
          <w:sz w:val="24"/>
          <w:szCs w:val="24"/>
          <w:lang w:eastAsia="en-GB"/>
        </w:rPr>
        <w:t xml:space="preserve"> that can indeed occupy a more central place, equanimity replacing turmoil, for instance, and this self-acquaintance is acquaintance with one of the possibilities of consciousness rather than acquaintance with the soul. I should emphasise here that I don’t wish to rule out, nor think that Buddhists should rule out, a </w:t>
      </w:r>
      <w:r w:rsidRPr="009A3494">
        <w:rPr>
          <w:rFonts w:ascii="Book Antiqua" w:eastAsia="Times New Roman" w:hAnsi="Book Antiqua"/>
          <w:i/>
          <w:color w:val="333333"/>
          <w:sz w:val="24"/>
          <w:szCs w:val="24"/>
          <w:lang w:eastAsia="en-GB"/>
        </w:rPr>
        <w:t>realism about soul</w:t>
      </w:r>
      <w:r w:rsidRPr="009A3494">
        <w:rPr>
          <w:rFonts w:ascii="Book Antiqua" w:eastAsia="Times New Roman" w:hAnsi="Book Antiqua"/>
          <w:color w:val="333333"/>
          <w:sz w:val="24"/>
          <w:szCs w:val="24"/>
          <w:lang w:eastAsia="en-GB"/>
        </w:rPr>
        <w:t xml:space="preserve">, which is of course compatible with disbelief, recalling that soul language remains a vehicle for our moral distinctions. But such realism doesn’t start </w:t>
      </w:r>
      <w:proofErr w:type="gramStart"/>
      <w:r w:rsidRPr="009A3494">
        <w:rPr>
          <w:rFonts w:ascii="Book Antiqua" w:eastAsia="Times New Roman" w:hAnsi="Book Antiqua"/>
          <w:color w:val="333333"/>
          <w:sz w:val="24"/>
          <w:szCs w:val="24"/>
          <w:lang w:eastAsia="en-GB"/>
        </w:rPr>
        <w:t>here</w:t>
      </w:r>
      <w:proofErr w:type="gramEnd"/>
      <w:r w:rsidRPr="009A3494">
        <w:rPr>
          <w:rFonts w:ascii="Book Antiqua" w:eastAsia="Times New Roman" w:hAnsi="Book Antiqua"/>
          <w:color w:val="333333"/>
          <w:sz w:val="24"/>
          <w:szCs w:val="24"/>
          <w:lang w:eastAsia="en-GB"/>
        </w:rPr>
        <w:t xml:space="preserve"> and we shall have to distinguish the concept of soul from that of the elusive self or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 so that soul does not perish on the rocks of the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doctrine. </w:t>
      </w:r>
    </w:p>
    <w:p w14:paraId="4CFAA8C4"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It is strange territory. For one thing Gandhi’s ‘</w:t>
      </w:r>
      <w:r w:rsidRPr="009A3494">
        <w:rPr>
          <w:rFonts w:ascii="Book Antiqua" w:eastAsia="Times New Roman" w:hAnsi="Book Antiqua"/>
          <w:i/>
          <w:color w:val="333333"/>
          <w:sz w:val="24"/>
          <w:szCs w:val="24"/>
          <w:lang w:eastAsia="en-GB"/>
        </w:rPr>
        <w:t>conviction</w:t>
      </w:r>
      <w:r w:rsidRPr="009A3494">
        <w:rPr>
          <w:rFonts w:ascii="Book Antiqua" w:eastAsia="Times New Roman" w:hAnsi="Book Antiqua"/>
          <w:color w:val="333333"/>
          <w:sz w:val="24"/>
          <w:szCs w:val="24"/>
          <w:lang w:eastAsia="en-GB"/>
        </w:rPr>
        <w:t xml:space="preserve">’ of self-identity seems hardly the same as ‘a </w:t>
      </w:r>
      <w:r w:rsidRPr="009A3494">
        <w:rPr>
          <w:rFonts w:ascii="Book Antiqua" w:eastAsia="Times New Roman" w:hAnsi="Book Antiqua"/>
          <w:i/>
          <w:color w:val="333333"/>
          <w:sz w:val="24"/>
          <w:szCs w:val="24"/>
          <w:lang w:eastAsia="en-GB"/>
        </w:rPr>
        <w:t>sense</w:t>
      </w:r>
      <w:r w:rsidRPr="009A3494">
        <w:rPr>
          <w:rFonts w:ascii="Book Antiqua" w:eastAsia="Times New Roman" w:hAnsi="Book Antiqua"/>
          <w:color w:val="333333"/>
          <w:sz w:val="24"/>
          <w:szCs w:val="24"/>
          <w:lang w:eastAsia="en-GB"/>
        </w:rPr>
        <w:t xml:space="preserve"> of self-acquaintance’, since ‘conviction’ is a more clearly epistemological category than a ‘sense’.  But these two phrases, from Lewis—‘No one, at this level, is in any doubt as to who he is—he is himself’; and from Gandhi—‘We are also aware of ourselves as being </w:t>
      </w:r>
      <w:r w:rsidRPr="009A3494">
        <w:rPr>
          <w:rFonts w:ascii="Book Antiqua" w:eastAsia="Times New Roman" w:hAnsi="Book Antiqua"/>
          <w:i/>
          <w:color w:val="333333"/>
          <w:sz w:val="24"/>
          <w:szCs w:val="24"/>
          <w:lang w:eastAsia="en-GB"/>
        </w:rPr>
        <w:t>ourselves</w:t>
      </w:r>
      <w:r w:rsidRPr="009A3494">
        <w:rPr>
          <w:rFonts w:ascii="Book Antiqua" w:eastAsia="Times New Roman" w:hAnsi="Book Antiqua"/>
          <w:color w:val="333333"/>
          <w:sz w:val="24"/>
          <w:szCs w:val="24"/>
          <w:lang w:eastAsia="en-GB"/>
        </w:rPr>
        <w:t xml:space="preserve">’—seem in all charity empty of meaning—I know who I am—I am myself. It is true, to repeat, that I am a self-conscious being and am present to myself in the sense of being aware of my own sensations, thoughts and impulses </w:t>
      </w:r>
      <w:r w:rsidRPr="009A3494">
        <w:rPr>
          <w:rFonts w:ascii="Book Antiqua" w:eastAsia="Times New Roman" w:hAnsi="Book Antiqua"/>
          <w:i/>
          <w:color w:val="333333"/>
          <w:sz w:val="24"/>
          <w:szCs w:val="24"/>
          <w:lang w:eastAsia="en-GB"/>
        </w:rPr>
        <w:t>as well as</w:t>
      </w:r>
      <w:r w:rsidRPr="009A3494">
        <w:rPr>
          <w:rFonts w:ascii="Book Antiqua" w:eastAsia="Times New Roman" w:hAnsi="Book Antiqua"/>
          <w:color w:val="333333"/>
          <w:sz w:val="24"/>
          <w:szCs w:val="24"/>
          <w:lang w:eastAsia="en-GB"/>
        </w:rPr>
        <w:t xml:space="preserve"> my own actions and motives, the sensations, thoughts and impulses of a responsive flesh and blood human being rather than of an ‘inner self’; but the form and tenor of my ‘self-acquaintance’ is the precipitate of my relationship to others. The most poignant use of that expression, ‘I am myself’, is to be found famously, as I mentioned earlier, when Shakespeare’s Duke of Gloucester gives expression at the end of the Henry VI cycle to a deeply alienated and to that extent deeply </w:t>
      </w:r>
      <w:r w:rsidRPr="009A3494">
        <w:rPr>
          <w:rFonts w:ascii="Book Antiqua" w:eastAsia="Times New Roman" w:hAnsi="Book Antiqua"/>
          <w:i/>
          <w:color w:val="333333"/>
          <w:sz w:val="24"/>
          <w:szCs w:val="24"/>
          <w:lang w:eastAsia="en-GB"/>
        </w:rPr>
        <w:t>social</w:t>
      </w:r>
      <w:r w:rsidRPr="009A3494">
        <w:rPr>
          <w:rFonts w:ascii="Book Antiqua" w:eastAsia="Times New Roman" w:hAnsi="Book Antiqua"/>
          <w:color w:val="333333"/>
          <w:sz w:val="24"/>
          <w:szCs w:val="24"/>
          <w:lang w:eastAsia="en-GB"/>
        </w:rPr>
        <w:t xml:space="preserve"> sense of who he is: </w:t>
      </w:r>
    </w:p>
    <w:p w14:paraId="47293282" w14:textId="77777777" w:rsidR="009A3494" w:rsidRPr="009A3494" w:rsidRDefault="009A3494" w:rsidP="009A3494">
      <w:pPr>
        <w:spacing w:after="0" w:line="360" w:lineRule="auto"/>
        <w:ind w:left="0" w:right="0"/>
        <w:jc w:val="both"/>
        <w:rPr>
          <w:rFonts w:ascii="Book Antiqua" w:eastAsia="Times New Roman" w:hAnsi="Book Antiqua"/>
          <w:i/>
          <w:color w:val="333333"/>
          <w:sz w:val="24"/>
          <w:szCs w:val="24"/>
          <w:lang w:eastAsia="en-GB"/>
        </w:rPr>
      </w:pPr>
      <w:r w:rsidRPr="009A3494">
        <w:rPr>
          <w:rFonts w:ascii="Book Antiqua" w:eastAsia="Times New Roman" w:hAnsi="Book Antiqua"/>
          <w:i/>
          <w:color w:val="333333"/>
          <w:sz w:val="24"/>
          <w:szCs w:val="24"/>
          <w:lang w:eastAsia="en-GB"/>
        </w:rPr>
        <w:t>And this word ‘love’, which greybeards call divine</w:t>
      </w:r>
    </w:p>
    <w:p w14:paraId="12836DC3" w14:textId="77777777" w:rsidR="009A3494" w:rsidRPr="009A3494" w:rsidRDefault="009A3494" w:rsidP="009A3494">
      <w:pPr>
        <w:spacing w:after="0" w:line="360" w:lineRule="auto"/>
        <w:ind w:left="0" w:right="0"/>
        <w:jc w:val="both"/>
        <w:rPr>
          <w:rFonts w:ascii="Book Antiqua" w:eastAsia="Times New Roman" w:hAnsi="Book Antiqua"/>
          <w:i/>
          <w:color w:val="333333"/>
          <w:sz w:val="24"/>
          <w:szCs w:val="24"/>
          <w:lang w:eastAsia="en-GB"/>
        </w:rPr>
      </w:pPr>
      <w:r w:rsidRPr="009A3494">
        <w:rPr>
          <w:rFonts w:ascii="Book Antiqua" w:eastAsia="Times New Roman" w:hAnsi="Book Antiqua"/>
          <w:i/>
          <w:color w:val="333333"/>
          <w:sz w:val="24"/>
          <w:szCs w:val="24"/>
          <w:lang w:eastAsia="en-GB"/>
        </w:rPr>
        <w:t>Be resident in men like one another</w:t>
      </w:r>
    </w:p>
    <w:p w14:paraId="57167EB9" w14:textId="77777777" w:rsidR="009A3494" w:rsidRPr="009A3494" w:rsidRDefault="009A3494" w:rsidP="009A3494">
      <w:pPr>
        <w:spacing w:after="0"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i/>
          <w:color w:val="333333"/>
          <w:sz w:val="24"/>
          <w:szCs w:val="24"/>
          <w:lang w:eastAsia="en-GB"/>
        </w:rPr>
        <w:t>And not in me. I am myself alone.</w:t>
      </w:r>
      <w:r w:rsidRPr="009A3494">
        <w:rPr>
          <w:rFonts w:ascii="Book Antiqua" w:eastAsia="Times New Roman" w:hAnsi="Book Antiqua"/>
          <w:i/>
          <w:color w:val="333333"/>
          <w:sz w:val="24"/>
          <w:szCs w:val="24"/>
          <w:vertAlign w:val="superscript"/>
          <w:lang w:eastAsia="en-GB"/>
        </w:rPr>
        <w:footnoteReference w:id="5"/>
      </w:r>
    </w:p>
    <w:p w14:paraId="1508517B"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He is himself, alone, self-consciously separated from others, from those he has murdered and betrayed, with dark intentions for the future. His sense of who he is—</w:t>
      </w:r>
      <w:r w:rsidRPr="009A3494">
        <w:rPr>
          <w:rFonts w:ascii="Book Antiqua" w:eastAsia="Times New Roman" w:hAnsi="Book Antiqua"/>
          <w:i/>
          <w:color w:val="333333"/>
          <w:sz w:val="24"/>
          <w:szCs w:val="24"/>
          <w:lang w:eastAsia="en-GB"/>
        </w:rPr>
        <w:t>himself alone</w:t>
      </w:r>
      <w:r w:rsidRPr="009A3494">
        <w:rPr>
          <w:rFonts w:ascii="Book Antiqua" w:eastAsia="Times New Roman" w:hAnsi="Book Antiqua"/>
          <w:color w:val="333333"/>
          <w:sz w:val="24"/>
          <w:szCs w:val="24"/>
          <w:lang w:eastAsia="en-GB"/>
        </w:rPr>
        <w:t xml:space="preserve">—is a vitally alienated </w:t>
      </w:r>
      <w:r w:rsidRPr="009A3494">
        <w:rPr>
          <w:rFonts w:ascii="Book Antiqua" w:eastAsia="Times New Roman" w:hAnsi="Book Antiqua"/>
          <w:i/>
          <w:color w:val="333333"/>
          <w:sz w:val="24"/>
          <w:szCs w:val="24"/>
          <w:lang w:eastAsia="en-GB"/>
        </w:rPr>
        <w:t>social</w:t>
      </w:r>
      <w:r w:rsidRPr="009A3494">
        <w:rPr>
          <w:rFonts w:ascii="Book Antiqua" w:eastAsia="Times New Roman" w:hAnsi="Book Antiqua"/>
          <w:color w:val="333333"/>
          <w:sz w:val="24"/>
          <w:szCs w:val="24"/>
          <w:lang w:eastAsia="en-GB"/>
        </w:rPr>
        <w:t xml:space="preserve"> sense of who he is, of what it is to be </w:t>
      </w:r>
      <w:r w:rsidRPr="009A3494">
        <w:rPr>
          <w:rFonts w:ascii="Book Antiqua" w:eastAsia="Times New Roman" w:hAnsi="Book Antiqua"/>
          <w:i/>
          <w:color w:val="333333"/>
          <w:sz w:val="24"/>
          <w:szCs w:val="24"/>
          <w:lang w:eastAsia="en-GB"/>
        </w:rPr>
        <w:t>him</w:t>
      </w:r>
      <w:r w:rsidRPr="009A3494">
        <w:rPr>
          <w:rFonts w:ascii="Book Antiqua" w:eastAsia="Times New Roman" w:hAnsi="Book Antiqua"/>
          <w:color w:val="333333"/>
          <w:sz w:val="24"/>
          <w:szCs w:val="24"/>
          <w:lang w:eastAsia="en-GB"/>
        </w:rPr>
        <w:t>—it is to be ‘alone’. The ‘self-acquaintance’ that Gandhi mentions, which we might think of in terms of ‘</w:t>
      </w:r>
      <w:proofErr w:type="spellStart"/>
      <w:r w:rsidRPr="009A3494">
        <w:rPr>
          <w:rFonts w:ascii="Book Antiqua" w:eastAsia="Times New Roman" w:hAnsi="Book Antiqua"/>
          <w:i/>
          <w:color w:val="333333"/>
          <w:sz w:val="24"/>
          <w:szCs w:val="24"/>
          <w:lang w:eastAsia="en-GB"/>
        </w:rPr>
        <w:t>vedana</w:t>
      </w:r>
      <w:proofErr w:type="spellEnd"/>
      <w:r w:rsidRPr="009A3494">
        <w:rPr>
          <w:rFonts w:ascii="Book Antiqua" w:eastAsia="Times New Roman" w:hAnsi="Book Antiqua"/>
          <w:color w:val="333333"/>
          <w:sz w:val="24"/>
          <w:szCs w:val="24"/>
          <w:lang w:eastAsia="en-GB"/>
        </w:rPr>
        <w:t xml:space="preserve">’, a sort of feeling tone of ‘self-acquaintance’, has to be plotted  within a range of possibilities determined by the forms of our social relationships and their failures and breakdowns, around all of which our ‘self-identity’ is formed. And in </w:t>
      </w:r>
      <w:proofErr w:type="gramStart"/>
      <w:r w:rsidRPr="009A3494">
        <w:rPr>
          <w:rFonts w:ascii="Book Antiqua" w:eastAsia="Times New Roman" w:hAnsi="Book Antiqua"/>
          <w:color w:val="333333"/>
          <w:sz w:val="24"/>
          <w:szCs w:val="24"/>
          <w:lang w:eastAsia="en-GB"/>
        </w:rPr>
        <w:t>fact</w:t>
      </w:r>
      <w:proofErr w:type="gramEnd"/>
      <w:r w:rsidRPr="009A3494">
        <w:rPr>
          <w:rFonts w:ascii="Book Antiqua" w:eastAsia="Times New Roman" w:hAnsi="Book Antiqua"/>
          <w:color w:val="333333"/>
          <w:sz w:val="24"/>
          <w:szCs w:val="24"/>
          <w:lang w:eastAsia="en-GB"/>
        </w:rPr>
        <w:t xml:space="preserve"> Gandhi makes an admirable and insightful correction to Lewis:</w:t>
      </w:r>
    </w:p>
    <w:p w14:paraId="7B2AA017"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 the concepts of ‘I’, ‘me’, have their seat in the experience of being vocatively picked out. We do not, through a private effort of attention or consciousness, experience our uniqueness. I think H. D. Lewis is wrong in suggesting that each one of us simply finds himself to be the unique self that he is. It is only when I am summoned, called forth, etc., that I realise my uniqueness. (p 27) </w:t>
      </w:r>
    </w:p>
    <w:p w14:paraId="2D4C8C57"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This reference to a ‘resident’ vocative is vitally important, though I am not persuaded that this recalls me to my ‘uniqueness’, even in my singularity under judgment. It recalls me to </w:t>
      </w:r>
      <w:r w:rsidRPr="009A3494">
        <w:rPr>
          <w:rFonts w:ascii="Book Antiqua" w:eastAsia="Times New Roman" w:hAnsi="Book Antiqua"/>
          <w:i/>
          <w:color w:val="333333"/>
          <w:sz w:val="24"/>
          <w:szCs w:val="24"/>
          <w:lang w:eastAsia="en-GB"/>
        </w:rPr>
        <w:t>responsibility</w:t>
      </w:r>
      <w:r w:rsidRPr="009A3494">
        <w:rPr>
          <w:rFonts w:ascii="Book Antiqua" w:eastAsia="Times New Roman" w:hAnsi="Book Antiqua"/>
          <w:color w:val="333333"/>
          <w:sz w:val="24"/>
          <w:szCs w:val="24"/>
          <w:lang w:eastAsia="en-GB"/>
        </w:rPr>
        <w:t xml:space="preserve">, that of any human being, to a call to action, and of course it is </w:t>
      </w:r>
      <w:r w:rsidRPr="009A3494">
        <w:rPr>
          <w:rFonts w:ascii="Book Antiqua" w:eastAsia="Times New Roman" w:hAnsi="Book Antiqua"/>
          <w:i/>
          <w:color w:val="333333"/>
          <w:sz w:val="24"/>
          <w:szCs w:val="24"/>
          <w:lang w:eastAsia="en-GB"/>
        </w:rPr>
        <w:t>me</w:t>
      </w:r>
      <w:r w:rsidRPr="009A3494">
        <w:rPr>
          <w:rFonts w:ascii="Book Antiqua" w:eastAsia="Times New Roman" w:hAnsi="Book Antiqua"/>
          <w:color w:val="333333"/>
          <w:sz w:val="24"/>
          <w:szCs w:val="24"/>
          <w:lang w:eastAsia="en-GB"/>
        </w:rPr>
        <w:t xml:space="preserve"> who is thus called. It is particularly significant here because the character of Richard is shown self-consciously to </w:t>
      </w:r>
      <w:r w:rsidRPr="009A3494">
        <w:rPr>
          <w:rFonts w:ascii="Book Antiqua" w:eastAsia="Times New Roman" w:hAnsi="Book Antiqua"/>
          <w:i/>
          <w:color w:val="333333"/>
          <w:sz w:val="24"/>
          <w:szCs w:val="24"/>
          <w:lang w:eastAsia="en-GB"/>
        </w:rPr>
        <w:t>disavow</w:t>
      </w:r>
      <w:r w:rsidRPr="009A3494">
        <w:rPr>
          <w:rFonts w:ascii="Book Antiqua" w:eastAsia="Times New Roman" w:hAnsi="Book Antiqua"/>
          <w:color w:val="333333"/>
          <w:sz w:val="24"/>
          <w:szCs w:val="24"/>
          <w:lang w:eastAsia="en-GB"/>
        </w:rPr>
        <w:t xml:space="preserve"> or </w:t>
      </w:r>
      <w:r w:rsidRPr="009A3494">
        <w:rPr>
          <w:rFonts w:ascii="Book Antiqua" w:eastAsia="Times New Roman" w:hAnsi="Book Antiqua"/>
          <w:i/>
          <w:color w:val="333333"/>
          <w:sz w:val="24"/>
          <w:szCs w:val="24"/>
          <w:lang w:eastAsia="en-GB"/>
        </w:rPr>
        <w:t>refuse</w:t>
      </w:r>
      <w:r w:rsidRPr="009A3494">
        <w:rPr>
          <w:rFonts w:ascii="Book Antiqua" w:eastAsia="Times New Roman" w:hAnsi="Book Antiqua"/>
          <w:color w:val="333333"/>
          <w:sz w:val="24"/>
          <w:szCs w:val="24"/>
          <w:lang w:eastAsia="en-GB"/>
        </w:rPr>
        <w:t xml:space="preserve"> that summons, that calling forth, in a way that recalls Shakespeare’s similar account of Lady Macbeth’s contempt for her husband’s ‘milk of human kindness’.  Shakespeare makes them </w:t>
      </w:r>
      <w:r w:rsidRPr="009A3494">
        <w:rPr>
          <w:rFonts w:ascii="Book Antiqua" w:eastAsia="Calibri" w:hAnsi="Book Antiqua" w:cs="Calibri"/>
          <w:color w:val="000000"/>
          <w:sz w:val="24"/>
          <w:szCs w:val="24"/>
          <w:shd w:val="clear" w:color="auto" w:fill="FFFFFF"/>
        </w:rPr>
        <w:t xml:space="preserve">suffer terrible remorse by the end of their lives, nightmares and madness, so this is his view about these things. But these characters do not </w:t>
      </w:r>
      <w:r w:rsidRPr="009A3494">
        <w:rPr>
          <w:rFonts w:ascii="Book Antiqua" w:eastAsia="Calibri" w:hAnsi="Book Antiqua" w:cs="Calibri"/>
          <w:i/>
          <w:color w:val="000000"/>
          <w:sz w:val="24"/>
          <w:szCs w:val="24"/>
          <w:shd w:val="clear" w:color="auto" w:fill="FFFFFF"/>
        </w:rPr>
        <w:t>gratuitously</w:t>
      </w:r>
      <w:r w:rsidRPr="009A3494">
        <w:rPr>
          <w:rFonts w:ascii="Book Antiqua" w:eastAsia="Calibri" w:hAnsi="Book Antiqua" w:cs="Calibri"/>
          <w:color w:val="000000"/>
          <w:sz w:val="24"/>
          <w:szCs w:val="24"/>
          <w:shd w:val="clear" w:color="auto" w:fill="FFFFFF"/>
        </w:rPr>
        <w:t xml:space="preserve"> disavow 'the call of the other' but, rather, disavow it under the pressure of anger, resentment, ambition, passions which stifle and overwhelm the natural promptings of human beings.</w:t>
      </w:r>
    </w:p>
    <w:p w14:paraId="6CB0B45A"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As we saw, Gandhi claims that this talk of self-acquaintance, of a conviction of ‘self-identity’ ‘is crucial for understanding the concept of a human soul’ and I have suggested that these expressions either refer to something essentially social or are idling. However, talk of us as self-conscious beings </w:t>
      </w:r>
      <w:r w:rsidRPr="009A3494">
        <w:rPr>
          <w:rFonts w:ascii="Book Antiqua" w:eastAsia="Times New Roman" w:hAnsi="Book Antiqua"/>
          <w:i/>
          <w:color w:val="333333"/>
          <w:sz w:val="24"/>
          <w:szCs w:val="24"/>
          <w:lang w:eastAsia="en-GB"/>
        </w:rPr>
        <w:t>can</w:t>
      </w:r>
      <w:r w:rsidRPr="009A3494">
        <w:rPr>
          <w:rFonts w:ascii="Book Antiqua" w:eastAsia="Times New Roman" w:hAnsi="Book Antiqua"/>
          <w:color w:val="333333"/>
          <w:sz w:val="24"/>
          <w:szCs w:val="24"/>
          <w:lang w:eastAsia="en-GB"/>
        </w:rPr>
        <w:t xml:space="preserve"> put us in touch with the soul language which is our cultural inheritance, and which is a vehicle for our language of moral character and values.  The formation of the concept of soul doesn’t arise from the </w:t>
      </w:r>
      <w:r w:rsidRPr="009A3494">
        <w:rPr>
          <w:rFonts w:ascii="Book Antiqua" w:eastAsia="Times New Roman" w:hAnsi="Book Antiqua"/>
          <w:i/>
          <w:color w:val="333333"/>
          <w:sz w:val="24"/>
          <w:szCs w:val="24"/>
          <w:lang w:eastAsia="en-GB"/>
        </w:rPr>
        <w:t>fact</w:t>
      </w:r>
      <w:r w:rsidRPr="009A3494">
        <w:rPr>
          <w:rFonts w:ascii="Book Antiqua" w:eastAsia="Times New Roman" w:hAnsi="Book Antiqua"/>
          <w:color w:val="333333"/>
          <w:sz w:val="24"/>
          <w:szCs w:val="24"/>
          <w:lang w:eastAsia="en-GB"/>
        </w:rPr>
        <w:t xml:space="preserve"> of consciousness but from the recoil of the imagination in the confrontation with death and dying, from rebellion against the shock of death as we swerve between the thought that they have </w:t>
      </w:r>
      <w:r w:rsidRPr="009A3494">
        <w:rPr>
          <w:rFonts w:ascii="Book Antiqua" w:eastAsia="Times New Roman" w:hAnsi="Book Antiqua"/>
          <w:i/>
          <w:color w:val="333333"/>
          <w:sz w:val="24"/>
          <w:szCs w:val="24"/>
          <w:lang w:eastAsia="en-GB"/>
        </w:rPr>
        <w:t>gone</w:t>
      </w:r>
      <w:r w:rsidRPr="009A3494">
        <w:rPr>
          <w:rFonts w:ascii="Book Antiqua" w:eastAsia="Times New Roman" w:hAnsi="Book Antiqua"/>
          <w:color w:val="333333"/>
          <w:sz w:val="24"/>
          <w:szCs w:val="24"/>
          <w:lang w:eastAsia="en-GB"/>
        </w:rPr>
        <w:t xml:space="preserve">, in which case we are forced to imagine that they continue their ‘journey’ elsewhere, and the thought that they are no more, that their life is extinguished. Similarly, with ourselves, we swerve, most of us, between the thought that we shall merely pass into another room, as Blake had it, and the thought that we are snuffed out like a candle flame. The former thought belongs with the uncanny and involuntary sense that the ‘departed’ are still somehow present. It is not just in story-telling that we conceive the idea of life continuing, albeit in a different and more ‘subtle’ form, as we seek to justify and make sense of that impulse of the imagination, whether they are wandering forlorn through Hades or are waiting in another dimension to be reincarnated, or are approaching the Judgment Seat. These are all pictures, as we shall see, not of disembodied </w:t>
      </w:r>
      <w:r w:rsidRPr="009A3494">
        <w:rPr>
          <w:rFonts w:ascii="Book Antiqua" w:eastAsia="Times New Roman" w:hAnsi="Book Antiqua"/>
          <w:i/>
          <w:color w:val="333333"/>
          <w:sz w:val="24"/>
          <w:szCs w:val="24"/>
          <w:lang w:eastAsia="en-GB"/>
        </w:rPr>
        <w:t>minds</w:t>
      </w:r>
      <w:r w:rsidRPr="009A3494">
        <w:rPr>
          <w:rFonts w:ascii="Book Antiqua" w:eastAsia="Times New Roman" w:hAnsi="Book Antiqua"/>
          <w:color w:val="333333"/>
          <w:sz w:val="24"/>
          <w:szCs w:val="24"/>
          <w:lang w:eastAsia="en-GB"/>
        </w:rPr>
        <w:t>, but of individual beings, no matter how precariously conceived, who ‘have’ minds in the sense that they continue to think, feel and act. And then the philosophers turn up and point out that such an entity must be a separate substance, but a substance that is simple, without parts, and so forth, even though the original picture has them with slightly floaty bodies continuing their warrior work, perhaps, and in need of the grave goods … But this is not the true or the essential self that is the real vehicle for consciousness. It is rather an attenuated human being who is already a self in the old sense of an individual being. It is rather a way of making sense of a life continuing and any scepticism about that is also a scepticism about the very idea of ‘soul’ which is, however, embedded in our language in a way that doesn’t depend any longer on issues of realism because as a metaphor it carries, as I said, the weight of our moral distinctions.</w:t>
      </w:r>
    </w:p>
    <w:p w14:paraId="5203DD3A"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p>
    <w:p w14:paraId="794ACFB6"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3</w:t>
      </w:r>
    </w:p>
    <w:p w14:paraId="460F6A8F"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Whatever one thinks of Descartes’s dualism of two substances, it is a mistake to interpret him in terms once popular with philosophers who considered him a natural target for Wittgenstein’s anti-private language argument.</w:t>
      </w:r>
      <w:r w:rsidRPr="009A3494">
        <w:rPr>
          <w:rFonts w:ascii="Book Antiqua" w:eastAsia="Times New Roman" w:hAnsi="Book Antiqua"/>
          <w:color w:val="333333"/>
          <w:sz w:val="24"/>
          <w:szCs w:val="24"/>
          <w:vertAlign w:val="superscript"/>
          <w:lang w:eastAsia="en-GB"/>
        </w:rPr>
        <w:footnoteReference w:id="6"/>
      </w:r>
      <w:r w:rsidRPr="009A3494">
        <w:rPr>
          <w:rFonts w:ascii="Book Antiqua" w:eastAsia="Times New Roman" w:hAnsi="Book Antiqua"/>
          <w:color w:val="333333"/>
          <w:sz w:val="24"/>
          <w:szCs w:val="24"/>
          <w:lang w:eastAsia="en-GB"/>
        </w:rPr>
        <w:t xml:space="preserve"> Descartes’ dualism doesn’t entail a private inner entity—he insisted that a human being was a </w:t>
      </w:r>
      <w:r w:rsidRPr="009A3494">
        <w:rPr>
          <w:rFonts w:ascii="Book Antiqua" w:eastAsia="Times New Roman" w:hAnsi="Book Antiqua"/>
          <w:i/>
          <w:color w:val="333333"/>
          <w:sz w:val="24"/>
          <w:szCs w:val="24"/>
          <w:lang w:eastAsia="en-GB"/>
        </w:rPr>
        <w:t>union</w:t>
      </w:r>
      <w:r w:rsidRPr="009A3494">
        <w:rPr>
          <w:rFonts w:ascii="Book Antiqua" w:eastAsia="Times New Roman" w:hAnsi="Book Antiqua"/>
          <w:color w:val="333333"/>
          <w:sz w:val="24"/>
          <w:szCs w:val="24"/>
          <w:lang w:eastAsia="en-GB"/>
        </w:rPr>
        <w:t xml:space="preserve"> of body and soul, and that the idea of a ‘human being’ was a primitive notion, ‘</w:t>
      </w:r>
      <w:proofErr w:type="spellStart"/>
      <w:r w:rsidRPr="009A3494">
        <w:rPr>
          <w:rFonts w:ascii="Book Antiqua" w:eastAsia="Times New Roman" w:hAnsi="Book Antiqua"/>
          <w:i/>
          <w:color w:val="333333"/>
          <w:sz w:val="24"/>
          <w:szCs w:val="24"/>
          <w:lang w:eastAsia="en-GB"/>
        </w:rPr>
        <w:t>une</w:t>
      </w:r>
      <w:proofErr w:type="spellEnd"/>
      <w:r w:rsidRPr="009A3494">
        <w:rPr>
          <w:rFonts w:ascii="Book Antiqua" w:eastAsia="Times New Roman" w:hAnsi="Book Antiqua"/>
          <w:i/>
          <w:color w:val="333333"/>
          <w:sz w:val="24"/>
          <w:szCs w:val="24"/>
          <w:lang w:eastAsia="en-GB"/>
        </w:rPr>
        <w:t xml:space="preserve"> notion primitive</w:t>
      </w:r>
      <w:r w:rsidRPr="009A3494">
        <w:rPr>
          <w:rFonts w:ascii="Book Antiqua" w:eastAsia="Times New Roman" w:hAnsi="Book Antiqua"/>
          <w:color w:val="333333"/>
          <w:sz w:val="24"/>
          <w:szCs w:val="24"/>
          <w:lang w:eastAsia="en-GB"/>
        </w:rPr>
        <w:t>’, that the human being was ‘</w:t>
      </w:r>
      <w:proofErr w:type="spellStart"/>
      <w:r w:rsidRPr="009A3494">
        <w:rPr>
          <w:rFonts w:ascii="Book Antiqua" w:eastAsia="Times New Roman" w:hAnsi="Book Antiqua"/>
          <w:i/>
          <w:color w:val="333333"/>
          <w:sz w:val="24"/>
          <w:szCs w:val="24"/>
          <w:lang w:eastAsia="en-GB"/>
        </w:rPr>
        <w:t>une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seule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personne</w:t>
      </w:r>
      <w:proofErr w:type="spellEnd"/>
      <w:r w:rsidRPr="009A3494">
        <w:rPr>
          <w:rFonts w:ascii="Book Antiqua" w:eastAsia="Times New Roman" w:hAnsi="Book Antiqua"/>
          <w:color w:val="333333"/>
          <w:sz w:val="24"/>
          <w:szCs w:val="24"/>
          <w:lang w:eastAsia="en-GB"/>
        </w:rPr>
        <w:t xml:space="preserve">’. </w:t>
      </w:r>
      <w:proofErr w:type="gramStart"/>
      <w:r w:rsidRPr="009A3494">
        <w:rPr>
          <w:rFonts w:ascii="Book Antiqua" w:eastAsia="Times New Roman" w:hAnsi="Book Antiqua"/>
          <w:color w:val="333333"/>
          <w:sz w:val="24"/>
          <w:szCs w:val="24"/>
          <w:lang w:eastAsia="en-GB"/>
        </w:rPr>
        <w:t>That is to say, we</w:t>
      </w:r>
      <w:proofErr w:type="gramEnd"/>
      <w:r w:rsidRPr="009A3494">
        <w:rPr>
          <w:rFonts w:ascii="Book Antiqua" w:eastAsia="Times New Roman" w:hAnsi="Book Antiqua"/>
          <w:color w:val="333333"/>
          <w:sz w:val="24"/>
          <w:szCs w:val="24"/>
          <w:lang w:eastAsia="en-GB"/>
        </w:rPr>
        <w:t xml:space="preserve"> encounter people directly, we don’t make an inference from bodily movements to inner states. Gandhi draws on a (slightly misremembered) remark of Wittgenstein, which he renders thus (p 30): ‘I do not have the opinion that he is a soul, my attitude to him is an attitude to a soul’ </w:t>
      </w:r>
      <w:r w:rsidRPr="009A3494">
        <w:rPr>
          <w:rFonts w:ascii="Book Antiqua" w:eastAsia="Times New Roman" w:hAnsi="Book Antiqua"/>
          <w:color w:val="333333"/>
          <w:sz w:val="24"/>
          <w:szCs w:val="24"/>
          <w:vertAlign w:val="superscript"/>
          <w:lang w:eastAsia="en-GB"/>
        </w:rPr>
        <w:footnoteReference w:id="7"/>
      </w:r>
      <w:r w:rsidRPr="009A3494">
        <w:rPr>
          <w:rFonts w:ascii="Book Antiqua" w:eastAsia="Times New Roman" w:hAnsi="Book Antiqua"/>
          <w:color w:val="333333"/>
          <w:sz w:val="24"/>
          <w:szCs w:val="24"/>
          <w:lang w:eastAsia="en-GB"/>
        </w:rPr>
        <w:t xml:space="preserve"> .The Anscombe translation, however, runs as follows: ‘My attitude towards him is an attitude towards a soul. I am not of the </w:t>
      </w:r>
      <w:r w:rsidRPr="009A3494">
        <w:rPr>
          <w:rFonts w:ascii="Book Antiqua" w:eastAsia="Times New Roman" w:hAnsi="Book Antiqua"/>
          <w:i/>
          <w:color w:val="333333"/>
          <w:sz w:val="24"/>
          <w:szCs w:val="24"/>
          <w:lang w:eastAsia="en-GB"/>
        </w:rPr>
        <w:t>opinion</w:t>
      </w:r>
      <w:r w:rsidRPr="009A3494">
        <w:rPr>
          <w:rFonts w:ascii="Book Antiqua" w:eastAsia="Times New Roman" w:hAnsi="Book Antiqua"/>
          <w:color w:val="333333"/>
          <w:sz w:val="24"/>
          <w:szCs w:val="24"/>
          <w:lang w:eastAsia="en-GB"/>
        </w:rPr>
        <w:t xml:space="preserve"> that he has a soul’</w:t>
      </w:r>
      <w:proofErr w:type="gramStart"/>
      <w:r w:rsidRPr="009A3494">
        <w:rPr>
          <w:rFonts w:ascii="Book Antiqua" w:eastAsia="Times New Roman" w:hAnsi="Book Antiqua"/>
          <w:color w:val="333333"/>
          <w:sz w:val="24"/>
          <w:szCs w:val="24"/>
          <w:lang w:eastAsia="en-GB"/>
        </w:rPr>
        <w:t>—‘</w:t>
      </w:r>
      <w:proofErr w:type="gramEnd"/>
      <w:r w:rsidRPr="009A3494">
        <w:rPr>
          <w:rFonts w:ascii="Book Antiqua" w:eastAsia="Times New Roman" w:hAnsi="Book Antiqua"/>
          <w:color w:val="333333"/>
          <w:sz w:val="24"/>
          <w:szCs w:val="24"/>
          <w:lang w:eastAsia="en-GB"/>
        </w:rPr>
        <w:t xml:space="preserve">has’ rather than ‘is’ a soul. </w:t>
      </w:r>
      <w:r w:rsidRPr="009A3494">
        <w:rPr>
          <w:rFonts w:ascii="Book Antiqua" w:eastAsia="Times New Roman" w:hAnsi="Book Antiqua"/>
          <w:i/>
          <w:color w:val="333333"/>
          <w:sz w:val="24"/>
          <w:szCs w:val="24"/>
          <w:lang w:eastAsia="en-GB"/>
        </w:rPr>
        <w:t>Pace</w:t>
      </w:r>
      <w:r w:rsidRPr="009A3494">
        <w:rPr>
          <w:rFonts w:ascii="Book Antiqua" w:eastAsia="Times New Roman" w:hAnsi="Book Antiqua"/>
          <w:color w:val="333333"/>
          <w:sz w:val="24"/>
          <w:szCs w:val="24"/>
          <w:lang w:eastAsia="en-GB"/>
        </w:rPr>
        <w:t xml:space="preserve"> Anscombe, however, the German—</w:t>
      </w:r>
      <w:proofErr w:type="spellStart"/>
      <w:r w:rsidRPr="009A3494">
        <w:rPr>
          <w:rFonts w:ascii="Book Antiqua" w:eastAsia="Times New Roman" w:hAnsi="Book Antiqua"/>
          <w:i/>
          <w:color w:val="333333"/>
          <w:sz w:val="24"/>
          <w:szCs w:val="24"/>
          <w:lang w:eastAsia="en-GB"/>
        </w:rPr>
        <w:t>eine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Einstellung</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zur</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Seele</w:t>
      </w:r>
      <w:proofErr w:type="spellEnd"/>
      <w:r w:rsidRPr="009A3494">
        <w:rPr>
          <w:rFonts w:ascii="Book Antiqua" w:eastAsia="Times New Roman" w:hAnsi="Book Antiqua"/>
          <w:color w:val="333333"/>
          <w:sz w:val="24"/>
          <w:szCs w:val="24"/>
          <w:lang w:eastAsia="en-GB"/>
        </w:rPr>
        <w:t xml:space="preserve">—is more literally translated as ‘towards </w:t>
      </w:r>
      <w:r w:rsidRPr="009A3494">
        <w:rPr>
          <w:rFonts w:ascii="Book Antiqua" w:eastAsia="Times New Roman" w:hAnsi="Book Antiqua"/>
          <w:i/>
          <w:color w:val="333333"/>
          <w:sz w:val="24"/>
          <w:szCs w:val="24"/>
          <w:lang w:eastAsia="en-GB"/>
        </w:rPr>
        <w:t>the</w:t>
      </w:r>
      <w:r w:rsidRPr="009A3494">
        <w:rPr>
          <w:rFonts w:ascii="Book Antiqua" w:eastAsia="Times New Roman" w:hAnsi="Book Antiqua"/>
          <w:color w:val="333333"/>
          <w:sz w:val="24"/>
          <w:szCs w:val="24"/>
          <w:lang w:eastAsia="en-GB"/>
        </w:rPr>
        <w:t xml:space="preserve"> soul’ rather than ‘towards </w:t>
      </w:r>
      <w:r w:rsidRPr="009A3494">
        <w:rPr>
          <w:rFonts w:ascii="Book Antiqua" w:eastAsia="Times New Roman" w:hAnsi="Book Antiqua"/>
          <w:i/>
          <w:color w:val="333333"/>
          <w:sz w:val="24"/>
          <w:szCs w:val="24"/>
          <w:lang w:eastAsia="en-GB"/>
        </w:rPr>
        <w:t>a</w:t>
      </w:r>
      <w:r w:rsidRPr="009A3494">
        <w:rPr>
          <w:rFonts w:ascii="Book Antiqua" w:eastAsia="Times New Roman" w:hAnsi="Book Antiqua"/>
          <w:color w:val="333333"/>
          <w:sz w:val="24"/>
          <w:szCs w:val="24"/>
          <w:lang w:eastAsia="en-GB"/>
        </w:rPr>
        <w:t xml:space="preserve"> soul’.  Is this a rather too nuanced distinction, or even a distinction without a difference? In English usage at least to refer to the soul</w:t>
      </w:r>
      <w:r w:rsidRPr="009A3494">
        <w:rPr>
          <w:rFonts w:ascii="Book Antiqua" w:eastAsia="Times New Roman" w:hAnsi="Book Antiqua"/>
          <w:color w:val="333333"/>
          <w:sz w:val="24"/>
          <w:szCs w:val="24"/>
          <w:vertAlign w:val="superscript"/>
          <w:lang w:eastAsia="en-GB"/>
        </w:rPr>
        <w:footnoteReference w:id="8"/>
      </w:r>
      <w:r w:rsidRPr="009A3494">
        <w:rPr>
          <w:rFonts w:ascii="Book Antiqua" w:eastAsia="Times New Roman" w:hAnsi="Book Antiqua"/>
          <w:color w:val="333333"/>
          <w:sz w:val="24"/>
          <w:szCs w:val="24"/>
          <w:lang w:eastAsia="en-GB"/>
        </w:rPr>
        <w:t xml:space="preserve"> of a person is precisely to refer to what constitutes them a </w:t>
      </w:r>
      <w:r w:rsidRPr="009A3494">
        <w:rPr>
          <w:rFonts w:ascii="Book Antiqua" w:eastAsia="Times New Roman" w:hAnsi="Book Antiqua"/>
          <w:i/>
          <w:color w:val="333333"/>
          <w:sz w:val="24"/>
          <w:szCs w:val="24"/>
          <w:lang w:eastAsia="en-GB"/>
        </w:rPr>
        <w:t>person</w:t>
      </w:r>
      <w:r w:rsidRPr="009A3494">
        <w:rPr>
          <w:rFonts w:ascii="Book Antiqua" w:eastAsia="Times New Roman" w:hAnsi="Book Antiqua"/>
          <w:color w:val="333333"/>
          <w:sz w:val="24"/>
          <w:szCs w:val="24"/>
          <w:lang w:eastAsia="en-GB"/>
        </w:rPr>
        <w:t>, their virtues and vices, their inmost thoughts, something they conceal or reveal; so my attitude to them is an attitude to them as thus constituted. On the other hand we do talk of ‘souls’ lost at sea and sometimes say of someone that they are ‘a lost soul’ without implying now as we might once and as some still do that they are destined for Hell. In any event, and in the light of Wittgenstein’s anti-privacy reflections a soul is not the sort of thing whose existence is a matter of opinion, as though access to the thoughts and feelings we associate with ‘the soul’ is by means of inference and hypothesis and the interpretation of bodily movements, which are indeed already ‘saturated’ by ‘the soul’. I am already responsive to, engaged with, ‘the soul’ without these inferential preparations. I would, then, interpret Wittgenstein’s gnomic remark fairly freely—my attitude towards another human being, which is a dynamic already in place before we talk about the problem of other minds, is an attitude to what talk of ‘the soul’ refers to, viz the bearing and demeanour of another human being, ‘</w:t>
      </w:r>
      <w:proofErr w:type="spellStart"/>
      <w:r w:rsidRPr="009A3494">
        <w:rPr>
          <w:rFonts w:ascii="Book Antiqua" w:eastAsia="Times New Roman" w:hAnsi="Book Antiqua"/>
          <w:i/>
          <w:color w:val="333333"/>
          <w:sz w:val="24"/>
          <w:szCs w:val="24"/>
          <w:lang w:eastAsia="en-GB"/>
        </w:rPr>
        <w:t>une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seule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personne</w:t>
      </w:r>
      <w:proofErr w:type="spellEnd"/>
      <w:r w:rsidRPr="009A3494">
        <w:rPr>
          <w:rFonts w:ascii="Book Antiqua" w:eastAsia="Times New Roman" w:hAnsi="Book Antiqua"/>
          <w:color w:val="333333"/>
          <w:sz w:val="24"/>
          <w:szCs w:val="24"/>
          <w:lang w:eastAsia="en-GB"/>
        </w:rPr>
        <w:t>’.</w:t>
      </w:r>
      <w:r w:rsidRPr="009A3494">
        <w:rPr>
          <w:rFonts w:ascii="Book Antiqua" w:eastAsia="Times New Roman" w:hAnsi="Book Antiqua"/>
          <w:color w:val="333333"/>
          <w:sz w:val="24"/>
          <w:szCs w:val="24"/>
          <w:vertAlign w:val="superscript"/>
          <w:lang w:eastAsia="en-GB"/>
        </w:rPr>
        <w:footnoteReference w:id="9"/>
      </w:r>
      <w:r w:rsidRPr="009A3494">
        <w:rPr>
          <w:rFonts w:ascii="Book Antiqua" w:eastAsia="Times New Roman" w:hAnsi="Book Antiqua"/>
          <w:color w:val="333333"/>
          <w:sz w:val="24"/>
          <w:szCs w:val="24"/>
          <w:lang w:eastAsia="en-GB"/>
        </w:rPr>
        <w:t xml:space="preserve"> The idea of the natural expression of thoughts and feelings already reveals the soul in the forms of expressive language and conduct. In the previous section Wittgenstein has already talked of the ‘natural expression of an intention’ and in an intriguing passage at § 642 he implicitly puts flesh, as it were, on Descartes’s talk of a </w:t>
      </w:r>
      <w:r w:rsidRPr="009A3494">
        <w:rPr>
          <w:rFonts w:ascii="Book Antiqua" w:eastAsia="Times New Roman" w:hAnsi="Book Antiqua"/>
          <w:i/>
          <w:color w:val="333333"/>
          <w:sz w:val="24"/>
          <w:szCs w:val="24"/>
          <w:lang w:eastAsia="en-GB"/>
        </w:rPr>
        <w:t>union</w:t>
      </w:r>
      <w:r w:rsidRPr="009A3494">
        <w:rPr>
          <w:rFonts w:ascii="Book Antiqua" w:eastAsia="Times New Roman" w:hAnsi="Book Antiqua"/>
          <w:color w:val="333333"/>
          <w:sz w:val="24"/>
          <w:szCs w:val="24"/>
          <w:lang w:eastAsia="en-GB"/>
        </w:rPr>
        <w:t>:</w:t>
      </w:r>
    </w:p>
    <w:p w14:paraId="5877CA16" w14:textId="77777777" w:rsidR="009A3494" w:rsidRPr="009A3494" w:rsidRDefault="009A3494" w:rsidP="009A3494">
      <w:pPr>
        <w:spacing w:before="100" w:beforeAutospacing="1" w:after="100" w:afterAutospacing="1" w:line="360" w:lineRule="auto"/>
        <w:ind w:left="72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“At that moment I hated him.”—What happened here? Didn’t it consist in thoughts, feelings and actions? And if I were to rehearse that moment to </w:t>
      </w:r>
      <w:proofErr w:type="gramStart"/>
      <w:r w:rsidRPr="009A3494">
        <w:rPr>
          <w:rFonts w:ascii="Book Antiqua" w:eastAsia="Times New Roman" w:hAnsi="Book Antiqua"/>
          <w:color w:val="333333"/>
          <w:sz w:val="24"/>
          <w:szCs w:val="24"/>
          <w:lang w:eastAsia="en-GB"/>
        </w:rPr>
        <w:t>myself</w:t>
      </w:r>
      <w:proofErr w:type="gramEnd"/>
      <w:r w:rsidRPr="009A3494">
        <w:rPr>
          <w:rFonts w:ascii="Book Antiqua" w:eastAsia="Times New Roman" w:hAnsi="Book Antiqua"/>
          <w:color w:val="333333"/>
          <w:sz w:val="24"/>
          <w:szCs w:val="24"/>
          <w:lang w:eastAsia="en-GB"/>
        </w:rPr>
        <w:t xml:space="preserve"> I should assume a particular expression, think of certain happenings, breathe in a particular way, arouse certain feelings in myself …</w:t>
      </w:r>
    </w:p>
    <w:p w14:paraId="06909B8B"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We already think about and are disposed towards our fellow beings quite differently from the way we are disposed towards boulders and </w:t>
      </w:r>
      <w:proofErr w:type="gramStart"/>
      <w:r w:rsidRPr="009A3494">
        <w:rPr>
          <w:rFonts w:ascii="Book Antiqua" w:eastAsia="Times New Roman" w:hAnsi="Book Antiqua"/>
          <w:color w:val="333333"/>
          <w:sz w:val="24"/>
          <w:szCs w:val="24"/>
          <w:lang w:eastAsia="en-GB"/>
        </w:rPr>
        <w:t>street lights</w:t>
      </w:r>
      <w:proofErr w:type="gramEnd"/>
      <w:r w:rsidRPr="009A3494">
        <w:rPr>
          <w:rFonts w:ascii="Book Antiqua" w:eastAsia="Times New Roman" w:hAnsi="Book Antiqua"/>
          <w:color w:val="333333"/>
          <w:sz w:val="24"/>
          <w:szCs w:val="24"/>
          <w:lang w:eastAsia="en-GB"/>
        </w:rPr>
        <w:t>. Wittgenstein remarks ‘“I believe that he is suffering</w:t>
      </w:r>
      <w:proofErr w:type="gramStart"/>
      <w:r w:rsidRPr="009A3494">
        <w:rPr>
          <w:rFonts w:ascii="Book Antiqua" w:eastAsia="Times New Roman" w:hAnsi="Book Antiqua"/>
          <w:color w:val="333333"/>
          <w:sz w:val="24"/>
          <w:szCs w:val="24"/>
          <w:lang w:eastAsia="en-GB"/>
        </w:rPr>
        <w:t>”.—</w:t>
      </w:r>
      <w:proofErr w:type="gramEnd"/>
      <w:r w:rsidRPr="009A3494">
        <w:rPr>
          <w:rFonts w:ascii="Book Antiqua" w:eastAsia="Times New Roman" w:hAnsi="Book Antiqua"/>
          <w:color w:val="333333"/>
          <w:sz w:val="24"/>
          <w:szCs w:val="24"/>
          <w:lang w:eastAsia="en-GB"/>
        </w:rPr>
        <w:t xml:space="preserve">Do I also believe that he isn’t an automaton?”’ Well, it’s no longer so clear in our age of AGI and the Turing test, but generally I am already related to a fellow being in a range of subliminal ways. I don’t form the belief that this is a person in front of me and then act on the basis of that belief but rather I already stand in a relation of human reciprocity—whether friendly or hostile—to that person already conceived and responded to precisely as a person, and precisely in ethical terms. </w:t>
      </w:r>
    </w:p>
    <w:p w14:paraId="74ABC609"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It is in the same section of the </w:t>
      </w:r>
      <w:r w:rsidRPr="009A3494">
        <w:rPr>
          <w:rFonts w:ascii="Book Antiqua" w:eastAsia="Times New Roman" w:hAnsi="Book Antiqua"/>
          <w:i/>
          <w:color w:val="333333"/>
          <w:sz w:val="24"/>
          <w:szCs w:val="24"/>
          <w:lang w:eastAsia="en-GB"/>
        </w:rPr>
        <w:t>Investigations</w:t>
      </w:r>
      <w:r w:rsidRPr="009A3494">
        <w:rPr>
          <w:rFonts w:ascii="Book Antiqua" w:eastAsia="Times New Roman" w:hAnsi="Book Antiqua"/>
          <w:color w:val="333333"/>
          <w:sz w:val="24"/>
          <w:szCs w:val="24"/>
          <w:lang w:eastAsia="en-GB"/>
        </w:rPr>
        <w:t xml:space="preserve">, incidentally, that Wittgenstein says that ‘the human body is the best picture of the human soul’. I had always taken this to mean that the human soul expresses itself in body-language and facial expression, etc. But the context suggests something slightly different. Wittgenstein has remarked that ‘religion teaches that the soul can exist when the body has disintegrated’ and asks himself, ‘do I understand this teaching?’ And he replies—’Of course I understand it—I can imagine plenty of things in connection with it. And haven’t pictures of these things been painted?’ And it is a couple of sentences later that he makes this well-known comment. Given this context, of </w:t>
      </w:r>
      <w:r w:rsidRPr="009A3494">
        <w:rPr>
          <w:rFonts w:ascii="Book Antiqua" w:eastAsia="Times New Roman" w:hAnsi="Book Antiqua"/>
          <w:i/>
          <w:color w:val="333333"/>
          <w:sz w:val="24"/>
          <w:szCs w:val="24"/>
          <w:lang w:eastAsia="en-GB"/>
        </w:rPr>
        <w:t>imagining</w:t>
      </w:r>
      <w:r w:rsidRPr="009A3494">
        <w:rPr>
          <w:rFonts w:ascii="Book Antiqua" w:eastAsia="Times New Roman" w:hAnsi="Book Antiqua"/>
          <w:color w:val="333333"/>
          <w:sz w:val="24"/>
          <w:szCs w:val="24"/>
          <w:lang w:eastAsia="en-GB"/>
        </w:rPr>
        <w:t xml:space="preserve"> the soul, the thought seems to be that the best way to represent the human soul—that is, to </w:t>
      </w:r>
      <w:r w:rsidRPr="009A3494">
        <w:rPr>
          <w:rFonts w:ascii="Book Antiqua" w:eastAsia="Times New Roman" w:hAnsi="Book Antiqua"/>
          <w:i/>
          <w:color w:val="333333"/>
          <w:sz w:val="24"/>
          <w:szCs w:val="24"/>
          <w:lang w:eastAsia="en-GB"/>
        </w:rPr>
        <w:t>imagine</w:t>
      </w:r>
      <w:r w:rsidRPr="009A3494">
        <w:rPr>
          <w:rFonts w:ascii="Book Antiqua" w:eastAsia="Times New Roman" w:hAnsi="Book Antiqua"/>
          <w:color w:val="333333"/>
          <w:sz w:val="24"/>
          <w:szCs w:val="24"/>
          <w:lang w:eastAsia="en-GB"/>
        </w:rPr>
        <w:t xml:space="preserve"> it—is in the form of a human figure. Now imagining the soul is an ancient activity, as we have seen, whether in the circles of heaven, purgatory or hell, whether shades wandering in Hades, Persephone, or Eurydice; we imagine Orpheus seeking her out, and so on and so forth.  In the case of Eurydice, we are imagining a human figure</w:t>
      </w:r>
      <w:r w:rsidRPr="009A3494">
        <w:rPr>
          <w:rFonts w:ascii="Book Antiqua" w:eastAsia="Times New Roman" w:hAnsi="Book Antiqua"/>
          <w:color w:val="333333"/>
          <w:sz w:val="24"/>
          <w:szCs w:val="24"/>
          <w:vertAlign w:val="superscript"/>
          <w:lang w:eastAsia="en-GB"/>
        </w:rPr>
        <w:footnoteReference w:id="10"/>
      </w:r>
      <w:r w:rsidRPr="009A3494">
        <w:rPr>
          <w:rFonts w:ascii="Book Antiqua" w:eastAsia="Times New Roman" w:hAnsi="Book Antiqua"/>
          <w:color w:val="333333"/>
          <w:sz w:val="24"/>
          <w:szCs w:val="24"/>
          <w:lang w:eastAsia="en-GB"/>
        </w:rPr>
        <w:t xml:space="preserve">, a person </w:t>
      </w:r>
      <w:proofErr w:type="gramStart"/>
      <w:r w:rsidRPr="009A3494">
        <w:rPr>
          <w:rFonts w:ascii="Book Antiqua" w:eastAsia="Times New Roman" w:hAnsi="Book Antiqua"/>
          <w:color w:val="333333"/>
          <w:sz w:val="24"/>
          <w:szCs w:val="24"/>
          <w:lang w:eastAsia="en-GB"/>
        </w:rPr>
        <w:t>in the midst of</w:t>
      </w:r>
      <w:proofErr w:type="gramEnd"/>
      <w:r w:rsidRPr="009A3494">
        <w:rPr>
          <w:rFonts w:ascii="Book Antiqua" w:eastAsia="Times New Roman" w:hAnsi="Book Antiqua"/>
          <w:color w:val="333333"/>
          <w:sz w:val="24"/>
          <w:szCs w:val="24"/>
          <w:lang w:eastAsia="en-GB"/>
        </w:rPr>
        <w:t xml:space="preserve"> a new life with thoughts and feelings that belong to their condition as we imagine it. These traditions have informed the way we in the West have thought of human beings, and this soul language captures our ideas about human subjectivity and agency. It would be a solecism to protest at the claim that someone has a beautiful soul that we no longer believe that there are souls.</w:t>
      </w:r>
    </w:p>
    <w:p w14:paraId="7CD93D5A"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4</w:t>
      </w:r>
    </w:p>
    <w:p w14:paraId="3513B017"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The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doctrine offers a warning and a promise, it can free someone from the belief that they are locked permanently into an unhappy consciousness, a fixed subjective formation of impulses and dispositions, the </w:t>
      </w:r>
      <w:proofErr w:type="spellStart"/>
      <w:r w:rsidRPr="009A3494">
        <w:rPr>
          <w:rFonts w:ascii="Book Antiqua" w:eastAsia="Times New Roman" w:hAnsi="Book Antiqua"/>
          <w:i/>
          <w:color w:val="333333"/>
          <w:sz w:val="24"/>
          <w:szCs w:val="24"/>
          <w:lang w:eastAsia="en-GB"/>
        </w:rPr>
        <w:t>klesas</w:t>
      </w:r>
      <w:proofErr w:type="spellEnd"/>
      <w:r w:rsidRPr="009A3494">
        <w:rPr>
          <w:rFonts w:ascii="Book Antiqua" w:eastAsia="Times New Roman" w:hAnsi="Book Antiqua"/>
          <w:color w:val="333333"/>
          <w:sz w:val="24"/>
          <w:szCs w:val="24"/>
          <w:lang w:eastAsia="en-GB"/>
        </w:rPr>
        <w:t xml:space="preserve">, that they seem unable to overcome and so constantly betray or lose sight of their own deepest impulses—it is possible to change—and a warning against ignorance of the underlying fluidity of apparently fixed points. The doctrine is as much about an entrenched human tendency as the correction of an erroneous belief about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 even though this latter may be construed as a special case of the tendency. Leaving aside questions about whether we have reason to believe that there is such an ultimate SELF with which we are ultimately identical, it is </w:t>
      </w:r>
      <w:r w:rsidRPr="009A3494">
        <w:rPr>
          <w:rFonts w:ascii="Book Antiqua" w:eastAsia="Times New Roman" w:hAnsi="Book Antiqua"/>
          <w:i/>
          <w:color w:val="333333"/>
          <w:sz w:val="24"/>
          <w:szCs w:val="24"/>
          <w:lang w:eastAsia="en-GB"/>
        </w:rPr>
        <w:t>pleasing</w:t>
      </w:r>
      <w:r w:rsidRPr="009A3494">
        <w:rPr>
          <w:rFonts w:ascii="Book Antiqua" w:eastAsia="Times New Roman" w:hAnsi="Book Antiqua"/>
          <w:color w:val="333333"/>
          <w:sz w:val="24"/>
          <w:szCs w:val="24"/>
          <w:lang w:eastAsia="en-GB"/>
        </w:rPr>
        <w:t xml:space="preserve"> to believe that one is ultimately identical to a blissful, permanent and unchanging SELF. The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doctrine </w:t>
      </w:r>
      <w:r w:rsidRPr="009A3494">
        <w:rPr>
          <w:rFonts w:ascii="Book Antiqua" w:eastAsia="Times New Roman" w:hAnsi="Book Antiqua"/>
          <w:i/>
          <w:color w:val="333333"/>
          <w:sz w:val="24"/>
          <w:szCs w:val="24"/>
          <w:lang w:eastAsia="en-GB"/>
        </w:rPr>
        <w:t>denies</w:t>
      </w:r>
      <w:r w:rsidRPr="009A3494">
        <w:rPr>
          <w:rFonts w:ascii="Book Antiqua" w:eastAsia="Times New Roman" w:hAnsi="Book Antiqua"/>
          <w:color w:val="333333"/>
          <w:sz w:val="24"/>
          <w:szCs w:val="24"/>
          <w:lang w:eastAsia="en-GB"/>
        </w:rPr>
        <w:t xml:space="preserve"> that (we have reason to believe that) there is such an unchanging SELF ‘behind’ the flow of perceptions and reflections that constitute experience.  And the question then is, what does the doctrine </w:t>
      </w:r>
      <w:r w:rsidRPr="009A3494">
        <w:rPr>
          <w:rFonts w:ascii="Book Antiqua" w:eastAsia="Times New Roman" w:hAnsi="Book Antiqua"/>
          <w:i/>
          <w:color w:val="333333"/>
          <w:sz w:val="24"/>
          <w:szCs w:val="24"/>
          <w:lang w:eastAsia="en-GB"/>
        </w:rPr>
        <w:t>assert</w:t>
      </w:r>
      <w:r w:rsidRPr="009A3494">
        <w:rPr>
          <w:rFonts w:ascii="Book Antiqua" w:eastAsia="Times New Roman" w:hAnsi="Book Antiqua"/>
          <w:color w:val="333333"/>
          <w:sz w:val="24"/>
          <w:szCs w:val="24"/>
          <w:lang w:eastAsia="en-GB"/>
        </w:rPr>
        <w:t xml:space="preserve">? The early and still influential temptation was to claim that there is just the flow of experience, and we shall return to this, noting first, however, that </w:t>
      </w:r>
      <w:r w:rsidRPr="009A3494">
        <w:rPr>
          <w:rFonts w:ascii="Book Antiqua" w:eastAsia="Times New Roman" w:hAnsi="Book Antiqua"/>
          <w:i/>
          <w:color w:val="333333"/>
          <w:sz w:val="24"/>
          <w:szCs w:val="24"/>
          <w:lang w:eastAsia="en-GB"/>
        </w:rPr>
        <w:t>intentionality</w:t>
      </w:r>
      <w:r w:rsidRPr="009A3494">
        <w:rPr>
          <w:rFonts w:ascii="Book Antiqua" w:eastAsia="Times New Roman" w:hAnsi="Book Antiqua"/>
          <w:color w:val="333333"/>
          <w:sz w:val="24"/>
          <w:szCs w:val="24"/>
          <w:lang w:eastAsia="en-GB"/>
        </w:rPr>
        <w:t xml:space="preserve"> is written into the very idea of ‘experience’, that is to say, if we are to talk about experience at all we have to see it as directed towards, as </w:t>
      </w:r>
      <w:r w:rsidRPr="009A3494">
        <w:rPr>
          <w:rFonts w:ascii="Book Antiqua" w:eastAsia="Times New Roman" w:hAnsi="Book Antiqua"/>
          <w:i/>
          <w:color w:val="333333"/>
          <w:sz w:val="24"/>
          <w:szCs w:val="24"/>
          <w:lang w:eastAsia="en-GB"/>
        </w:rPr>
        <w:t>about</w:t>
      </w:r>
      <w:r w:rsidRPr="009A3494">
        <w:rPr>
          <w:rFonts w:ascii="Book Antiqua" w:eastAsia="Times New Roman" w:hAnsi="Book Antiqua"/>
          <w:color w:val="333333"/>
          <w:sz w:val="24"/>
          <w:szCs w:val="24"/>
          <w:lang w:eastAsia="en-GB"/>
        </w:rPr>
        <w:t xml:space="preserve">, an ‘object’, and the subject-object distinction is essential, </w:t>
      </w:r>
      <w:r w:rsidRPr="009A3494">
        <w:rPr>
          <w:rFonts w:ascii="Book Antiqua" w:eastAsia="Times New Roman" w:hAnsi="Book Antiqua"/>
          <w:i/>
          <w:color w:val="333333"/>
          <w:sz w:val="24"/>
          <w:szCs w:val="24"/>
          <w:lang w:eastAsia="en-GB"/>
        </w:rPr>
        <w:t>pace</w:t>
      </w:r>
      <w:r w:rsidRPr="009A3494">
        <w:rPr>
          <w:rFonts w:ascii="Book Antiqua" w:eastAsia="Times New Roman" w:hAnsi="Book Antiqua"/>
          <w:color w:val="333333"/>
          <w:sz w:val="24"/>
          <w:szCs w:val="24"/>
          <w:lang w:eastAsia="en-GB"/>
        </w:rPr>
        <w:t xml:space="preserve"> those who think that the no-self doctrine must oppose this.  This distinction doesn’t entail that the ‘subject’ is an inner entity identical with an unchanging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—it is me, this human being, for instance, just now, distracted by the geese settling noisily on the loch.  </w:t>
      </w:r>
    </w:p>
    <w:p w14:paraId="4F5728B6"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The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doctrine is directed towards a deep-rooted human tendency, an </w:t>
      </w:r>
      <w:r w:rsidRPr="009A3494">
        <w:rPr>
          <w:rFonts w:ascii="Book Antiqua" w:eastAsia="Times New Roman" w:hAnsi="Book Antiqua"/>
          <w:i/>
          <w:color w:val="333333"/>
          <w:sz w:val="24"/>
          <w:szCs w:val="24"/>
          <w:lang w:eastAsia="en-GB"/>
        </w:rPr>
        <w:t xml:space="preserve">attachment </w:t>
      </w:r>
      <w:r w:rsidRPr="009A3494">
        <w:rPr>
          <w:rFonts w:ascii="Book Antiqua" w:eastAsia="Times New Roman" w:hAnsi="Book Antiqua"/>
          <w:color w:val="333333"/>
          <w:sz w:val="24"/>
          <w:szCs w:val="24"/>
          <w:lang w:eastAsia="en-GB"/>
        </w:rPr>
        <w:t xml:space="preserve">to, a grasping hold of, an acceptable social identity, in an adversarial context of struggle determined by our commitment to such projects as were mentioned at the beginning, of wealth, sensuality and status; and </w:t>
      </w:r>
      <w:r w:rsidRPr="009A3494">
        <w:rPr>
          <w:rFonts w:ascii="Book Antiqua" w:eastAsia="Times New Roman" w:hAnsi="Book Antiqua"/>
          <w:i/>
          <w:color w:val="333333"/>
          <w:sz w:val="24"/>
          <w:szCs w:val="24"/>
          <w:lang w:eastAsia="en-GB"/>
        </w:rPr>
        <w:t>bodhi</w:t>
      </w:r>
      <w:r w:rsidRPr="009A3494">
        <w:rPr>
          <w:rFonts w:ascii="Book Antiqua" w:eastAsia="Times New Roman" w:hAnsi="Book Antiqua"/>
          <w:color w:val="333333"/>
          <w:sz w:val="24"/>
          <w:szCs w:val="24"/>
          <w:lang w:eastAsia="en-GB"/>
        </w:rPr>
        <w:t xml:space="preserve"> or awakening is constituted by liberation from these forms of attachment into insight and solidarity. But we need to make distinctions here. To use a term from Spinoza, the deep-rooted tendency that is challenged by the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doctrine is a </w:t>
      </w:r>
      <w:r w:rsidRPr="009A3494">
        <w:rPr>
          <w:rFonts w:ascii="Book Antiqua" w:eastAsia="Times New Roman" w:hAnsi="Book Antiqua"/>
          <w:i/>
          <w:color w:val="333333"/>
          <w:sz w:val="24"/>
          <w:szCs w:val="24"/>
          <w:lang w:eastAsia="en-GB"/>
        </w:rPr>
        <w:t>form</w:t>
      </w:r>
      <w:r w:rsidRPr="009A3494">
        <w:rPr>
          <w:rFonts w:ascii="Book Antiqua" w:eastAsia="Times New Roman" w:hAnsi="Book Antiqua"/>
          <w:color w:val="333333"/>
          <w:sz w:val="24"/>
          <w:szCs w:val="24"/>
          <w:lang w:eastAsia="en-GB"/>
        </w:rPr>
        <w:t xml:space="preserve"> of </w:t>
      </w:r>
      <w:r w:rsidRPr="009A3494">
        <w:rPr>
          <w:rFonts w:ascii="Book Antiqua" w:eastAsia="Times New Roman" w:hAnsi="Book Antiqua"/>
          <w:i/>
          <w:color w:val="333333"/>
          <w:sz w:val="24"/>
          <w:szCs w:val="24"/>
          <w:lang w:eastAsia="en-GB"/>
        </w:rPr>
        <w:t>conatus</w:t>
      </w:r>
      <w:r w:rsidRPr="009A3494">
        <w:rPr>
          <w:rFonts w:ascii="Book Antiqua" w:eastAsia="Times New Roman" w:hAnsi="Book Antiqua"/>
          <w:color w:val="333333"/>
          <w:sz w:val="24"/>
          <w:szCs w:val="24"/>
          <w:lang w:eastAsia="en-GB"/>
        </w:rPr>
        <w:t xml:space="preserve">. This latter is, as he puts it, a striving to maintain oneself in one’s own being. I say a </w:t>
      </w:r>
      <w:proofErr w:type="gramStart"/>
      <w:r w:rsidRPr="009A3494">
        <w:rPr>
          <w:rFonts w:ascii="Book Antiqua" w:eastAsia="Times New Roman" w:hAnsi="Book Antiqua"/>
          <w:color w:val="333333"/>
          <w:sz w:val="24"/>
          <w:szCs w:val="24"/>
          <w:lang w:eastAsia="en-GB"/>
        </w:rPr>
        <w:t xml:space="preserve">particular </w:t>
      </w:r>
      <w:r w:rsidRPr="009A3494">
        <w:rPr>
          <w:rFonts w:ascii="Book Antiqua" w:eastAsia="Times New Roman" w:hAnsi="Book Antiqua"/>
          <w:i/>
          <w:color w:val="333333"/>
          <w:sz w:val="24"/>
          <w:szCs w:val="24"/>
          <w:lang w:eastAsia="en-GB"/>
        </w:rPr>
        <w:t>form</w:t>
      </w:r>
      <w:proofErr w:type="gramEnd"/>
      <w:r w:rsidRPr="009A3494">
        <w:rPr>
          <w:rFonts w:ascii="Book Antiqua" w:eastAsia="Times New Roman" w:hAnsi="Book Antiqua"/>
          <w:color w:val="333333"/>
          <w:sz w:val="24"/>
          <w:szCs w:val="24"/>
          <w:lang w:eastAsia="en-GB"/>
        </w:rPr>
        <w:t xml:space="preserve"> because questions arise about how one </w:t>
      </w:r>
      <w:r w:rsidRPr="009A3494">
        <w:rPr>
          <w:rFonts w:ascii="Book Antiqua" w:eastAsia="Times New Roman" w:hAnsi="Book Antiqua"/>
          <w:i/>
          <w:color w:val="333333"/>
          <w:sz w:val="24"/>
          <w:szCs w:val="24"/>
          <w:lang w:eastAsia="en-GB"/>
        </w:rPr>
        <w:t>conceives</w:t>
      </w:r>
      <w:r w:rsidRPr="009A3494">
        <w:rPr>
          <w:rFonts w:ascii="Book Antiqua" w:eastAsia="Times New Roman" w:hAnsi="Book Antiqua"/>
          <w:color w:val="333333"/>
          <w:sz w:val="24"/>
          <w:szCs w:val="24"/>
          <w:lang w:eastAsia="en-GB"/>
        </w:rPr>
        <w:t xml:space="preserve"> the being one seeks to maintain, and about what determines such a conception. This </w:t>
      </w:r>
      <w:r w:rsidRPr="009A3494">
        <w:rPr>
          <w:rFonts w:ascii="Book Antiqua" w:eastAsia="Times New Roman" w:hAnsi="Book Antiqua"/>
          <w:i/>
          <w:color w:val="333333"/>
          <w:sz w:val="24"/>
          <w:szCs w:val="24"/>
          <w:lang w:eastAsia="en-GB"/>
        </w:rPr>
        <w:t>conatus</w:t>
      </w:r>
      <w:r w:rsidRPr="009A3494">
        <w:rPr>
          <w:rFonts w:ascii="Book Antiqua" w:eastAsia="Times New Roman" w:hAnsi="Book Antiqua"/>
          <w:color w:val="333333"/>
          <w:sz w:val="24"/>
          <w:szCs w:val="24"/>
          <w:lang w:eastAsia="en-GB"/>
        </w:rPr>
        <w:t xml:space="preserve"> absorbs significant life energy, energy that is misspent if it is founded in ignorance or skewed by craving and aversion. As Kierkegaard put it, the individual is in constant process of becoming, and a crucial part of the development of a human being is their awakening to their potentialities, their gifts, their ‘callings’, the form of their sexuality or gender and so forth, as also the forms of their relationship to others. The crucial issue is the misdirection of this striving, and what, under the pressure of misconception, it neglects, like the call of the other.</w:t>
      </w:r>
    </w:p>
    <w:p w14:paraId="5DC1BD76" w14:textId="77777777" w:rsidR="009A3494" w:rsidRPr="009A3494" w:rsidRDefault="009A3494" w:rsidP="009A3494">
      <w:pPr>
        <w:spacing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As I said earlier, though, our </w:t>
      </w:r>
      <w:r w:rsidRPr="009A3494">
        <w:rPr>
          <w:rFonts w:ascii="Book Antiqua" w:eastAsia="Calibri" w:hAnsi="Book Antiqua"/>
          <w:sz w:val="24"/>
          <w:szCs w:val="24"/>
        </w:rPr>
        <w:t xml:space="preserve">existential problem is not that we think things are permanent (though we may do) but that we haven’t taken stock of their </w:t>
      </w:r>
      <w:r w:rsidRPr="009A3494">
        <w:rPr>
          <w:rFonts w:ascii="Book Antiqua" w:eastAsia="Calibri" w:hAnsi="Book Antiqua"/>
          <w:i/>
          <w:sz w:val="24"/>
          <w:szCs w:val="24"/>
        </w:rPr>
        <w:t>impermanence</w:t>
      </w:r>
      <w:r w:rsidRPr="009A3494">
        <w:rPr>
          <w:rFonts w:ascii="Book Antiqua" w:eastAsia="Calibri" w:hAnsi="Book Antiqua"/>
          <w:sz w:val="24"/>
          <w:szCs w:val="24"/>
        </w:rPr>
        <w:t xml:space="preserve"> and this failure is a cause of existential suffering. But we are not talking about impermanence </w:t>
      </w:r>
      <w:r w:rsidRPr="009A3494">
        <w:rPr>
          <w:rFonts w:ascii="Book Antiqua" w:eastAsia="Calibri" w:hAnsi="Book Antiqua"/>
          <w:i/>
          <w:sz w:val="24"/>
          <w:szCs w:val="24"/>
        </w:rPr>
        <w:t>from a fixed point of view</w:t>
      </w:r>
      <w:r w:rsidRPr="009A3494">
        <w:rPr>
          <w:rFonts w:ascii="Book Antiqua" w:eastAsia="Calibri" w:hAnsi="Book Antiqua"/>
          <w:sz w:val="24"/>
          <w:szCs w:val="24"/>
        </w:rPr>
        <w:t xml:space="preserve"> since we are ourselves impermanent in </w:t>
      </w:r>
      <w:proofErr w:type="gramStart"/>
      <w:r w:rsidRPr="009A3494">
        <w:rPr>
          <w:rFonts w:ascii="Book Antiqua" w:eastAsia="Calibri" w:hAnsi="Book Antiqua"/>
          <w:sz w:val="24"/>
          <w:szCs w:val="24"/>
        </w:rPr>
        <w:t>exactly the same</w:t>
      </w:r>
      <w:proofErr w:type="gramEnd"/>
      <w:r w:rsidRPr="009A3494">
        <w:rPr>
          <w:rFonts w:ascii="Book Antiqua" w:eastAsia="Calibri" w:hAnsi="Book Antiqua"/>
          <w:sz w:val="24"/>
          <w:szCs w:val="24"/>
        </w:rPr>
        <w:t xml:space="preserve"> way as the things we observe, our perspectives are also shifting as we observe and respond to the shifting landscape. The </w:t>
      </w:r>
      <w:r w:rsidRPr="009A3494">
        <w:rPr>
          <w:rFonts w:ascii="Book Antiqua" w:eastAsia="Calibri" w:hAnsi="Book Antiqua"/>
          <w:i/>
          <w:sz w:val="24"/>
          <w:szCs w:val="24"/>
        </w:rPr>
        <w:t>anatman</w:t>
      </w:r>
      <w:r w:rsidRPr="009A3494">
        <w:rPr>
          <w:rFonts w:ascii="Book Antiqua" w:eastAsia="Calibri" w:hAnsi="Book Antiqua"/>
          <w:sz w:val="24"/>
          <w:szCs w:val="24"/>
        </w:rPr>
        <w:t xml:space="preserve"> doctrine may contest the notion of </w:t>
      </w:r>
      <w:r w:rsidRPr="009A3494">
        <w:rPr>
          <w:rFonts w:ascii="Book Antiqua" w:eastAsia="Calibri" w:hAnsi="Book Antiqua"/>
          <w:i/>
          <w:sz w:val="24"/>
          <w:szCs w:val="24"/>
        </w:rPr>
        <w:t>Atman</w:t>
      </w:r>
      <w:r w:rsidRPr="009A3494">
        <w:rPr>
          <w:rFonts w:ascii="Book Antiqua" w:eastAsia="Calibri" w:hAnsi="Book Antiqua"/>
          <w:sz w:val="24"/>
          <w:szCs w:val="24"/>
        </w:rPr>
        <w:t xml:space="preserve">, but it also challenges precisely this sense of a fixed point of view as we observe the passing scene, unwittingly changing even as we do so. What is challenged by the </w:t>
      </w:r>
      <w:r w:rsidRPr="009A3494">
        <w:rPr>
          <w:rFonts w:ascii="Book Antiqua" w:eastAsia="Calibri" w:hAnsi="Book Antiqua"/>
          <w:i/>
          <w:sz w:val="24"/>
          <w:szCs w:val="24"/>
        </w:rPr>
        <w:t>anatman</w:t>
      </w:r>
      <w:r w:rsidRPr="009A3494">
        <w:rPr>
          <w:rFonts w:ascii="Book Antiqua" w:eastAsia="Calibri" w:hAnsi="Book Antiqua"/>
          <w:sz w:val="24"/>
          <w:szCs w:val="24"/>
        </w:rPr>
        <w:t xml:space="preserve"> doctrine is a more pernicious form of ‘</w:t>
      </w:r>
      <w:proofErr w:type="spellStart"/>
      <w:r w:rsidRPr="009A3494">
        <w:rPr>
          <w:rFonts w:ascii="Book Antiqua" w:eastAsia="Calibri" w:hAnsi="Book Antiqua"/>
          <w:sz w:val="24"/>
          <w:szCs w:val="24"/>
        </w:rPr>
        <w:t>selving</w:t>
      </w:r>
      <w:proofErr w:type="spellEnd"/>
      <w:r w:rsidRPr="009A3494">
        <w:rPr>
          <w:rFonts w:ascii="Book Antiqua" w:eastAsia="Calibri" w:hAnsi="Book Antiqua"/>
          <w:sz w:val="24"/>
          <w:szCs w:val="24"/>
        </w:rPr>
        <w:t xml:space="preserve">’ than that envisaged by Hopkins.  </w:t>
      </w:r>
      <w:r w:rsidRPr="009A3494">
        <w:rPr>
          <w:rFonts w:ascii="Book Antiqua" w:eastAsia="Times New Roman" w:hAnsi="Book Antiqua"/>
          <w:color w:val="333333"/>
          <w:sz w:val="24"/>
          <w:szCs w:val="24"/>
          <w:lang w:eastAsia="en-GB"/>
        </w:rPr>
        <w:t xml:space="preserve">The anxiety (or entitlement) around one’s self-positioning reveals the dynamic of power relations that governs self-image and self-presentation, a positioning of status, ability, class, race, gender and so forth. It is a rare human being in whom these oscillations are not murmuring away in the background. What is problematic is the activity itself, a fundamental orientation towards others, a </w:t>
      </w:r>
      <w:r w:rsidRPr="009A3494">
        <w:rPr>
          <w:rFonts w:ascii="Book Antiqua" w:eastAsia="Times New Roman" w:hAnsi="Book Antiqua"/>
          <w:i/>
          <w:color w:val="333333"/>
          <w:sz w:val="24"/>
          <w:szCs w:val="24"/>
          <w:lang w:eastAsia="en-GB"/>
        </w:rPr>
        <w:t>conatus</w:t>
      </w:r>
      <w:r w:rsidRPr="009A3494">
        <w:rPr>
          <w:rFonts w:ascii="Book Antiqua" w:eastAsia="Times New Roman" w:hAnsi="Book Antiqua"/>
          <w:color w:val="333333"/>
          <w:sz w:val="24"/>
          <w:szCs w:val="24"/>
          <w:lang w:eastAsia="en-GB"/>
        </w:rPr>
        <w:t xml:space="preserve"> or striving that seeks to maintain a position or compensates for its loss in fantasy and wish-fulfilment. It is a matter of protecting, defending a position in relation to others, dominance, submission, compensating mechanisms. None of this kind of activity is founded in a belief in a SELF or even in the illusion that the </w:t>
      </w:r>
      <w:proofErr w:type="spellStart"/>
      <w:r w:rsidRPr="009A3494">
        <w:rPr>
          <w:rFonts w:ascii="Book Antiqua" w:eastAsia="Times New Roman" w:hAnsi="Book Antiqua"/>
          <w:color w:val="333333"/>
          <w:sz w:val="24"/>
          <w:szCs w:val="24"/>
          <w:lang w:eastAsia="en-GB"/>
        </w:rPr>
        <w:t>self one</w:t>
      </w:r>
      <w:proofErr w:type="spellEnd"/>
      <w:r w:rsidRPr="009A3494">
        <w:rPr>
          <w:rFonts w:ascii="Book Antiqua" w:eastAsia="Times New Roman" w:hAnsi="Book Antiqua"/>
          <w:color w:val="333333"/>
          <w:sz w:val="24"/>
          <w:szCs w:val="24"/>
          <w:lang w:eastAsia="en-GB"/>
        </w:rPr>
        <w:t xml:space="preserve"> seeks to protect is permanent, but it is simply the game one is in, a particular form of relationship that it is the task of Buddhist practice to overcome or transcend. If we return to the idea of </w:t>
      </w:r>
      <w:proofErr w:type="spellStart"/>
      <w:r w:rsidRPr="009A3494">
        <w:rPr>
          <w:rFonts w:ascii="Book Antiqua" w:eastAsia="Times New Roman" w:hAnsi="Book Antiqua"/>
          <w:i/>
          <w:color w:val="333333"/>
          <w:sz w:val="24"/>
          <w:szCs w:val="24"/>
          <w:lang w:eastAsia="en-GB"/>
        </w:rPr>
        <w:t>eine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Einstellung</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zur</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Seele</w:t>
      </w:r>
      <w:proofErr w:type="spellEnd"/>
      <w:r w:rsidRPr="009A3494">
        <w:rPr>
          <w:rFonts w:ascii="Book Antiqua" w:eastAsia="Times New Roman" w:hAnsi="Book Antiqua"/>
          <w:color w:val="333333"/>
          <w:sz w:val="24"/>
          <w:szCs w:val="24"/>
          <w:lang w:eastAsia="en-GB"/>
        </w:rPr>
        <w:t xml:space="preserve">, we could say that this </w:t>
      </w:r>
      <w:proofErr w:type="gramStart"/>
      <w:r w:rsidRPr="009A3494">
        <w:rPr>
          <w:rFonts w:ascii="Book Antiqua" w:eastAsia="Times New Roman" w:hAnsi="Book Antiqua"/>
          <w:color w:val="333333"/>
          <w:sz w:val="24"/>
          <w:szCs w:val="24"/>
          <w:lang w:eastAsia="en-GB"/>
        </w:rPr>
        <w:t>deep rooted</w:t>
      </w:r>
      <w:proofErr w:type="gramEnd"/>
      <w:r w:rsidRPr="009A3494">
        <w:rPr>
          <w:rFonts w:ascii="Book Antiqua" w:eastAsia="Times New Roman" w:hAnsi="Book Antiqua"/>
          <w:color w:val="333333"/>
          <w:sz w:val="24"/>
          <w:szCs w:val="24"/>
          <w:lang w:eastAsia="en-GB"/>
        </w:rPr>
        <w:t xml:space="preserve"> activity or tendency, or freedom from it, define the forms of that ‘attitude’. As I mentioned earlier, Hopkins’ sonnet continues:</w:t>
      </w:r>
    </w:p>
    <w:p w14:paraId="6C8E2E8F" w14:textId="77777777" w:rsidR="009A3494" w:rsidRPr="009A3494" w:rsidRDefault="009A3494" w:rsidP="009A3494">
      <w:pPr>
        <w:spacing w:after="0"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I say </w:t>
      </w:r>
      <w:proofErr w:type="spellStart"/>
      <w:r w:rsidRPr="009A3494">
        <w:rPr>
          <w:rFonts w:ascii="Book Antiqua" w:eastAsia="Times New Roman" w:hAnsi="Book Antiqua"/>
          <w:color w:val="333333"/>
          <w:sz w:val="24"/>
          <w:szCs w:val="24"/>
          <w:lang w:eastAsia="en-GB"/>
        </w:rPr>
        <w:t>móre</w:t>
      </w:r>
      <w:proofErr w:type="spellEnd"/>
      <w:r w:rsidRPr="009A3494">
        <w:rPr>
          <w:rFonts w:ascii="Book Antiqua" w:eastAsia="Times New Roman" w:hAnsi="Book Antiqua"/>
          <w:color w:val="333333"/>
          <w:sz w:val="24"/>
          <w:szCs w:val="24"/>
          <w:lang w:eastAsia="en-GB"/>
        </w:rPr>
        <w:t xml:space="preserve">: the just man </w:t>
      </w:r>
      <w:proofErr w:type="gramStart"/>
      <w:r w:rsidRPr="009A3494">
        <w:rPr>
          <w:rFonts w:ascii="Book Antiqua" w:eastAsia="Times New Roman" w:hAnsi="Book Antiqua"/>
          <w:color w:val="333333"/>
          <w:sz w:val="24"/>
          <w:szCs w:val="24"/>
          <w:lang w:eastAsia="en-GB"/>
        </w:rPr>
        <w:t>justices;</w:t>
      </w:r>
      <w:proofErr w:type="gramEnd"/>
    </w:p>
    <w:p w14:paraId="259D03DC" w14:textId="77777777" w:rsidR="009A3494" w:rsidRPr="009A3494" w:rsidRDefault="009A3494" w:rsidP="009A3494">
      <w:pPr>
        <w:spacing w:after="0"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Keeps </w:t>
      </w:r>
      <w:proofErr w:type="spellStart"/>
      <w:r w:rsidRPr="009A3494">
        <w:rPr>
          <w:rFonts w:ascii="Book Antiqua" w:eastAsia="Times New Roman" w:hAnsi="Book Antiqua"/>
          <w:color w:val="333333"/>
          <w:sz w:val="24"/>
          <w:szCs w:val="24"/>
          <w:lang w:eastAsia="en-GB"/>
        </w:rPr>
        <w:t>gráce</w:t>
      </w:r>
      <w:proofErr w:type="spellEnd"/>
      <w:r w:rsidRPr="009A3494">
        <w:rPr>
          <w:rFonts w:ascii="Book Antiqua" w:eastAsia="Times New Roman" w:hAnsi="Book Antiqua"/>
          <w:color w:val="333333"/>
          <w:sz w:val="24"/>
          <w:szCs w:val="24"/>
          <w:lang w:eastAsia="en-GB"/>
        </w:rPr>
        <w:t xml:space="preserve">: </w:t>
      </w:r>
      <w:proofErr w:type="spellStart"/>
      <w:r w:rsidRPr="009A3494">
        <w:rPr>
          <w:rFonts w:ascii="Book Antiqua" w:eastAsia="Times New Roman" w:hAnsi="Book Antiqua"/>
          <w:color w:val="333333"/>
          <w:sz w:val="24"/>
          <w:szCs w:val="24"/>
          <w:lang w:eastAsia="en-GB"/>
        </w:rPr>
        <w:t>thát</w:t>
      </w:r>
      <w:proofErr w:type="spellEnd"/>
      <w:r w:rsidRPr="009A3494">
        <w:rPr>
          <w:rFonts w:ascii="Book Antiqua" w:eastAsia="Times New Roman" w:hAnsi="Book Antiqua"/>
          <w:color w:val="333333"/>
          <w:sz w:val="24"/>
          <w:szCs w:val="24"/>
          <w:lang w:eastAsia="en-GB"/>
        </w:rPr>
        <w:t xml:space="preserve"> keeps all his goings </w:t>
      </w:r>
      <w:proofErr w:type="gramStart"/>
      <w:r w:rsidRPr="009A3494">
        <w:rPr>
          <w:rFonts w:ascii="Book Antiqua" w:eastAsia="Times New Roman" w:hAnsi="Book Antiqua"/>
          <w:color w:val="333333"/>
          <w:sz w:val="24"/>
          <w:szCs w:val="24"/>
          <w:lang w:eastAsia="en-GB"/>
        </w:rPr>
        <w:t>graces;</w:t>
      </w:r>
      <w:proofErr w:type="gramEnd"/>
    </w:p>
    <w:p w14:paraId="13A9D595" w14:textId="77777777" w:rsidR="009A3494" w:rsidRPr="009A3494" w:rsidRDefault="009A3494" w:rsidP="009A3494">
      <w:pPr>
        <w:spacing w:after="0"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Acts in God’s eye what in God’s eye he is—</w:t>
      </w:r>
    </w:p>
    <w:p w14:paraId="7573739E" w14:textId="77777777" w:rsidR="009A3494" w:rsidRPr="009A3494" w:rsidRDefault="009A3494" w:rsidP="009A3494">
      <w:pPr>
        <w:spacing w:after="0"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Christ …</w:t>
      </w:r>
      <w:r w:rsidRPr="009A3494">
        <w:rPr>
          <w:rFonts w:ascii="Book Antiqua" w:eastAsia="Times New Roman" w:hAnsi="Book Antiqua"/>
          <w:color w:val="333333"/>
          <w:sz w:val="24"/>
          <w:szCs w:val="24"/>
          <w:vertAlign w:val="superscript"/>
          <w:lang w:eastAsia="en-GB"/>
        </w:rPr>
        <w:footnoteReference w:id="11"/>
      </w:r>
    </w:p>
    <w:p w14:paraId="692760F8"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What is significant for a non-Christian who might baulk at this reference to Christ is the </w:t>
      </w:r>
      <w:r w:rsidRPr="009A3494">
        <w:rPr>
          <w:rFonts w:ascii="Book Antiqua" w:eastAsia="Times New Roman" w:hAnsi="Book Antiqua"/>
          <w:i/>
          <w:color w:val="333333"/>
          <w:sz w:val="24"/>
          <w:szCs w:val="24"/>
          <w:lang w:eastAsia="en-GB"/>
        </w:rPr>
        <w:t>criterion</w:t>
      </w:r>
      <w:r w:rsidRPr="009A3494">
        <w:rPr>
          <w:rFonts w:ascii="Book Antiqua" w:eastAsia="Times New Roman" w:hAnsi="Book Antiqua"/>
          <w:color w:val="333333"/>
          <w:sz w:val="24"/>
          <w:szCs w:val="24"/>
          <w:lang w:eastAsia="en-GB"/>
        </w:rPr>
        <w:t xml:space="preserve"> for being ‘Christ’, viz that ‘</w:t>
      </w:r>
      <w:proofErr w:type="spellStart"/>
      <w:r w:rsidRPr="009A3494">
        <w:rPr>
          <w:rFonts w:ascii="Book Antiqua" w:eastAsia="Times New Roman" w:hAnsi="Book Antiqua"/>
          <w:color w:val="333333"/>
          <w:sz w:val="24"/>
          <w:szCs w:val="24"/>
          <w:lang w:eastAsia="en-GB"/>
        </w:rPr>
        <w:t>justicing</w:t>
      </w:r>
      <w:proofErr w:type="spellEnd"/>
      <w:r w:rsidRPr="009A3494">
        <w:rPr>
          <w:rFonts w:ascii="Book Antiqua" w:eastAsia="Times New Roman" w:hAnsi="Book Antiqua"/>
          <w:color w:val="333333"/>
          <w:sz w:val="24"/>
          <w:szCs w:val="24"/>
          <w:lang w:eastAsia="en-GB"/>
        </w:rPr>
        <w:t xml:space="preserve">’ emerges as a demeanour that is the natural and unimpeded expression of the ideal limit of what constitutes a human being, of ‘that being indoors each one dwells’, a being stifled by the domination of the passions and their forms of adversarial relationship and released when they are in abeyance.  The apostle talks of having the mind of Christ and there are resonances with the idea of a Buddha-mind, of becoming Buddha and so forth. But surely in that case Buddhism does envisage a ‘self’, an interior disposition and a demeanour that is no longer conditioned by the three poisons of craving, aversion and ignorance, an awakened and compassionate ‘self’ and this, someone might argue, must undermine any application of the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doctrine beyond the denial of the SELF that is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w:t>
      </w:r>
      <w:r w:rsidRPr="009A3494">
        <w:rPr>
          <w:rFonts w:ascii="Book Antiqua" w:eastAsia="Times New Roman" w:hAnsi="Book Antiqua"/>
          <w:i/>
          <w:color w:val="333333"/>
          <w:sz w:val="24"/>
          <w:szCs w:val="24"/>
          <w:lang w:eastAsia="en-GB"/>
        </w:rPr>
        <w:t>Brahman</w:t>
      </w:r>
      <w:r w:rsidRPr="009A3494">
        <w:rPr>
          <w:rFonts w:ascii="Book Antiqua" w:eastAsia="Times New Roman" w:hAnsi="Book Antiqua"/>
          <w:color w:val="333333"/>
          <w:sz w:val="24"/>
          <w:szCs w:val="24"/>
          <w:lang w:eastAsia="en-GB"/>
        </w:rPr>
        <w:t xml:space="preserve">. However, all one can say is that this ‘self’ is a state of the person that is no longer conditioned by the </w:t>
      </w:r>
      <w:proofErr w:type="spellStart"/>
      <w:r w:rsidRPr="009A3494">
        <w:rPr>
          <w:rFonts w:ascii="Book Antiqua" w:eastAsia="Times New Roman" w:hAnsi="Book Antiqua"/>
          <w:i/>
          <w:color w:val="333333"/>
          <w:sz w:val="24"/>
          <w:szCs w:val="24"/>
          <w:lang w:eastAsia="en-GB"/>
        </w:rPr>
        <w:t>klesas</w:t>
      </w:r>
      <w:proofErr w:type="spellEnd"/>
      <w:r w:rsidRPr="009A3494">
        <w:rPr>
          <w:rFonts w:ascii="Book Antiqua" w:eastAsia="Times New Roman" w:hAnsi="Book Antiqua"/>
          <w:color w:val="333333"/>
          <w:sz w:val="24"/>
          <w:szCs w:val="24"/>
          <w:lang w:eastAsia="en-GB"/>
        </w:rPr>
        <w:t xml:space="preserve">, by the ‘unwholesome roots’ of greed, hatred and delusion. There are no grounds for claiming that this state of the person, this ‘self’, is permanent (how would one </w:t>
      </w:r>
      <w:r w:rsidRPr="009A3494">
        <w:rPr>
          <w:rFonts w:ascii="Book Antiqua" w:eastAsia="Times New Roman" w:hAnsi="Book Antiqua"/>
          <w:i/>
          <w:color w:val="333333"/>
          <w:sz w:val="24"/>
          <w:szCs w:val="24"/>
          <w:lang w:eastAsia="en-GB"/>
        </w:rPr>
        <w:t>know</w:t>
      </w:r>
      <w:r w:rsidRPr="009A3494">
        <w:rPr>
          <w:rFonts w:ascii="Book Antiqua" w:eastAsia="Times New Roman" w:hAnsi="Book Antiqua"/>
          <w:color w:val="333333"/>
          <w:sz w:val="24"/>
          <w:szCs w:val="24"/>
          <w:lang w:eastAsia="en-GB"/>
        </w:rPr>
        <w:t xml:space="preserve"> this?)—only that it is no longer subject to those forms of impermanence that are determined by the </w:t>
      </w:r>
      <w:proofErr w:type="spellStart"/>
      <w:r w:rsidRPr="009A3494">
        <w:rPr>
          <w:rFonts w:ascii="Book Antiqua" w:eastAsia="Times New Roman" w:hAnsi="Book Antiqua"/>
          <w:i/>
          <w:color w:val="333333"/>
          <w:sz w:val="24"/>
          <w:szCs w:val="24"/>
          <w:lang w:eastAsia="en-GB"/>
        </w:rPr>
        <w:t>klesas</w:t>
      </w:r>
      <w:proofErr w:type="spellEnd"/>
      <w:r w:rsidRPr="009A3494">
        <w:rPr>
          <w:rFonts w:ascii="Book Antiqua" w:eastAsia="Times New Roman" w:hAnsi="Book Antiqua"/>
          <w:color w:val="333333"/>
          <w:sz w:val="24"/>
          <w:szCs w:val="24"/>
          <w:lang w:eastAsia="en-GB"/>
        </w:rPr>
        <w:t xml:space="preserve"> which are at this ideal limit extinguished (</w:t>
      </w:r>
      <w:r w:rsidRPr="009A3494">
        <w:rPr>
          <w:rFonts w:ascii="Book Antiqua" w:eastAsia="Times New Roman" w:hAnsi="Book Antiqua"/>
          <w:i/>
          <w:color w:val="333333"/>
          <w:sz w:val="24"/>
          <w:szCs w:val="24"/>
          <w:lang w:eastAsia="en-GB"/>
        </w:rPr>
        <w:t>nirvana</w:t>
      </w:r>
      <w:r w:rsidRPr="009A3494">
        <w:rPr>
          <w:rFonts w:ascii="Book Antiqua" w:eastAsia="Times New Roman" w:hAnsi="Book Antiqua"/>
          <w:color w:val="333333"/>
          <w:sz w:val="24"/>
          <w:szCs w:val="24"/>
          <w:lang w:eastAsia="en-GB"/>
        </w:rPr>
        <w:t>).</w:t>
      </w:r>
    </w:p>
    <w:p w14:paraId="26BFEB94"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Any defence of the no-self doctrine beyond the denial of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 would have to be as a device for unsettling, dislodging and undermining the tendency towards grasping itself, a tendency that is, as Clare Carlisle has suggested, merely an unconscious habit of mind</w:t>
      </w:r>
      <w:r w:rsidRPr="009A3494">
        <w:rPr>
          <w:rFonts w:ascii="Book Antiqua" w:eastAsia="Times New Roman" w:hAnsi="Book Antiqua"/>
          <w:color w:val="333333"/>
          <w:sz w:val="24"/>
          <w:szCs w:val="24"/>
          <w:vertAlign w:val="superscript"/>
          <w:lang w:eastAsia="en-GB"/>
        </w:rPr>
        <w:footnoteReference w:id="12"/>
      </w:r>
      <w:r w:rsidRPr="009A3494">
        <w:rPr>
          <w:rFonts w:ascii="Book Antiqua" w:eastAsia="Times New Roman" w:hAnsi="Book Antiqua"/>
          <w:color w:val="333333"/>
          <w:sz w:val="24"/>
          <w:szCs w:val="24"/>
          <w:lang w:eastAsia="en-GB"/>
        </w:rPr>
        <w:t xml:space="preserve"> that presents itself as one’s very self even though it is a formation of mind that is impermanent and to that extent capable of transformation. One becomes evanescently aware of its status when it is fingered and unsettled. The significant point is that otherwise one either fails to realise it is impermanent and capable of change or one falsely believes that it is permanent and fixed. This is an experiential or empirical point, something that one can find out, that something or other arises in dependence upon conditions, in this case the very self that observes and intervenes in the passing scene. The point is not to deny that ‘I’ exists, but to show what is meant by and to expose illusions about the first person singular—for I certainly exist, and I am certainly mortal, a mortal man, in my case, and if I perform an </w:t>
      </w:r>
      <w:r w:rsidRPr="009A3494">
        <w:rPr>
          <w:rFonts w:ascii="Book Antiqua" w:eastAsia="Times New Roman" w:hAnsi="Book Antiqua"/>
          <w:i/>
          <w:color w:val="333333"/>
          <w:sz w:val="24"/>
          <w:szCs w:val="24"/>
          <w:lang w:eastAsia="en-GB"/>
        </w:rPr>
        <w:t>act</w:t>
      </w:r>
      <w:r w:rsidRPr="009A3494">
        <w:rPr>
          <w:rFonts w:ascii="Book Antiqua" w:eastAsia="Times New Roman" w:hAnsi="Book Antiqua"/>
          <w:color w:val="333333"/>
          <w:sz w:val="24"/>
          <w:szCs w:val="24"/>
          <w:lang w:eastAsia="en-GB"/>
        </w:rPr>
        <w:t xml:space="preserve"> of introspection I am not going to find an ‘I’..</w:t>
      </w:r>
    </w:p>
    <w:p w14:paraId="2BBD4C4E"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5</w:t>
      </w:r>
    </w:p>
    <w:p w14:paraId="18252760" w14:textId="77777777" w:rsidR="009A3494" w:rsidRPr="009A3494" w:rsidRDefault="009A3494" w:rsidP="009A3494">
      <w:pPr>
        <w:spacing w:before="100" w:beforeAutospacing="1" w:after="100" w:afterAutospacing="1" w:line="360" w:lineRule="auto"/>
        <w:ind w:left="0" w:right="0"/>
        <w:jc w:val="both"/>
        <w:rPr>
          <w:rFonts w:ascii="Book Antiqua" w:eastAsia="Times New Roman" w:hAnsi="Book Antiqua"/>
          <w:color w:val="333333"/>
          <w:sz w:val="24"/>
          <w:szCs w:val="24"/>
          <w:lang w:eastAsia="en-GB"/>
        </w:rPr>
      </w:pPr>
      <w:r w:rsidRPr="009A3494">
        <w:rPr>
          <w:rFonts w:ascii="Book Antiqua" w:eastAsia="Times New Roman" w:hAnsi="Book Antiqua"/>
          <w:color w:val="333333"/>
          <w:sz w:val="24"/>
          <w:szCs w:val="24"/>
          <w:lang w:eastAsia="en-GB"/>
        </w:rPr>
        <w:t xml:space="preserve">But let us return to the claim that Buddhism here clearly envisages a self that is no longer conditioned by craving aversion and ignorance. Recall that the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 that is denied by Buddhism is characterised by permanence and immutability and the criticism I offered, that we have no grounds for this kind of description. But recall also that this Buddha mind is a self-formation that is to be understood in terms of disposition, demeanour and conduct, is an orientation, </w:t>
      </w:r>
      <w:proofErr w:type="spellStart"/>
      <w:r w:rsidRPr="009A3494">
        <w:rPr>
          <w:rFonts w:ascii="Book Antiqua" w:eastAsia="Times New Roman" w:hAnsi="Book Antiqua"/>
          <w:i/>
          <w:color w:val="333333"/>
          <w:sz w:val="24"/>
          <w:szCs w:val="24"/>
          <w:lang w:eastAsia="en-GB"/>
        </w:rPr>
        <w:t>eine</w:t>
      </w:r>
      <w:proofErr w:type="spellEnd"/>
      <w:r w:rsidRPr="009A3494">
        <w:rPr>
          <w:rFonts w:ascii="Book Antiqua" w:eastAsia="Times New Roman" w:hAnsi="Book Antiqua"/>
          <w:i/>
          <w:color w:val="333333"/>
          <w:sz w:val="24"/>
          <w:szCs w:val="24"/>
          <w:lang w:eastAsia="en-GB"/>
        </w:rPr>
        <w:t xml:space="preserve"> </w:t>
      </w:r>
      <w:proofErr w:type="spellStart"/>
      <w:r w:rsidRPr="009A3494">
        <w:rPr>
          <w:rFonts w:ascii="Book Antiqua" w:eastAsia="Times New Roman" w:hAnsi="Book Antiqua"/>
          <w:i/>
          <w:color w:val="333333"/>
          <w:sz w:val="24"/>
          <w:szCs w:val="24"/>
          <w:lang w:eastAsia="en-GB"/>
        </w:rPr>
        <w:t>Einstellung</w:t>
      </w:r>
      <w:proofErr w:type="spellEnd"/>
      <w:r w:rsidRPr="009A3494">
        <w:rPr>
          <w:rFonts w:ascii="Book Antiqua" w:eastAsia="Times New Roman" w:hAnsi="Book Antiqua"/>
          <w:color w:val="333333"/>
          <w:sz w:val="24"/>
          <w:szCs w:val="24"/>
          <w:lang w:eastAsia="en-GB"/>
        </w:rPr>
        <w:t xml:space="preserve">. And there are no grounds for characterising it as ‘permanent’ or ‘immutable’. These are theological rather than empirical claims. By that token there are no grounds for asserting either that this Buddha-mind is ‘permanent and unchanging’ or that it is impermanent.  There are things we know from experience to be impermanent. This is not one of them. The concept of a self is perfectly innocent as long as, and in contrast to SELF, it is anchored in experience as something that one encounters, in the demeanour of others, for instance, or through reflection on one’s own thoughts and one’s own demeanour. A so-called Buddha-mind is precisely available in just this way. </w:t>
      </w:r>
      <w:r w:rsidRPr="009A3494">
        <w:rPr>
          <w:rFonts w:ascii="Book Antiqua" w:eastAsia="Times New Roman" w:hAnsi="Book Antiqua"/>
          <w:i/>
          <w:color w:val="333333"/>
          <w:sz w:val="24"/>
          <w:szCs w:val="24"/>
          <w:lang w:eastAsia="en-GB"/>
        </w:rPr>
        <w:t>That</w:t>
      </w:r>
      <w:r w:rsidRPr="009A3494">
        <w:rPr>
          <w:rFonts w:ascii="Book Antiqua" w:eastAsia="Times New Roman" w:hAnsi="Book Antiqua"/>
          <w:color w:val="333333"/>
          <w:sz w:val="24"/>
          <w:szCs w:val="24"/>
          <w:lang w:eastAsia="en-GB"/>
        </w:rPr>
        <w:t xml:space="preserve"> being deep down each one </w:t>
      </w:r>
      <w:proofErr w:type="gramStart"/>
      <w:r w:rsidRPr="009A3494">
        <w:rPr>
          <w:rFonts w:ascii="Book Antiqua" w:eastAsia="Times New Roman" w:hAnsi="Book Antiqua"/>
          <w:color w:val="333333"/>
          <w:sz w:val="24"/>
          <w:szCs w:val="24"/>
          <w:lang w:eastAsia="en-GB"/>
        </w:rPr>
        <w:t>dwells</w:t>
      </w:r>
      <w:proofErr w:type="gramEnd"/>
      <w:r w:rsidRPr="009A3494">
        <w:rPr>
          <w:rFonts w:ascii="Book Antiqua" w:eastAsia="Times New Roman" w:hAnsi="Book Antiqua"/>
          <w:color w:val="333333"/>
          <w:sz w:val="24"/>
          <w:szCs w:val="24"/>
          <w:lang w:eastAsia="en-GB"/>
        </w:rPr>
        <w:t xml:space="preserve"> and the Buddhist claim is that it can be brought to the surface, from its first stirrings to its full awakening. The Buddha-mind is not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 xml:space="preserve">-Braham serenely beyond or above the flow of experience but is rather a possible </w:t>
      </w:r>
      <w:r w:rsidRPr="009A3494">
        <w:rPr>
          <w:rFonts w:ascii="Book Antiqua" w:eastAsia="Times New Roman" w:hAnsi="Book Antiqua"/>
          <w:i/>
          <w:color w:val="333333"/>
          <w:sz w:val="24"/>
          <w:szCs w:val="24"/>
          <w:lang w:eastAsia="en-GB"/>
        </w:rPr>
        <w:t>form</w:t>
      </w:r>
      <w:r w:rsidRPr="009A3494">
        <w:rPr>
          <w:rFonts w:ascii="Book Antiqua" w:eastAsia="Times New Roman" w:hAnsi="Book Antiqua"/>
          <w:color w:val="333333"/>
          <w:sz w:val="24"/>
          <w:szCs w:val="24"/>
          <w:lang w:eastAsia="en-GB"/>
        </w:rPr>
        <w:t xml:space="preserve"> of experience and perspective, and it comes about under conditions, and it is impermanent itself in the sense that those who manifest such a mind also die. </w:t>
      </w:r>
      <w:r w:rsidRPr="009A3494">
        <w:rPr>
          <w:rFonts w:ascii="Book Antiqua" w:eastAsia="Times New Roman" w:hAnsi="Book Antiqua"/>
          <w:i/>
          <w:color w:val="333333"/>
          <w:sz w:val="24"/>
          <w:szCs w:val="24"/>
          <w:lang w:eastAsia="en-GB"/>
        </w:rPr>
        <w:t>Atman</w:t>
      </w:r>
      <w:r w:rsidRPr="009A3494">
        <w:rPr>
          <w:rFonts w:ascii="Book Antiqua" w:eastAsia="Times New Roman" w:hAnsi="Book Antiqua"/>
          <w:color w:val="333333"/>
          <w:sz w:val="24"/>
          <w:szCs w:val="24"/>
          <w:lang w:eastAsia="en-GB"/>
        </w:rPr>
        <w:t>-</w:t>
      </w:r>
      <w:r w:rsidRPr="009A3494">
        <w:rPr>
          <w:rFonts w:ascii="Book Antiqua" w:eastAsia="Times New Roman" w:hAnsi="Book Antiqua"/>
          <w:i/>
          <w:color w:val="333333"/>
          <w:sz w:val="24"/>
          <w:szCs w:val="24"/>
          <w:lang w:eastAsia="en-GB"/>
        </w:rPr>
        <w:t>Brahman</w:t>
      </w:r>
      <w:r w:rsidRPr="009A3494">
        <w:rPr>
          <w:rFonts w:ascii="Book Antiqua" w:eastAsia="Times New Roman" w:hAnsi="Book Antiqua"/>
          <w:color w:val="333333"/>
          <w:sz w:val="24"/>
          <w:szCs w:val="24"/>
          <w:lang w:eastAsia="en-GB"/>
        </w:rPr>
        <w:t xml:space="preserve"> is represented as a singular ‘experience’</w:t>
      </w:r>
      <w:r w:rsidRPr="009A3494">
        <w:rPr>
          <w:rFonts w:ascii="Book Antiqua" w:eastAsia="Times New Roman" w:hAnsi="Book Antiqua"/>
          <w:color w:val="333333"/>
          <w:sz w:val="24"/>
          <w:szCs w:val="24"/>
          <w:vertAlign w:val="superscript"/>
          <w:lang w:eastAsia="en-GB"/>
        </w:rPr>
        <w:footnoteReference w:id="13"/>
      </w:r>
      <w:r w:rsidRPr="009A3494">
        <w:rPr>
          <w:rFonts w:ascii="Book Antiqua" w:eastAsia="Times New Roman" w:hAnsi="Book Antiqua"/>
          <w:color w:val="333333"/>
          <w:sz w:val="24"/>
          <w:szCs w:val="24"/>
          <w:lang w:eastAsia="en-GB"/>
        </w:rPr>
        <w:t xml:space="preserve"> (that transcends differentiation) of the unchanging SELF beyond all experience. So, then, things are impermanent in the sense that the things we encounter change, but also in the sense that we are not fixed observers but we who observe change are also subject to change. And although the latter change has moral implications it is easy to fall into the temptation of abstraction and fail to register such thoughts as ‘that love is not love/which alters where </w:t>
      </w:r>
      <w:proofErr w:type="gramStart"/>
      <w:r w:rsidRPr="009A3494">
        <w:rPr>
          <w:rFonts w:ascii="Book Antiqua" w:eastAsia="Times New Roman" w:hAnsi="Book Antiqua"/>
          <w:color w:val="333333"/>
          <w:sz w:val="24"/>
          <w:szCs w:val="24"/>
          <w:lang w:eastAsia="en-GB"/>
        </w:rPr>
        <w:t>it</w:t>
      </w:r>
      <w:proofErr w:type="gramEnd"/>
      <w:r w:rsidRPr="009A3494">
        <w:rPr>
          <w:rFonts w:ascii="Book Antiqua" w:eastAsia="Times New Roman" w:hAnsi="Book Antiqua"/>
          <w:color w:val="333333"/>
          <w:sz w:val="24"/>
          <w:szCs w:val="24"/>
          <w:lang w:eastAsia="en-GB"/>
        </w:rPr>
        <w:t xml:space="preserve"> alteration finds’. Some kinds of change take the form of moral failure. But the doctrine of </w:t>
      </w:r>
      <w:r w:rsidRPr="009A3494">
        <w:rPr>
          <w:rFonts w:ascii="Book Antiqua" w:eastAsia="Times New Roman" w:hAnsi="Book Antiqua"/>
          <w:i/>
          <w:color w:val="333333"/>
          <w:sz w:val="24"/>
          <w:szCs w:val="24"/>
          <w:lang w:eastAsia="en-GB"/>
        </w:rPr>
        <w:t>anatman</w:t>
      </w:r>
      <w:r w:rsidRPr="009A3494">
        <w:rPr>
          <w:rFonts w:ascii="Book Antiqua" w:eastAsia="Times New Roman" w:hAnsi="Book Antiqua"/>
          <w:color w:val="333333"/>
          <w:sz w:val="24"/>
          <w:szCs w:val="24"/>
          <w:lang w:eastAsia="en-GB"/>
        </w:rPr>
        <w:t xml:space="preserve"> is an anxiety area for Buddhists who are deeply wary of any references to ‘self’ for fear that it may be a reference to SELF. </w:t>
      </w:r>
    </w:p>
    <w:p w14:paraId="64645BF3" w14:textId="77777777" w:rsidR="00BD346A" w:rsidRDefault="00AF32E3"/>
    <w:sectPr w:rsidR="00BD34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9B2527" w14:textId="77777777" w:rsidR="00AF32E3" w:rsidRDefault="00AF32E3" w:rsidP="009A3494">
      <w:pPr>
        <w:spacing w:after="0"/>
      </w:pPr>
      <w:r>
        <w:separator/>
      </w:r>
    </w:p>
  </w:endnote>
  <w:endnote w:type="continuationSeparator" w:id="0">
    <w:p w14:paraId="7EBB1184" w14:textId="77777777" w:rsidR="00AF32E3" w:rsidRDefault="00AF32E3" w:rsidP="009A34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B3577" w14:textId="77777777" w:rsidR="00AF32E3" w:rsidRDefault="00AF32E3" w:rsidP="009A3494">
      <w:pPr>
        <w:spacing w:after="0"/>
      </w:pPr>
      <w:r>
        <w:separator/>
      </w:r>
    </w:p>
  </w:footnote>
  <w:footnote w:type="continuationSeparator" w:id="0">
    <w:p w14:paraId="3C66A801" w14:textId="77777777" w:rsidR="00AF32E3" w:rsidRDefault="00AF32E3" w:rsidP="009A3494">
      <w:pPr>
        <w:spacing w:after="0"/>
      </w:pPr>
      <w:r>
        <w:continuationSeparator/>
      </w:r>
    </w:p>
  </w:footnote>
  <w:footnote w:id="1">
    <w:p w14:paraId="27968A95" w14:textId="77777777" w:rsidR="009A3494" w:rsidRDefault="009A3494" w:rsidP="009A3494">
      <w:pPr>
        <w:pStyle w:val="FootnoteText"/>
      </w:pPr>
      <w:r>
        <w:rPr>
          <w:rStyle w:val="FootnoteReference"/>
        </w:rPr>
        <w:footnoteRef/>
      </w:r>
      <w:r>
        <w:t xml:space="preserve"> </w:t>
      </w:r>
      <w:r w:rsidRPr="0054654B">
        <w:rPr>
          <w:rFonts w:eastAsia="Times New Roman"/>
          <w:color w:val="333333"/>
          <w:sz w:val="24"/>
          <w:szCs w:val="24"/>
          <w:lang w:eastAsia="en-GB"/>
        </w:rPr>
        <w:t xml:space="preserve">I </w:t>
      </w:r>
      <w:r>
        <w:rPr>
          <w:rFonts w:eastAsia="Times New Roman"/>
          <w:color w:val="333333"/>
          <w:sz w:val="24"/>
          <w:szCs w:val="24"/>
          <w:lang w:eastAsia="en-GB"/>
        </w:rPr>
        <w:t xml:space="preserve">introduce him here because his views impressed an important Indian </w:t>
      </w:r>
      <w:proofErr w:type="spellStart"/>
      <w:r>
        <w:rPr>
          <w:rFonts w:eastAsia="Times New Roman"/>
          <w:color w:val="333333"/>
          <w:sz w:val="24"/>
          <w:szCs w:val="24"/>
          <w:lang w:eastAsia="en-GB"/>
        </w:rPr>
        <w:t>Vedantin</w:t>
      </w:r>
      <w:proofErr w:type="spellEnd"/>
      <w:r>
        <w:rPr>
          <w:rFonts w:eastAsia="Times New Roman"/>
          <w:color w:val="333333"/>
          <w:sz w:val="24"/>
          <w:szCs w:val="24"/>
          <w:lang w:eastAsia="en-GB"/>
        </w:rPr>
        <w:t>, Ramchandra Gandhi, to be considered below.</w:t>
      </w:r>
    </w:p>
  </w:footnote>
  <w:footnote w:id="2">
    <w:p w14:paraId="554F4181" w14:textId="77777777" w:rsidR="009A3494" w:rsidRPr="00BD0E36" w:rsidRDefault="009A3494" w:rsidP="009A3494">
      <w:pPr>
        <w:pStyle w:val="FootnoteText"/>
      </w:pPr>
      <w:r w:rsidRPr="00BD0E36">
        <w:rPr>
          <w:rStyle w:val="FootnoteReference"/>
        </w:rPr>
        <w:footnoteRef/>
      </w:r>
      <w:r w:rsidRPr="00BD0E36">
        <w:t xml:space="preserve"> https://en.wikipedia.org/wiki/Hywel_Lewis</w:t>
      </w:r>
    </w:p>
  </w:footnote>
  <w:footnote w:id="3">
    <w:p w14:paraId="5C90E7B9" w14:textId="77777777" w:rsidR="009A3494" w:rsidRDefault="009A3494" w:rsidP="009A3494">
      <w:pPr>
        <w:pStyle w:val="FootnoteText"/>
      </w:pPr>
      <w:r>
        <w:rPr>
          <w:rStyle w:val="FootnoteReference"/>
        </w:rPr>
        <w:footnoteRef/>
      </w:r>
      <w:r>
        <w:t xml:space="preserve"> In a letter to Engelmann</w:t>
      </w:r>
    </w:p>
  </w:footnote>
  <w:footnote w:id="4">
    <w:p w14:paraId="3E1699B2" w14:textId="77777777" w:rsidR="009A3494" w:rsidRPr="00EE36AE" w:rsidRDefault="009A3494" w:rsidP="009A3494">
      <w:pPr>
        <w:pStyle w:val="FootnoteText"/>
      </w:pPr>
      <w:r>
        <w:rPr>
          <w:rStyle w:val="FootnoteReference"/>
        </w:rPr>
        <w:footnoteRef/>
      </w:r>
      <w:r>
        <w:t xml:space="preserve"> ‘Soul’ in </w:t>
      </w:r>
      <w:r>
        <w:rPr>
          <w:i/>
        </w:rPr>
        <w:t>The Availability of Religious Ideas</w:t>
      </w:r>
      <w:r>
        <w:t xml:space="preserve"> MacMillan, 1976</w:t>
      </w:r>
    </w:p>
  </w:footnote>
  <w:footnote w:id="5">
    <w:p w14:paraId="04131450" w14:textId="77777777" w:rsidR="009A3494" w:rsidRDefault="009A3494" w:rsidP="009A3494">
      <w:pPr>
        <w:pStyle w:val="FootnoteText"/>
      </w:pPr>
      <w:r>
        <w:rPr>
          <w:rStyle w:val="FootnoteReference"/>
        </w:rPr>
        <w:footnoteRef/>
      </w:r>
      <w:r>
        <w:t xml:space="preserve"> </w:t>
      </w:r>
    </w:p>
  </w:footnote>
  <w:footnote w:id="6">
    <w:p w14:paraId="6AFF01F3" w14:textId="77777777" w:rsidR="009A3494" w:rsidRPr="00BD0E36" w:rsidRDefault="009A3494" w:rsidP="009A3494">
      <w:pPr>
        <w:pStyle w:val="FootnoteText"/>
      </w:pPr>
      <w:r w:rsidRPr="00BD0E36">
        <w:rPr>
          <w:rStyle w:val="FootnoteReference"/>
        </w:rPr>
        <w:footnoteRef/>
      </w:r>
      <w:r w:rsidRPr="00BD0E36">
        <w:t xml:space="preserve"> I offered a criticism of this position in ‘The Locations of the Soul’ in </w:t>
      </w:r>
      <w:r w:rsidRPr="00BD0E36">
        <w:rPr>
          <w:i/>
        </w:rPr>
        <w:t>Religious Studies</w:t>
      </w:r>
      <w:r w:rsidRPr="00BD0E36">
        <w:t xml:space="preserve"> 32 1996</w:t>
      </w:r>
    </w:p>
  </w:footnote>
  <w:footnote w:id="7">
    <w:p w14:paraId="53FAACA8" w14:textId="77777777" w:rsidR="009A3494" w:rsidRDefault="009A3494" w:rsidP="009A3494">
      <w:pPr>
        <w:pStyle w:val="FootnoteText"/>
      </w:pPr>
      <w:r>
        <w:rPr>
          <w:rStyle w:val="FootnoteReference"/>
        </w:rPr>
        <w:footnoteRef/>
      </w:r>
      <w:r>
        <w:t xml:space="preserve"> </w:t>
      </w:r>
      <w:r w:rsidRPr="000E23B8">
        <w:rPr>
          <w:rFonts w:eastAsia="Times New Roman"/>
          <w:i/>
          <w:color w:val="333333"/>
          <w:sz w:val="24"/>
          <w:szCs w:val="24"/>
          <w:lang w:eastAsia="en-GB"/>
        </w:rPr>
        <w:t>Philosophical Investigations</w:t>
      </w:r>
      <w:r>
        <w:rPr>
          <w:rFonts w:eastAsia="Times New Roman"/>
          <w:color w:val="333333"/>
          <w:sz w:val="24"/>
          <w:szCs w:val="24"/>
          <w:lang w:eastAsia="en-GB"/>
        </w:rPr>
        <w:t>,</w:t>
      </w:r>
      <w:r w:rsidRPr="0054654B">
        <w:rPr>
          <w:rFonts w:eastAsia="Times New Roman"/>
          <w:color w:val="333333"/>
          <w:sz w:val="24"/>
          <w:szCs w:val="24"/>
          <w:lang w:eastAsia="en-GB"/>
        </w:rPr>
        <w:t xml:space="preserve"> p 178</w:t>
      </w:r>
    </w:p>
  </w:footnote>
  <w:footnote w:id="8">
    <w:p w14:paraId="52BE79BA" w14:textId="77777777" w:rsidR="009A3494" w:rsidRDefault="009A3494" w:rsidP="009A3494">
      <w:pPr>
        <w:pStyle w:val="FootnoteText"/>
      </w:pPr>
      <w:r>
        <w:rPr>
          <w:rStyle w:val="FootnoteReference"/>
        </w:rPr>
        <w:footnoteRef/>
      </w:r>
      <w:r>
        <w:t xml:space="preserve"> The OED includes ‘the spiritual or emotional part of man’</w:t>
      </w:r>
    </w:p>
  </w:footnote>
  <w:footnote w:id="9">
    <w:p w14:paraId="7050C675" w14:textId="77777777" w:rsidR="009A3494" w:rsidRPr="00BD0E36" w:rsidRDefault="009A3494" w:rsidP="009A3494">
      <w:pPr>
        <w:pStyle w:val="FootnoteText"/>
      </w:pPr>
      <w:r w:rsidRPr="00BD0E36">
        <w:rPr>
          <w:rStyle w:val="FootnoteReference"/>
        </w:rPr>
        <w:footnoteRef/>
      </w:r>
      <w:r w:rsidRPr="00BD0E36">
        <w:t xml:space="preserve"> Significantly, when Descartes talks of the interaction of body and soul in the context of this notion of a union, he says we understand it in the terms of ‘ordinary life and conversation’</w:t>
      </w:r>
    </w:p>
  </w:footnote>
  <w:footnote w:id="10">
    <w:p w14:paraId="65DA7A4D" w14:textId="77777777" w:rsidR="009A3494" w:rsidRPr="00BD0E36" w:rsidRDefault="009A3494" w:rsidP="009A3494">
      <w:pPr>
        <w:pStyle w:val="FootnoteText"/>
      </w:pPr>
      <w:r w:rsidRPr="00BD0E36">
        <w:rPr>
          <w:rStyle w:val="FootnoteReference"/>
        </w:rPr>
        <w:footnoteRef/>
      </w:r>
      <w:r w:rsidRPr="00BD0E36">
        <w:t xml:space="preserve"> Her remoteness from her old life and relationship to Orpheus is brought out wonderfully in Rilke’s re-telling in the poem, </w:t>
      </w:r>
      <w:r w:rsidRPr="00BD0E36">
        <w:rPr>
          <w:i/>
        </w:rPr>
        <w:t>Orpheus. Eurydice. Hermes</w:t>
      </w:r>
    </w:p>
  </w:footnote>
  <w:footnote w:id="11">
    <w:p w14:paraId="0992C94C" w14:textId="77777777" w:rsidR="009A3494" w:rsidRPr="00BD0E36" w:rsidRDefault="009A3494" w:rsidP="009A3494">
      <w:pPr>
        <w:pStyle w:val="FootnoteText"/>
      </w:pPr>
      <w:r w:rsidRPr="00BD0E36">
        <w:rPr>
          <w:rStyle w:val="FootnoteReference"/>
        </w:rPr>
        <w:footnoteRef/>
      </w:r>
      <w:r w:rsidRPr="00BD0E36">
        <w:t xml:space="preserve"> The emphases are in the poem, so ‘keeps </w:t>
      </w:r>
      <w:r w:rsidRPr="00BD0E36">
        <w:rPr>
          <w:i/>
        </w:rPr>
        <w:t>grace</w:t>
      </w:r>
      <w:r w:rsidRPr="00BD0E36">
        <w:t xml:space="preserve">: </w:t>
      </w:r>
      <w:r w:rsidRPr="00BD0E36">
        <w:rPr>
          <w:i/>
        </w:rPr>
        <w:t>that</w:t>
      </w:r>
      <w:r w:rsidRPr="00BD0E36">
        <w:t xml:space="preserve"> keeps …’</w:t>
      </w:r>
    </w:p>
  </w:footnote>
  <w:footnote w:id="12">
    <w:p w14:paraId="5F411C9C" w14:textId="77777777" w:rsidR="009A3494" w:rsidRPr="00BD0E36" w:rsidRDefault="009A3494" w:rsidP="009A3494">
      <w:pPr>
        <w:pStyle w:val="FootnoteText"/>
      </w:pPr>
      <w:r w:rsidRPr="00BD0E36">
        <w:rPr>
          <w:rStyle w:val="FootnoteReference"/>
        </w:rPr>
        <w:footnoteRef/>
      </w:r>
      <w:r>
        <w:t xml:space="preserve"> 2006, p 75ff</w:t>
      </w:r>
    </w:p>
  </w:footnote>
  <w:footnote w:id="13">
    <w:p w14:paraId="5FF368C2" w14:textId="77777777" w:rsidR="009A3494" w:rsidRPr="00087AAD" w:rsidRDefault="009A3494" w:rsidP="009A3494">
      <w:pPr>
        <w:pStyle w:val="FootnoteText"/>
      </w:pPr>
      <w:r>
        <w:rPr>
          <w:rStyle w:val="FootnoteReference"/>
        </w:rPr>
        <w:footnoteRef/>
      </w:r>
      <w:r>
        <w:t xml:space="preserve"> I put ‘experience’ in inverted commas here because the </w:t>
      </w:r>
      <w:r w:rsidRPr="00087AAD">
        <w:rPr>
          <w:i/>
        </w:rPr>
        <w:t>Atman</w:t>
      </w:r>
      <w:r>
        <w:t xml:space="preserve"> is not claimed to be an </w:t>
      </w:r>
      <w:r>
        <w:rPr>
          <w:i/>
        </w:rPr>
        <w:t>object</w:t>
      </w:r>
      <w:r>
        <w:t xml:space="preserve"> of experience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94"/>
    <w:rsid w:val="001B6317"/>
    <w:rsid w:val="006D63D6"/>
    <w:rsid w:val="008E214F"/>
    <w:rsid w:val="008F799C"/>
    <w:rsid w:val="009A3494"/>
    <w:rsid w:val="00AF32E3"/>
    <w:rsid w:val="00DD6885"/>
    <w:rsid w:val="00DF20B4"/>
    <w:rsid w:val="00E01337"/>
    <w:rsid w:val="00FA7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301D"/>
  <w15:chartTrackingRefBased/>
  <w15:docId w15:val="{D4731379-A255-41D6-8B3D-F6381AD33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en-GB" w:eastAsia="en-US" w:bidi="ar-SA"/>
      </w:rPr>
    </w:rPrDefault>
    <w:pPrDefault>
      <w:pPr>
        <w:spacing w:after="160"/>
        <w:ind w:left="851" w:right="151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3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3494"/>
    <w:pPr>
      <w:spacing w:after="0"/>
    </w:pPr>
    <w:rPr>
      <w:sz w:val="20"/>
      <w:szCs w:val="20"/>
    </w:rPr>
  </w:style>
  <w:style w:type="character" w:customStyle="1" w:styleId="FootnoteTextChar">
    <w:name w:val="Footnote Text Char"/>
    <w:basedOn w:val="DefaultParagraphFont"/>
    <w:link w:val="FootnoteText"/>
    <w:uiPriority w:val="99"/>
    <w:semiHidden/>
    <w:rsid w:val="009A3494"/>
    <w:rPr>
      <w:sz w:val="20"/>
      <w:szCs w:val="20"/>
    </w:rPr>
  </w:style>
  <w:style w:type="character" w:styleId="FootnoteReference">
    <w:name w:val="footnote reference"/>
    <w:basedOn w:val="DefaultParagraphFont"/>
    <w:unhideWhenUsed/>
    <w:rsid w:val="009A34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4927</Words>
  <Characters>28085</Characters>
  <Application>Microsoft Office Word</Application>
  <DocSecurity>0</DocSecurity>
  <Lines>234</Lines>
  <Paragraphs>65</Paragraphs>
  <ScaleCrop>false</ScaleCrop>
  <Company/>
  <LinksUpToDate>false</LinksUpToDate>
  <CharactersWithSpaces>32947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3</cp:revision>
  <dcterms:created xsi:type="dcterms:W3CDTF">2020-03-23T17:05:00Z</dcterms:created>
  <dcterms:modified xsi:type="dcterms:W3CDTF">2020-03-23T17:13:00Z</dcterms:modified>
</cp:coreProperties>
</file>