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23E0E" w14:textId="54059781" w:rsidR="000B5E96" w:rsidRPr="000B5E96" w:rsidRDefault="00EF4E6F" w:rsidP="000B5E96">
      <w:pPr>
        <w:rPr>
          <w:rFonts w:ascii="Arial" w:hAnsi="Arial" w:cs="Arial"/>
          <w:b/>
          <w:bCs/>
        </w:rPr>
      </w:pPr>
      <w:r>
        <w:rPr>
          <w:rFonts w:ascii="Arial" w:hAnsi="Arial" w:cs="Arial"/>
          <w:b/>
          <w:bCs/>
        </w:rPr>
        <w:t>s</w:t>
      </w:r>
    </w:p>
    <w:p w14:paraId="7263763A" w14:textId="77777777" w:rsidR="000B5E96" w:rsidRPr="000B5E96" w:rsidRDefault="000B5E96" w:rsidP="000B5E96">
      <w:pPr>
        <w:jc w:val="center"/>
        <w:rPr>
          <w:rFonts w:ascii="Arial" w:hAnsi="Arial" w:cs="Arial"/>
          <w:b/>
          <w:bCs/>
        </w:rPr>
      </w:pPr>
      <w:r w:rsidRPr="000B5E96">
        <w:rPr>
          <w:rFonts w:ascii="Arial" w:hAnsi="Arial" w:cs="Arial"/>
          <w:b/>
          <w:bCs/>
          <w:noProof/>
        </w:rPr>
        <w:drawing>
          <wp:inline distT="0" distB="0" distL="0" distR="0" wp14:anchorId="010E83C4" wp14:editId="2945BDD7">
            <wp:extent cx="2811780" cy="670560"/>
            <wp:effectExtent l="0" t="0" r="0" b="0"/>
            <wp:docPr id="1096106388" name="Picture 4"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white tex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1780" cy="670560"/>
                    </a:xfrm>
                    <a:prstGeom prst="rect">
                      <a:avLst/>
                    </a:prstGeom>
                    <a:noFill/>
                    <a:ln>
                      <a:noFill/>
                    </a:ln>
                  </pic:spPr>
                </pic:pic>
              </a:graphicData>
            </a:graphic>
          </wp:inline>
        </w:drawing>
      </w:r>
    </w:p>
    <w:p w14:paraId="6CBB726C" w14:textId="77777777" w:rsidR="000B5E96" w:rsidRPr="000B5E96" w:rsidRDefault="000B5E96" w:rsidP="000B5E96">
      <w:pPr>
        <w:jc w:val="center"/>
        <w:rPr>
          <w:rFonts w:ascii="Arial" w:hAnsi="Arial" w:cs="Arial"/>
          <w:b/>
          <w:bCs/>
        </w:rPr>
      </w:pPr>
      <w:r w:rsidRPr="000B5E96">
        <w:rPr>
          <w:rFonts w:ascii="Arial" w:hAnsi="Arial" w:cs="Arial"/>
          <w:b/>
          <w:bCs/>
        </w:rPr>
        <w:t>Master of Business Administration</w:t>
      </w:r>
    </w:p>
    <w:p w14:paraId="6E21940A" w14:textId="77777777" w:rsidR="000B5E96" w:rsidRPr="000B5E96" w:rsidRDefault="000B5E96" w:rsidP="000B5E96">
      <w:pPr>
        <w:jc w:val="center"/>
        <w:rPr>
          <w:rFonts w:ascii="Arial" w:hAnsi="Arial" w:cs="Arial"/>
          <w:b/>
          <w:bCs/>
        </w:rPr>
      </w:pPr>
      <w:r w:rsidRPr="000B5E96">
        <w:rPr>
          <w:rFonts w:ascii="Arial" w:hAnsi="Arial" w:cs="Arial"/>
          <w:b/>
          <w:bCs/>
        </w:rPr>
        <w:t>International Business pathway</w:t>
      </w:r>
    </w:p>
    <w:p w14:paraId="193938C0" w14:textId="77777777" w:rsidR="000B5E96" w:rsidRPr="000B5E96" w:rsidRDefault="000B5E96" w:rsidP="000B5E96">
      <w:pPr>
        <w:jc w:val="center"/>
        <w:rPr>
          <w:rFonts w:ascii="Arial" w:hAnsi="Arial" w:cs="Arial"/>
          <w:b/>
          <w:bCs/>
        </w:rPr>
      </w:pPr>
    </w:p>
    <w:p w14:paraId="4342CDA1" w14:textId="77777777" w:rsidR="000B5E96" w:rsidRPr="000B5E96" w:rsidRDefault="000B5E96" w:rsidP="000B5E96">
      <w:pPr>
        <w:jc w:val="center"/>
        <w:rPr>
          <w:rFonts w:ascii="Arial" w:hAnsi="Arial" w:cs="Arial"/>
          <w:b/>
          <w:bCs/>
        </w:rPr>
      </w:pPr>
      <w:r w:rsidRPr="000B5E96">
        <w:rPr>
          <w:rFonts w:ascii="Arial" w:hAnsi="Arial" w:cs="Arial"/>
          <w:b/>
          <w:bCs/>
          <w:noProof/>
        </w:rPr>
        <w:drawing>
          <wp:inline distT="0" distB="0" distL="0" distR="0" wp14:anchorId="7FB30FD4" wp14:editId="13734106">
            <wp:extent cx="2255520" cy="2255520"/>
            <wp:effectExtent l="0" t="0" r="0" b="0"/>
            <wp:docPr id="191035794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55520" cy="2255520"/>
                    </a:xfrm>
                    <a:prstGeom prst="rect">
                      <a:avLst/>
                    </a:prstGeom>
                    <a:noFill/>
                    <a:ln>
                      <a:noFill/>
                    </a:ln>
                  </pic:spPr>
                </pic:pic>
              </a:graphicData>
            </a:graphic>
          </wp:inline>
        </w:drawing>
      </w:r>
    </w:p>
    <w:p w14:paraId="74D775F2" w14:textId="77777777" w:rsidR="000B5E96" w:rsidRPr="000B5E96" w:rsidRDefault="000B5E96" w:rsidP="000B5E96">
      <w:pPr>
        <w:jc w:val="center"/>
        <w:rPr>
          <w:rFonts w:ascii="Arial" w:hAnsi="Arial" w:cs="Arial"/>
          <w:color w:val="EE0000"/>
          <w:sz w:val="32"/>
          <w:szCs w:val="32"/>
        </w:rPr>
      </w:pPr>
      <w:r w:rsidRPr="000B5E96">
        <w:rPr>
          <w:rFonts w:ascii="Arial" w:hAnsi="Arial" w:cs="Arial"/>
          <w:b/>
          <w:bCs/>
          <w:color w:val="EE0000"/>
          <w:sz w:val="48"/>
          <w:szCs w:val="48"/>
        </w:rPr>
        <w:t>Contemporary employability skills</w:t>
      </w:r>
    </w:p>
    <w:p w14:paraId="08D4CAAA" w14:textId="77777777" w:rsidR="000B5E96" w:rsidRPr="000B5E96" w:rsidRDefault="000B5E96" w:rsidP="000B5E96">
      <w:pPr>
        <w:jc w:val="center"/>
        <w:rPr>
          <w:rFonts w:ascii="Arial" w:hAnsi="Arial" w:cs="Arial"/>
          <w:sz w:val="28"/>
          <w:szCs w:val="28"/>
        </w:rPr>
      </w:pPr>
      <w:r w:rsidRPr="000B5E96">
        <w:rPr>
          <w:rFonts w:ascii="Arial" w:hAnsi="Arial" w:cs="Arial"/>
          <w:sz w:val="28"/>
          <w:szCs w:val="28"/>
        </w:rPr>
        <w:t xml:space="preserve">Assessment </w:t>
      </w:r>
      <w:r w:rsidRPr="000B5E96">
        <w:rPr>
          <w:rFonts w:ascii="Arial" w:hAnsi="Arial" w:cs="Arial"/>
          <w:color w:val="EE0000"/>
          <w:sz w:val="28"/>
          <w:szCs w:val="28"/>
        </w:rPr>
        <w:t>1: Individual report</w:t>
      </w:r>
      <w:r w:rsidRPr="000B5E96">
        <w:rPr>
          <w:rFonts w:ascii="Arial" w:hAnsi="Arial" w:cs="Arial"/>
          <w:sz w:val="28"/>
          <w:szCs w:val="28"/>
        </w:rPr>
        <w:t xml:space="preserve">. Weight: </w:t>
      </w:r>
      <w:r w:rsidRPr="000B5E96">
        <w:rPr>
          <w:rFonts w:ascii="Arial" w:hAnsi="Arial" w:cs="Arial"/>
          <w:color w:val="EE0000"/>
          <w:sz w:val="28"/>
          <w:szCs w:val="28"/>
        </w:rPr>
        <w:t>100%</w:t>
      </w:r>
    </w:p>
    <w:p w14:paraId="666F9813" w14:textId="77777777" w:rsidR="000B5E96" w:rsidRPr="000B5E96" w:rsidRDefault="000B5E96" w:rsidP="000B5E96">
      <w:pPr>
        <w:jc w:val="left"/>
        <w:rPr>
          <w:rFonts w:ascii="Arial" w:hAnsi="Arial" w:cs="Arial"/>
          <w:b/>
          <w:bCs/>
        </w:rPr>
      </w:pPr>
      <w:r w:rsidRPr="000B5E96">
        <w:rPr>
          <w:rFonts w:ascii="Arial" w:hAnsi="Arial" w:cs="Arial"/>
          <w:b/>
          <w:bCs/>
        </w:rPr>
        <w:t>Module name: International Business Concepts</w:t>
      </w:r>
    </w:p>
    <w:p w14:paraId="6229F335" w14:textId="77777777" w:rsidR="000B5E96" w:rsidRPr="000B5E96" w:rsidRDefault="000B5E96" w:rsidP="000B5E96">
      <w:pPr>
        <w:jc w:val="left"/>
        <w:rPr>
          <w:rFonts w:ascii="Arial" w:hAnsi="Arial" w:cs="Arial"/>
          <w:b/>
          <w:bCs/>
        </w:rPr>
      </w:pPr>
      <w:r w:rsidRPr="000B5E96">
        <w:rPr>
          <w:rFonts w:ascii="Arial" w:hAnsi="Arial" w:cs="Arial"/>
          <w:b/>
          <w:bCs/>
        </w:rPr>
        <w:t>Module code: LCMB70</w:t>
      </w:r>
      <w:r>
        <w:rPr>
          <w:rFonts w:ascii="Arial" w:hAnsi="Arial" w:cs="Arial"/>
          <w:b/>
          <w:bCs/>
        </w:rPr>
        <w:t>34</w:t>
      </w:r>
    </w:p>
    <w:p w14:paraId="7E641E14" w14:textId="77777777" w:rsidR="000B5E96" w:rsidRPr="000B5E96" w:rsidRDefault="000B5E96" w:rsidP="000B5E96">
      <w:pPr>
        <w:jc w:val="left"/>
        <w:rPr>
          <w:rFonts w:ascii="Arial" w:hAnsi="Arial" w:cs="Arial"/>
          <w:b/>
          <w:bCs/>
          <w:lang w:val="en-US"/>
        </w:rPr>
      </w:pPr>
      <w:r w:rsidRPr="000B5E96">
        <w:rPr>
          <w:rFonts w:ascii="Arial" w:hAnsi="Arial" w:cs="Arial"/>
          <w:b/>
          <w:bCs/>
          <w:lang w:val="en-US"/>
        </w:rPr>
        <w:t xml:space="preserve">Lecturer name: </w:t>
      </w:r>
      <w:r w:rsidRPr="000B5E96">
        <w:rPr>
          <w:rFonts w:ascii="Arial" w:hAnsi="Arial" w:cs="Arial"/>
          <w:b/>
          <w:bCs/>
        </w:rPr>
        <w:t xml:space="preserve">Dr. </w:t>
      </w:r>
      <w:r>
        <w:rPr>
          <w:rFonts w:ascii="Arial" w:hAnsi="Arial" w:cs="Arial"/>
          <w:b/>
          <w:bCs/>
        </w:rPr>
        <w:t>Charles Oham</w:t>
      </w:r>
    </w:p>
    <w:p w14:paraId="61E2DFB2" w14:textId="77777777" w:rsidR="000B5E96" w:rsidRPr="000B5E96" w:rsidRDefault="000B5E96" w:rsidP="000B5E96">
      <w:pPr>
        <w:jc w:val="left"/>
        <w:rPr>
          <w:rFonts w:ascii="Arial" w:hAnsi="Arial" w:cs="Arial"/>
          <w:b/>
          <w:bCs/>
        </w:rPr>
      </w:pPr>
      <w:r w:rsidRPr="000B5E96">
        <w:rPr>
          <w:rFonts w:ascii="Arial" w:hAnsi="Arial" w:cs="Arial"/>
          <w:b/>
          <w:bCs/>
        </w:rPr>
        <w:t>Student name: Yaxesh Ghoghari</w:t>
      </w:r>
    </w:p>
    <w:p w14:paraId="57ACA85F" w14:textId="77777777" w:rsidR="000B5E96" w:rsidRPr="000B5E96" w:rsidRDefault="000B5E96" w:rsidP="000B5E96">
      <w:pPr>
        <w:jc w:val="left"/>
        <w:rPr>
          <w:rFonts w:ascii="Arial" w:hAnsi="Arial" w:cs="Arial"/>
          <w:b/>
          <w:bCs/>
        </w:rPr>
      </w:pPr>
      <w:r w:rsidRPr="000B5E96">
        <w:rPr>
          <w:rFonts w:ascii="Arial" w:hAnsi="Arial" w:cs="Arial"/>
          <w:b/>
          <w:bCs/>
        </w:rPr>
        <w:t>Student ID: 2532567</w:t>
      </w:r>
    </w:p>
    <w:p w14:paraId="15C43641" w14:textId="77777777" w:rsidR="000B5E96" w:rsidRPr="000B5E96" w:rsidRDefault="000B5E96" w:rsidP="000B5E96">
      <w:pPr>
        <w:jc w:val="left"/>
        <w:rPr>
          <w:rFonts w:ascii="Arial" w:hAnsi="Arial" w:cs="Arial"/>
          <w:b/>
          <w:bCs/>
        </w:rPr>
      </w:pPr>
      <w:r w:rsidRPr="000B5E96">
        <w:rPr>
          <w:rFonts w:ascii="Arial" w:hAnsi="Arial" w:cs="Arial"/>
          <w:b/>
          <w:bCs/>
        </w:rPr>
        <w:t>Word count: 5</w:t>
      </w:r>
      <w:r w:rsidR="00471FB2">
        <w:rPr>
          <w:rFonts w:ascii="Arial" w:hAnsi="Arial" w:cs="Arial"/>
          <w:b/>
          <w:bCs/>
        </w:rPr>
        <w:t>25</w:t>
      </w:r>
      <w:r w:rsidRPr="000B5E96">
        <w:rPr>
          <w:rFonts w:ascii="Arial" w:hAnsi="Arial" w:cs="Arial"/>
          <w:b/>
          <w:bCs/>
        </w:rPr>
        <w:t>0 Approx.</w:t>
      </w:r>
    </w:p>
    <w:p w14:paraId="23622B1D" w14:textId="77777777" w:rsidR="000B5E96" w:rsidRPr="000B5E96" w:rsidRDefault="000B5E96" w:rsidP="000B5E96">
      <w:pPr>
        <w:jc w:val="left"/>
        <w:rPr>
          <w:rFonts w:ascii="Arial" w:hAnsi="Arial" w:cs="Arial"/>
          <w:b/>
          <w:bCs/>
        </w:rPr>
      </w:pPr>
      <w:r w:rsidRPr="000B5E96">
        <w:rPr>
          <w:rFonts w:ascii="Arial" w:hAnsi="Arial" w:cs="Arial"/>
          <w:b/>
          <w:bCs/>
        </w:rPr>
        <w:t>Submission date: 1</w:t>
      </w:r>
      <w:r>
        <w:rPr>
          <w:rFonts w:ascii="Arial" w:hAnsi="Arial" w:cs="Arial"/>
          <w:b/>
          <w:bCs/>
        </w:rPr>
        <w:t>4</w:t>
      </w:r>
      <w:r w:rsidRPr="000B5E96">
        <w:rPr>
          <w:rFonts w:ascii="Arial" w:hAnsi="Arial" w:cs="Arial"/>
          <w:b/>
          <w:bCs/>
          <w:vertAlign w:val="superscript"/>
        </w:rPr>
        <w:t>th</w:t>
      </w:r>
      <w:r w:rsidRPr="000B5E96">
        <w:rPr>
          <w:rFonts w:ascii="Arial" w:hAnsi="Arial" w:cs="Arial"/>
          <w:b/>
          <w:bCs/>
        </w:rPr>
        <w:t xml:space="preserve"> Aug 2026</w:t>
      </w:r>
    </w:p>
    <w:p w14:paraId="6A6844E9" w14:textId="77777777" w:rsidR="00616BDA" w:rsidRPr="00616BDA" w:rsidRDefault="00616BDA" w:rsidP="00616BDA">
      <w:pPr>
        <w:jc w:val="left"/>
        <w:rPr>
          <w:rFonts w:ascii="Arial" w:hAnsi="Arial" w:cs="Arial"/>
          <w:b/>
          <w:bCs/>
        </w:rPr>
      </w:pPr>
      <w:bookmarkStart w:id="0" w:name="_Toc237433525"/>
      <w:r w:rsidRPr="00616BDA">
        <w:rPr>
          <w:rFonts w:ascii="Arial" w:hAnsi="Arial" w:cs="Arial"/>
          <w:b/>
          <w:bCs/>
        </w:rPr>
        <w:t>AI use acknowledgement</w:t>
      </w:r>
      <w:bookmarkEnd w:id="0"/>
    </w:p>
    <w:p w14:paraId="3D289914" w14:textId="77777777" w:rsidR="00616BDA" w:rsidRPr="00616BDA" w:rsidRDefault="00616BDA" w:rsidP="00616BDA">
      <w:pPr>
        <w:jc w:val="left"/>
        <w:rPr>
          <w:rFonts w:ascii="Arial" w:hAnsi="Arial" w:cs="Arial"/>
          <w:b/>
          <w:bCs/>
        </w:rPr>
      </w:pPr>
      <w:bookmarkStart w:id="1" w:name="_Toc237433527"/>
      <w:proofErr w:type="gramStart"/>
      <w:r w:rsidRPr="00616BDA">
        <w:rPr>
          <w:rFonts w:ascii="Arial" w:hAnsi="Arial" w:cs="Arial"/>
          <w:b/>
          <w:bCs/>
        </w:rPr>
        <w:t>Acknowledgement :</w:t>
      </w:r>
      <w:proofErr w:type="gramEnd"/>
      <w:r w:rsidRPr="00616BDA">
        <w:rPr>
          <w:rFonts w:ascii="Arial" w:hAnsi="Arial" w:cs="Arial"/>
          <w:b/>
          <w:bCs/>
        </w:rPr>
        <w:t xml:space="preserve"> ChatGPT (OpenAI)</w:t>
      </w:r>
      <w:bookmarkEnd w:id="1"/>
    </w:p>
    <w:p w14:paraId="59856676" w14:textId="0147C8D4" w:rsidR="00616BDA" w:rsidRPr="00616BDA" w:rsidRDefault="00616BDA" w:rsidP="00616BDA">
      <w:pPr>
        <w:jc w:val="left"/>
        <w:rPr>
          <w:rFonts w:ascii="Arial" w:hAnsi="Arial" w:cs="Arial"/>
        </w:rPr>
      </w:pPr>
      <w:r w:rsidRPr="00616BDA">
        <w:rPr>
          <w:rFonts w:ascii="Arial" w:hAnsi="Arial" w:cs="Arial"/>
        </w:rPr>
        <w:t>I acknowledge the use of ChatGPT (</w:t>
      </w:r>
      <w:hyperlink r:id="rId9" w:history="1">
        <w:r w:rsidRPr="00616BDA">
          <w:rPr>
            <w:rStyle w:val="Hyperlink"/>
            <w:rFonts w:ascii="Arial" w:hAnsi="Arial" w:cs="Arial"/>
          </w:rPr>
          <w:t>https://chatgpt.com/</w:t>
        </w:r>
      </w:hyperlink>
      <w:r w:rsidRPr="00616BDA">
        <w:rPr>
          <w:rFonts w:ascii="Arial" w:hAnsi="Arial" w:cs="Arial"/>
        </w:rPr>
        <w:t xml:space="preserve">) on </w:t>
      </w:r>
      <w:r w:rsidR="00473B19" w:rsidRPr="00473B19">
        <w:rPr>
          <w:rFonts w:ascii="Arial" w:hAnsi="Arial" w:cs="Arial"/>
        </w:rPr>
        <w:t xml:space="preserve">13 </w:t>
      </w:r>
      <w:r w:rsidRPr="00616BDA">
        <w:rPr>
          <w:rFonts w:ascii="Arial" w:hAnsi="Arial" w:cs="Arial"/>
        </w:rPr>
        <w:t>August 2026 to generate the illustrative diagrams (All Figures) used throughout this report, based on my own analysis and content for each framework. I used the prompt(s):</w:t>
      </w:r>
    </w:p>
    <w:p w14:paraId="6DB8A0AB" w14:textId="23176810" w:rsidR="00616BDA" w:rsidRPr="00616BDA" w:rsidRDefault="00616BDA" w:rsidP="00616BDA">
      <w:pPr>
        <w:numPr>
          <w:ilvl w:val="0"/>
          <w:numId w:val="1"/>
        </w:numPr>
        <w:jc w:val="left"/>
        <w:rPr>
          <w:rFonts w:ascii="Arial" w:hAnsi="Arial" w:cs="Arial"/>
        </w:rPr>
      </w:pPr>
      <w:r w:rsidRPr="00616BDA">
        <w:rPr>
          <w:rFonts w:ascii="Arial" w:hAnsi="Arial" w:cs="Arial"/>
        </w:rPr>
        <w:t xml:space="preserve">Generate a 3D-style infographic of the PESTEL framework applied to </w:t>
      </w:r>
      <w:r w:rsidR="00473B19">
        <w:rPr>
          <w:rFonts w:ascii="Arial" w:hAnsi="Arial" w:cs="Arial"/>
        </w:rPr>
        <w:t>TCS</w:t>
      </w:r>
      <w:r w:rsidRPr="00616BDA">
        <w:rPr>
          <w:rFonts w:ascii="Arial" w:hAnsi="Arial" w:cs="Arial"/>
        </w:rPr>
        <w:t xml:space="preserve"> India, showing the six factors I've identified: Political, Economic, Social, Technological, Environmental, and Legal.</w:t>
      </w:r>
    </w:p>
    <w:p w14:paraId="5EF8BE39" w14:textId="1F94F6C7" w:rsidR="00616BDA" w:rsidRPr="00616BDA" w:rsidRDefault="00616BDA" w:rsidP="00616BDA">
      <w:pPr>
        <w:numPr>
          <w:ilvl w:val="0"/>
          <w:numId w:val="1"/>
        </w:numPr>
        <w:jc w:val="left"/>
        <w:rPr>
          <w:rFonts w:ascii="Arial" w:hAnsi="Arial" w:cs="Arial"/>
        </w:rPr>
      </w:pPr>
      <w:r w:rsidRPr="00616BDA">
        <w:rPr>
          <w:rFonts w:ascii="Arial" w:hAnsi="Arial" w:cs="Arial"/>
        </w:rPr>
        <w:t xml:space="preserve">Generate a professional 3D diagram of </w:t>
      </w:r>
      <w:r w:rsidR="006249BE">
        <w:rPr>
          <w:rFonts w:ascii="Arial" w:hAnsi="Arial" w:cs="Arial"/>
        </w:rPr>
        <w:t>Frameworks and</w:t>
      </w:r>
      <w:r w:rsidRPr="00616BDA">
        <w:rPr>
          <w:rFonts w:ascii="Arial" w:hAnsi="Arial" w:cs="Arial"/>
        </w:rPr>
        <w:t xml:space="preserve"> Strategies, styled consistently, to visually summarise the strategic analysis in my report.</w:t>
      </w:r>
    </w:p>
    <w:p w14:paraId="07A68586" w14:textId="77777777" w:rsidR="00616BDA" w:rsidRPr="00616BDA" w:rsidRDefault="00616BDA" w:rsidP="00616BDA">
      <w:pPr>
        <w:jc w:val="left"/>
        <w:rPr>
          <w:rFonts w:ascii="Arial" w:hAnsi="Arial" w:cs="Arial"/>
        </w:rPr>
      </w:pPr>
      <w:r w:rsidRPr="00616BDA">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081CC6AA" w14:textId="77777777" w:rsidR="000B5E96" w:rsidRPr="00616BDA" w:rsidRDefault="000B5E96">
      <w:pPr>
        <w:jc w:val="center"/>
        <w:rPr>
          <w:rFonts w:ascii="Arial" w:hAnsi="Arial" w:cs="Arial"/>
        </w:rPr>
      </w:pPr>
    </w:p>
    <w:p w14:paraId="52FE140A" w14:textId="77777777" w:rsidR="000B5E96" w:rsidRDefault="000B5E96">
      <w:pPr>
        <w:jc w:val="center"/>
        <w:rPr>
          <w:rFonts w:ascii="Arial" w:hAnsi="Arial" w:cs="Arial"/>
          <w:b/>
          <w:bCs/>
          <w:sz w:val="32"/>
          <w:szCs w:val="32"/>
        </w:rPr>
      </w:pPr>
    </w:p>
    <w:p w14:paraId="7853AAE2" w14:textId="77777777" w:rsidR="000B5E96" w:rsidRDefault="000B5E96">
      <w:pPr>
        <w:jc w:val="center"/>
        <w:rPr>
          <w:rFonts w:ascii="Arial" w:hAnsi="Arial" w:cs="Arial"/>
          <w:b/>
          <w:bCs/>
          <w:sz w:val="32"/>
          <w:szCs w:val="32"/>
        </w:rPr>
      </w:pPr>
    </w:p>
    <w:p w14:paraId="3CCF857B" w14:textId="77777777" w:rsidR="000B5E96" w:rsidRDefault="000B5E96">
      <w:pPr>
        <w:jc w:val="center"/>
        <w:rPr>
          <w:rFonts w:ascii="Arial" w:hAnsi="Arial" w:cs="Arial"/>
          <w:b/>
          <w:bCs/>
          <w:sz w:val="32"/>
          <w:szCs w:val="32"/>
        </w:rPr>
      </w:pPr>
    </w:p>
    <w:p w14:paraId="00409063" w14:textId="77777777" w:rsidR="000B5E96" w:rsidRDefault="000B5E96">
      <w:pPr>
        <w:jc w:val="center"/>
        <w:rPr>
          <w:rFonts w:ascii="Arial" w:hAnsi="Arial" w:cs="Arial"/>
          <w:b/>
          <w:bCs/>
          <w:sz w:val="32"/>
          <w:szCs w:val="32"/>
        </w:rPr>
      </w:pPr>
    </w:p>
    <w:p w14:paraId="47EFCB21" w14:textId="77777777" w:rsidR="000B5E96" w:rsidRDefault="000B5E96" w:rsidP="000B5E96">
      <w:pPr>
        <w:rPr>
          <w:rFonts w:ascii="Arial" w:hAnsi="Arial" w:cs="Arial"/>
          <w:b/>
          <w:bCs/>
          <w:sz w:val="32"/>
          <w:szCs w:val="32"/>
        </w:rPr>
      </w:pPr>
    </w:p>
    <w:p w14:paraId="55508E6D" w14:textId="77777777" w:rsidR="000B5E96" w:rsidRDefault="000B5E96" w:rsidP="000B5E96">
      <w:pPr>
        <w:rPr>
          <w:rFonts w:ascii="Arial" w:hAnsi="Arial" w:cs="Arial"/>
          <w:b/>
          <w:bCs/>
          <w:sz w:val="32"/>
          <w:szCs w:val="32"/>
        </w:rPr>
      </w:pPr>
    </w:p>
    <w:p w14:paraId="62BA1AFE" w14:textId="77777777" w:rsidR="00616BDA" w:rsidRDefault="00616BDA" w:rsidP="000B5E96">
      <w:pPr>
        <w:rPr>
          <w:rFonts w:ascii="Arial" w:hAnsi="Arial" w:cs="Arial"/>
          <w:b/>
          <w:bCs/>
          <w:sz w:val="32"/>
          <w:szCs w:val="32"/>
        </w:rPr>
      </w:pPr>
    </w:p>
    <w:p w14:paraId="0BBFC95D" w14:textId="77777777" w:rsidR="00616BDA" w:rsidRDefault="00616BDA" w:rsidP="000B5E96">
      <w:pPr>
        <w:rPr>
          <w:rFonts w:ascii="Arial" w:hAnsi="Arial" w:cs="Arial"/>
          <w:b/>
          <w:bCs/>
          <w:sz w:val="32"/>
          <w:szCs w:val="32"/>
        </w:rPr>
      </w:pPr>
    </w:p>
    <w:p w14:paraId="320C4BB3" w14:textId="77777777" w:rsidR="00616BDA" w:rsidRDefault="00616BDA" w:rsidP="000B5E96">
      <w:pPr>
        <w:rPr>
          <w:rFonts w:ascii="Arial" w:hAnsi="Arial" w:cs="Arial"/>
          <w:b/>
          <w:bCs/>
          <w:sz w:val="32"/>
          <w:szCs w:val="32"/>
        </w:rPr>
      </w:pPr>
    </w:p>
    <w:p w14:paraId="2EF4C308" w14:textId="77777777" w:rsidR="00616BDA" w:rsidRDefault="00616BDA" w:rsidP="000B5E96">
      <w:pPr>
        <w:rPr>
          <w:rFonts w:ascii="Arial" w:hAnsi="Arial" w:cs="Arial"/>
          <w:b/>
          <w:bCs/>
          <w:sz w:val="32"/>
          <w:szCs w:val="32"/>
        </w:rPr>
      </w:pPr>
    </w:p>
    <w:p w14:paraId="10981172" w14:textId="77777777" w:rsidR="00616BDA" w:rsidRDefault="00616BDA" w:rsidP="000B5E96">
      <w:pPr>
        <w:rPr>
          <w:rFonts w:ascii="Arial" w:hAnsi="Arial" w:cs="Arial"/>
          <w:b/>
          <w:bCs/>
          <w:sz w:val="32"/>
          <w:szCs w:val="32"/>
        </w:rPr>
      </w:pPr>
    </w:p>
    <w:p w14:paraId="5DBF652F" w14:textId="77777777" w:rsidR="00616BDA" w:rsidRDefault="00616BDA" w:rsidP="000B5E96">
      <w:pPr>
        <w:rPr>
          <w:rFonts w:ascii="Arial" w:hAnsi="Arial" w:cs="Arial"/>
          <w:b/>
          <w:bCs/>
          <w:sz w:val="32"/>
          <w:szCs w:val="32"/>
        </w:rPr>
      </w:pPr>
    </w:p>
    <w:p w14:paraId="2DA80F2D" w14:textId="77777777" w:rsidR="00616BDA" w:rsidRDefault="00616BDA" w:rsidP="000B5E96">
      <w:pPr>
        <w:rPr>
          <w:rFonts w:ascii="Arial" w:hAnsi="Arial" w:cs="Arial"/>
          <w:b/>
          <w:bCs/>
          <w:sz w:val="32"/>
          <w:szCs w:val="32"/>
        </w:rPr>
      </w:pPr>
    </w:p>
    <w:p w14:paraId="73312B7E" w14:textId="77777777" w:rsidR="00616BDA" w:rsidRDefault="00616BDA" w:rsidP="000B5E96">
      <w:pPr>
        <w:rPr>
          <w:rFonts w:ascii="Arial" w:hAnsi="Arial" w:cs="Arial"/>
          <w:b/>
          <w:bCs/>
          <w:sz w:val="32"/>
          <w:szCs w:val="32"/>
        </w:rPr>
      </w:pPr>
    </w:p>
    <w:p w14:paraId="00DDB2BB" w14:textId="77777777" w:rsidR="00616BDA" w:rsidRDefault="00616BDA" w:rsidP="000B5E96">
      <w:pPr>
        <w:rPr>
          <w:rFonts w:ascii="Arial" w:hAnsi="Arial" w:cs="Arial"/>
          <w:b/>
          <w:bCs/>
          <w:sz w:val="32"/>
          <w:szCs w:val="32"/>
        </w:rPr>
      </w:pPr>
    </w:p>
    <w:p w14:paraId="3017D340" w14:textId="77777777" w:rsidR="000B5E96" w:rsidRDefault="000B5E96" w:rsidP="006249BE">
      <w:pPr>
        <w:rPr>
          <w:rFonts w:ascii="Arial" w:hAnsi="Arial" w:cs="Arial"/>
          <w:b/>
          <w:bCs/>
          <w:sz w:val="32"/>
          <w:szCs w:val="32"/>
        </w:rPr>
      </w:pPr>
    </w:p>
    <w:p w14:paraId="20966DDE" w14:textId="77777777" w:rsidR="006249BE" w:rsidRDefault="006249BE" w:rsidP="006249BE">
      <w:pPr>
        <w:rPr>
          <w:rFonts w:ascii="Arial" w:hAnsi="Arial" w:cs="Arial"/>
          <w:b/>
          <w:bCs/>
          <w:sz w:val="32"/>
          <w:szCs w:val="32"/>
        </w:rPr>
      </w:pPr>
    </w:p>
    <w:p w14:paraId="1D10067C" w14:textId="77777777" w:rsidR="006C070F" w:rsidRPr="000B5E96" w:rsidRDefault="00BB0BEE" w:rsidP="000B5E96">
      <w:pPr>
        <w:jc w:val="center"/>
        <w:rPr>
          <w:rFonts w:ascii="Arial" w:hAnsi="Arial" w:cs="Arial"/>
          <w:b/>
          <w:bCs/>
          <w:sz w:val="32"/>
          <w:szCs w:val="32"/>
        </w:rPr>
      </w:pPr>
      <w:r w:rsidRPr="000B5E96">
        <w:rPr>
          <w:rFonts w:ascii="Arial" w:hAnsi="Arial" w:cs="Arial"/>
          <w:b/>
          <w:bCs/>
          <w:sz w:val="32"/>
          <w:szCs w:val="32"/>
        </w:rPr>
        <w:t>International Market Entry Strategy for Tata Consultancy Services (TCS) in Vietnam</w:t>
      </w:r>
    </w:p>
    <w:p w14:paraId="0AD57A6C" w14:textId="77777777" w:rsidR="006C070F" w:rsidRPr="000B5E96" w:rsidRDefault="00350C7C">
      <w:pPr>
        <w:rPr>
          <w:rFonts w:ascii="Arial" w:hAnsi="Arial" w:cs="Arial"/>
        </w:rPr>
      </w:pPr>
      <w:r w:rsidRPr="000B5E96">
        <w:rPr>
          <w:rFonts w:ascii="Arial" w:hAnsi="Arial" w:cs="Arial"/>
        </w:rPr>
        <w:br w:type="page"/>
      </w:r>
    </w:p>
    <w:p w14:paraId="3AC63DA1" w14:textId="77777777" w:rsidR="006C070F" w:rsidRPr="000B5E96" w:rsidRDefault="00350C7C">
      <w:pPr>
        <w:jc w:val="center"/>
        <w:rPr>
          <w:rFonts w:ascii="Arial" w:hAnsi="Arial" w:cs="Arial"/>
          <w:b/>
          <w:bCs/>
          <w:sz w:val="28"/>
          <w:szCs w:val="28"/>
        </w:rPr>
      </w:pPr>
      <w:r w:rsidRPr="000B5E96">
        <w:rPr>
          <w:rFonts w:ascii="Arial" w:hAnsi="Arial" w:cs="Arial"/>
          <w:b/>
          <w:bCs/>
          <w:sz w:val="28"/>
          <w:szCs w:val="28"/>
        </w:rPr>
        <w:t>TABLE OF CONTENT</w:t>
      </w:r>
    </w:p>
    <w:sdt>
      <w:sdtPr>
        <w:rPr>
          <w:rFonts w:ascii="Arial" w:hAnsi="Arial" w:cs="Arial"/>
        </w:rPr>
        <w:id w:val="-2091468962"/>
        <w:docPartObj>
          <w:docPartGallery w:val="Table of Contents"/>
          <w:docPartUnique/>
        </w:docPartObj>
      </w:sdtPr>
      <w:sdtEndPr/>
      <w:sdtContent>
        <w:p w14:paraId="7B157FF3" w14:textId="5857A8EB" w:rsidR="00525608" w:rsidRDefault="00350C7C">
          <w:pPr>
            <w:pStyle w:val="TOC1"/>
            <w:tabs>
              <w:tab w:val="left" w:pos="1440"/>
              <w:tab w:val="right" w:leader="dot" w:pos="9019"/>
            </w:tabs>
            <w:rPr>
              <w:rFonts w:asciiTheme="minorHAnsi" w:eastAsiaTheme="minorEastAsia" w:hAnsiTheme="minorHAnsi" w:cstheme="minorBidi"/>
              <w:noProof/>
              <w:kern w:val="2"/>
              <w:lang w:val="en-IN" w:eastAsia="en-IN"/>
              <w14:ligatures w14:val="standardContextual"/>
            </w:rPr>
          </w:pPr>
          <w:r w:rsidRPr="000B5E96">
            <w:rPr>
              <w:rFonts w:ascii="Arial" w:hAnsi="Arial" w:cs="Arial"/>
            </w:rPr>
            <w:fldChar w:fldCharType="begin"/>
          </w:r>
          <w:r w:rsidRPr="000B5E96">
            <w:rPr>
              <w:rFonts w:ascii="Arial" w:hAnsi="Arial" w:cs="Arial"/>
            </w:rPr>
            <w:instrText xml:space="preserve"> TOC \h \u \z \t "Heading 1,1,Heading 2,2,Heading 3,3,Heading 4,4,Heading 5,5,Heading 6,6,"</w:instrText>
          </w:r>
          <w:r w:rsidRPr="000B5E96">
            <w:rPr>
              <w:rFonts w:ascii="Arial" w:hAnsi="Arial" w:cs="Arial"/>
            </w:rPr>
            <w:fldChar w:fldCharType="separate"/>
          </w:r>
          <w:hyperlink w:anchor="_Toc237568546" w:history="1">
            <w:r w:rsidR="00525608" w:rsidRPr="00637D1E">
              <w:rPr>
                <w:rStyle w:val="Hyperlink"/>
                <w:rFonts w:ascii="Arial" w:hAnsi="Arial" w:cs="Arial"/>
                <w:noProof/>
              </w:rPr>
              <w:t>Section 1: International Business Report</w:t>
            </w:r>
            <w:r w:rsidR="00525608">
              <w:rPr>
                <w:noProof/>
                <w:webHidden/>
              </w:rPr>
              <w:tab/>
            </w:r>
            <w:r w:rsidR="00525608">
              <w:rPr>
                <w:noProof/>
                <w:webHidden/>
              </w:rPr>
              <w:fldChar w:fldCharType="begin"/>
            </w:r>
            <w:r w:rsidR="00525608">
              <w:rPr>
                <w:noProof/>
                <w:webHidden/>
              </w:rPr>
              <w:instrText xml:space="preserve"> PAGEREF _Toc237568546 \h </w:instrText>
            </w:r>
            <w:r w:rsidR="00525608">
              <w:rPr>
                <w:noProof/>
                <w:webHidden/>
              </w:rPr>
            </w:r>
            <w:r w:rsidR="00525608">
              <w:rPr>
                <w:noProof/>
                <w:webHidden/>
              </w:rPr>
              <w:fldChar w:fldCharType="separate"/>
            </w:r>
            <w:r w:rsidR="00525608">
              <w:rPr>
                <w:noProof/>
                <w:webHidden/>
              </w:rPr>
              <w:t>5</w:t>
            </w:r>
            <w:r w:rsidR="00525608">
              <w:rPr>
                <w:noProof/>
                <w:webHidden/>
              </w:rPr>
              <w:fldChar w:fldCharType="end"/>
            </w:r>
          </w:hyperlink>
        </w:p>
        <w:p w14:paraId="02DA7CB3" w14:textId="31BACFF9" w:rsidR="00525608" w:rsidRDefault="00525608">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7568547" w:history="1">
            <w:r w:rsidRPr="00637D1E">
              <w:rPr>
                <w:rStyle w:val="Hyperlink"/>
                <w:rFonts w:ascii="Arial" w:hAnsi="Arial" w:cs="Arial"/>
                <w:noProof/>
              </w:rPr>
              <w:t>1. Organisational Classification and Global Strategy</w:t>
            </w:r>
            <w:r>
              <w:rPr>
                <w:noProof/>
                <w:webHidden/>
              </w:rPr>
              <w:tab/>
            </w:r>
            <w:r>
              <w:rPr>
                <w:noProof/>
                <w:webHidden/>
              </w:rPr>
              <w:fldChar w:fldCharType="begin"/>
            </w:r>
            <w:r>
              <w:rPr>
                <w:noProof/>
                <w:webHidden/>
              </w:rPr>
              <w:instrText xml:space="preserve"> PAGEREF _Toc237568547 \h </w:instrText>
            </w:r>
            <w:r>
              <w:rPr>
                <w:noProof/>
                <w:webHidden/>
              </w:rPr>
            </w:r>
            <w:r>
              <w:rPr>
                <w:noProof/>
                <w:webHidden/>
              </w:rPr>
              <w:fldChar w:fldCharType="separate"/>
            </w:r>
            <w:r>
              <w:rPr>
                <w:noProof/>
                <w:webHidden/>
              </w:rPr>
              <w:t>5</w:t>
            </w:r>
            <w:r>
              <w:rPr>
                <w:noProof/>
                <w:webHidden/>
              </w:rPr>
              <w:fldChar w:fldCharType="end"/>
            </w:r>
          </w:hyperlink>
        </w:p>
        <w:p w14:paraId="12EE9667" w14:textId="5557E66E"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48" w:history="1">
            <w:r w:rsidRPr="00637D1E">
              <w:rPr>
                <w:rStyle w:val="Hyperlink"/>
                <w:rFonts w:ascii="Arial" w:hAnsi="Arial" w:cs="Arial"/>
                <w:noProof/>
              </w:rPr>
              <w:t>1.1 TCS and the Proposed Vietnam Entry</w:t>
            </w:r>
            <w:r>
              <w:rPr>
                <w:noProof/>
                <w:webHidden/>
              </w:rPr>
              <w:tab/>
            </w:r>
            <w:r>
              <w:rPr>
                <w:noProof/>
                <w:webHidden/>
              </w:rPr>
              <w:fldChar w:fldCharType="begin"/>
            </w:r>
            <w:r>
              <w:rPr>
                <w:noProof/>
                <w:webHidden/>
              </w:rPr>
              <w:instrText xml:space="preserve"> PAGEREF _Toc237568548 \h </w:instrText>
            </w:r>
            <w:r>
              <w:rPr>
                <w:noProof/>
                <w:webHidden/>
              </w:rPr>
            </w:r>
            <w:r>
              <w:rPr>
                <w:noProof/>
                <w:webHidden/>
              </w:rPr>
              <w:fldChar w:fldCharType="separate"/>
            </w:r>
            <w:r>
              <w:rPr>
                <w:noProof/>
                <w:webHidden/>
              </w:rPr>
              <w:t>5</w:t>
            </w:r>
            <w:r>
              <w:rPr>
                <w:noProof/>
                <w:webHidden/>
              </w:rPr>
              <w:fldChar w:fldCharType="end"/>
            </w:r>
          </w:hyperlink>
        </w:p>
        <w:p w14:paraId="660CA9CF" w14:textId="4EDBB14F"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49" w:history="1">
            <w:r w:rsidRPr="00637D1E">
              <w:rPr>
                <w:rStyle w:val="Hyperlink"/>
                <w:rFonts w:ascii="Arial" w:hAnsi="Arial" w:cs="Arial"/>
                <w:noProof/>
              </w:rPr>
              <w:t>1.2 Strategic Categorisation</w:t>
            </w:r>
            <w:r>
              <w:rPr>
                <w:noProof/>
                <w:webHidden/>
              </w:rPr>
              <w:tab/>
            </w:r>
            <w:r>
              <w:rPr>
                <w:noProof/>
                <w:webHidden/>
              </w:rPr>
              <w:fldChar w:fldCharType="begin"/>
            </w:r>
            <w:r>
              <w:rPr>
                <w:noProof/>
                <w:webHidden/>
              </w:rPr>
              <w:instrText xml:space="preserve"> PAGEREF _Toc237568549 \h </w:instrText>
            </w:r>
            <w:r>
              <w:rPr>
                <w:noProof/>
                <w:webHidden/>
              </w:rPr>
            </w:r>
            <w:r>
              <w:rPr>
                <w:noProof/>
                <w:webHidden/>
              </w:rPr>
              <w:fldChar w:fldCharType="separate"/>
            </w:r>
            <w:r>
              <w:rPr>
                <w:noProof/>
                <w:webHidden/>
              </w:rPr>
              <w:t>6</w:t>
            </w:r>
            <w:r>
              <w:rPr>
                <w:noProof/>
                <w:webHidden/>
              </w:rPr>
              <w:fldChar w:fldCharType="end"/>
            </w:r>
          </w:hyperlink>
        </w:p>
        <w:p w14:paraId="0EDB6A7B" w14:textId="4AC8AD42" w:rsidR="00525608" w:rsidRDefault="00525608">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7568550" w:history="1">
            <w:r w:rsidRPr="00637D1E">
              <w:rPr>
                <w:rStyle w:val="Hyperlink"/>
                <w:rFonts w:ascii="Arial" w:hAnsi="Arial" w:cs="Arial"/>
                <w:noProof/>
              </w:rPr>
              <w:t>2: Macro-Environmental Appraisal and Market Attractiveness</w:t>
            </w:r>
            <w:r>
              <w:rPr>
                <w:noProof/>
                <w:webHidden/>
              </w:rPr>
              <w:tab/>
            </w:r>
            <w:r>
              <w:rPr>
                <w:noProof/>
                <w:webHidden/>
              </w:rPr>
              <w:fldChar w:fldCharType="begin"/>
            </w:r>
            <w:r>
              <w:rPr>
                <w:noProof/>
                <w:webHidden/>
              </w:rPr>
              <w:instrText xml:space="preserve"> PAGEREF _Toc237568550 \h </w:instrText>
            </w:r>
            <w:r>
              <w:rPr>
                <w:noProof/>
                <w:webHidden/>
              </w:rPr>
            </w:r>
            <w:r>
              <w:rPr>
                <w:noProof/>
                <w:webHidden/>
              </w:rPr>
              <w:fldChar w:fldCharType="separate"/>
            </w:r>
            <w:r>
              <w:rPr>
                <w:noProof/>
                <w:webHidden/>
              </w:rPr>
              <w:t>7</w:t>
            </w:r>
            <w:r>
              <w:rPr>
                <w:noProof/>
                <w:webHidden/>
              </w:rPr>
              <w:fldChar w:fldCharType="end"/>
            </w:r>
          </w:hyperlink>
        </w:p>
        <w:p w14:paraId="1290A2F7" w14:textId="4563BA7C"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51" w:history="1">
            <w:r w:rsidRPr="00637D1E">
              <w:rPr>
                <w:rStyle w:val="Hyperlink"/>
                <w:rFonts w:ascii="Arial" w:hAnsi="Arial" w:cs="Arial"/>
                <w:noProof/>
              </w:rPr>
              <w:t>2.1 Political and Institutional Environment</w:t>
            </w:r>
            <w:r>
              <w:rPr>
                <w:noProof/>
                <w:webHidden/>
              </w:rPr>
              <w:tab/>
            </w:r>
            <w:r>
              <w:rPr>
                <w:noProof/>
                <w:webHidden/>
              </w:rPr>
              <w:fldChar w:fldCharType="begin"/>
            </w:r>
            <w:r>
              <w:rPr>
                <w:noProof/>
                <w:webHidden/>
              </w:rPr>
              <w:instrText xml:space="preserve"> PAGEREF _Toc237568551 \h </w:instrText>
            </w:r>
            <w:r>
              <w:rPr>
                <w:noProof/>
                <w:webHidden/>
              </w:rPr>
            </w:r>
            <w:r>
              <w:rPr>
                <w:noProof/>
                <w:webHidden/>
              </w:rPr>
              <w:fldChar w:fldCharType="separate"/>
            </w:r>
            <w:r>
              <w:rPr>
                <w:noProof/>
                <w:webHidden/>
              </w:rPr>
              <w:t>8</w:t>
            </w:r>
            <w:r>
              <w:rPr>
                <w:noProof/>
                <w:webHidden/>
              </w:rPr>
              <w:fldChar w:fldCharType="end"/>
            </w:r>
          </w:hyperlink>
        </w:p>
        <w:p w14:paraId="51C88CA3" w14:textId="0202B0D7"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52" w:history="1">
            <w:r w:rsidRPr="00637D1E">
              <w:rPr>
                <w:rStyle w:val="Hyperlink"/>
                <w:rFonts w:ascii="Arial" w:hAnsi="Arial" w:cs="Arial"/>
                <w:noProof/>
              </w:rPr>
              <w:t>2.2 Economic and Digital-Market Attractiveness</w:t>
            </w:r>
            <w:r>
              <w:rPr>
                <w:noProof/>
                <w:webHidden/>
              </w:rPr>
              <w:tab/>
            </w:r>
            <w:r>
              <w:rPr>
                <w:noProof/>
                <w:webHidden/>
              </w:rPr>
              <w:fldChar w:fldCharType="begin"/>
            </w:r>
            <w:r>
              <w:rPr>
                <w:noProof/>
                <w:webHidden/>
              </w:rPr>
              <w:instrText xml:space="preserve"> PAGEREF _Toc237568552 \h </w:instrText>
            </w:r>
            <w:r>
              <w:rPr>
                <w:noProof/>
                <w:webHidden/>
              </w:rPr>
            </w:r>
            <w:r>
              <w:rPr>
                <w:noProof/>
                <w:webHidden/>
              </w:rPr>
              <w:fldChar w:fldCharType="separate"/>
            </w:r>
            <w:r>
              <w:rPr>
                <w:noProof/>
                <w:webHidden/>
              </w:rPr>
              <w:t>8</w:t>
            </w:r>
            <w:r>
              <w:rPr>
                <w:noProof/>
                <w:webHidden/>
              </w:rPr>
              <w:fldChar w:fldCharType="end"/>
            </w:r>
          </w:hyperlink>
        </w:p>
        <w:p w14:paraId="15C817D1" w14:textId="02FE705B"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53" w:history="1">
            <w:r w:rsidRPr="00637D1E">
              <w:rPr>
                <w:rStyle w:val="Hyperlink"/>
                <w:rFonts w:ascii="Arial" w:hAnsi="Arial" w:cs="Arial"/>
                <w:noProof/>
              </w:rPr>
              <w:t>2.3 Legal and Regulatory Environment</w:t>
            </w:r>
            <w:r>
              <w:rPr>
                <w:noProof/>
                <w:webHidden/>
              </w:rPr>
              <w:tab/>
            </w:r>
            <w:r>
              <w:rPr>
                <w:noProof/>
                <w:webHidden/>
              </w:rPr>
              <w:fldChar w:fldCharType="begin"/>
            </w:r>
            <w:r>
              <w:rPr>
                <w:noProof/>
                <w:webHidden/>
              </w:rPr>
              <w:instrText xml:space="preserve"> PAGEREF _Toc237568553 \h </w:instrText>
            </w:r>
            <w:r>
              <w:rPr>
                <w:noProof/>
                <w:webHidden/>
              </w:rPr>
            </w:r>
            <w:r>
              <w:rPr>
                <w:noProof/>
                <w:webHidden/>
              </w:rPr>
              <w:fldChar w:fldCharType="separate"/>
            </w:r>
            <w:r>
              <w:rPr>
                <w:noProof/>
                <w:webHidden/>
              </w:rPr>
              <w:t>11</w:t>
            </w:r>
            <w:r>
              <w:rPr>
                <w:noProof/>
                <w:webHidden/>
              </w:rPr>
              <w:fldChar w:fldCharType="end"/>
            </w:r>
          </w:hyperlink>
        </w:p>
        <w:p w14:paraId="38467528" w14:textId="1BDEAA9F"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54" w:history="1">
            <w:r w:rsidRPr="00637D1E">
              <w:rPr>
                <w:rStyle w:val="Hyperlink"/>
                <w:rFonts w:ascii="Arial" w:hAnsi="Arial" w:cs="Arial"/>
                <w:noProof/>
              </w:rPr>
              <w:t>2.4 Cultural Environment and Managerial Implications</w:t>
            </w:r>
            <w:r>
              <w:rPr>
                <w:noProof/>
                <w:webHidden/>
              </w:rPr>
              <w:tab/>
            </w:r>
            <w:r>
              <w:rPr>
                <w:noProof/>
                <w:webHidden/>
              </w:rPr>
              <w:fldChar w:fldCharType="begin"/>
            </w:r>
            <w:r>
              <w:rPr>
                <w:noProof/>
                <w:webHidden/>
              </w:rPr>
              <w:instrText xml:space="preserve"> PAGEREF _Toc237568554 \h </w:instrText>
            </w:r>
            <w:r>
              <w:rPr>
                <w:noProof/>
                <w:webHidden/>
              </w:rPr>
            </w:r>
            <w:r>
              <w:rPr>
                <w:noProof/>
                <w:webHidden/>
              </w:rPr>
              <w:fldChar w:fldCharType="separate"/>
            </w:r>
            <w:r>
              <w:rPr>
                <w:noProof/>
                <w:webHidden/>
              </w:rPr>
              <w:t>12</w:t>
            </w:r>
            <w:r>
              <w:rPr>
                <w:noProof/>
                <w:webHidden/>
              </w:rPr>
              <w:fldChar w:fldCharType="end"/>
            </w:r>
          </w:hyperlink>
        </w:p>
        <w:p w14:paraId="02095D45" w14:textId="0360854C"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55" w:history="1">
            <w:r w:rsidRPr="00637D1E">
              <w:rPr>
                <w:rStyle w:val="Hyperlink"/>
                <w:rFonts w:ascii="Arial" w:hAnsi="Arial" w:cs="Arial"/>
                <w:noProof/>
              </w:rPr>
              <w:t>2.5 Overall Market Attractiveness</w:t>
            </w:r>
            <w:r>
              <w:rPr>
                <w:noProof/>
                <w:webHidden/>
              </w:rPr>
              <w:tab/>
            </w:r>
            <w:r>
              <w:rPr>
                <w:noProof/>
                <w:webHidden/>
              </w:rPr>
              <w:fldChar w:fldCharType="begin"/>
            </w:r>
            <w:r>
              <w:rPr>
                <w:noProof/>
                <w:webHidden/>
              </w:rPr>
              <w:instrText xml:space="preserve"> PAGEREF _Toc237568555 \h </w:instrText>
            </w:r>
            <w:r>
              <w:rPr>
                <w:noProof/>
                <w:webHidden/>
              </w:rPr>
            </w:r>
            <w:r>
              <w:rPr>
                <w:noProof/>
                <w:webHidden/>
              </w:rPr>
              <w:fldChar w:fldCharType="separate"/>
            </w:r>
            <w:r>
              <w:rPr>
                <w:noProof/>
                <w:webHidden/>
              </w:rPr>
              <w:t>14</w:t>
            </w:r>
            <w:r>
              <w:rPr>
                <w:noProof/>
                <w:webHidden/>
              </w:rPr>
              <w:fldChar w:fldCharType="end"/>
            </w:r>
          </w:hyperlink>
        </w:p>
        <w:p w14:paraId="3C4BDC76" w14:textId="276B05BD"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56" w:history="1">
            <w:r w:rsidRPr="00637D1E">
              <w:rPr>
                <w:rStyle w:val="Hyperlink"/>
                <w:rFonts w:ascii="Arial" w:hAnsi="Arial" w:cs="Arial"/>
                <w:noProof/>
              </w:rPr>
              <w:t>2.6 Dunning's Eclectic Paradigm: OLI Analysis</w:t>
            </w:r>
            <w:r>
              <w:rPr>
                <w:noProof/>
                <w:webHidden/>
              </w:rPr>
              <w:tab/>
            </w:r>
            <w:r>
              <w:rPr>
                <w:noProof/>
                <w:webHidden/>
              </w:rPr>
              <w:fldChar w:fldCharType="begin"/>
            </w:r>
            <w:r>
              <w:rPr>
                <w:noProof/>
                <w:webHidden/>
              </w:rPr>
              <w:instrText xml:space="preserve"> PAGEREF _Toc237568556 \h </w:instrText>
            </w:r>
            <w:r>
              <w:rPr>
                <w:noProof/>
                <w:webHidden/>
              </w:rPr>
            </w:r>
            <w:r>
              <w:rPr>
                <w:noProof/>
                <w:webHidden/>
              </w:rPr>
              <w:fldChar w:fldCharType="separate"/>
            </w:r>
            <w:r>
              <w:rPr>
                <w:noProof/>
                <w:webHidden/>
              </w:rPr>
              <w:t>15</w:t>
            </w:r>
            <w:r>
              <w:rPr>
                <w:noProof/>
                <w:webHidden/>
              </w:rPr>
              <w:fldChar w:fldCharType="end"/>
            </w:r>
          </w:hyperlink>
        </w:p>
        <w:p w14:paraId="45555DC8" w14:textId="4432C1BE" w:rsidR="00525608" w:rsidRDefault="00525608">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7568557" w:history="1">
            <w:r w:rsidRPr="00637D1E">
              <w:rPr>
                <w:rStyle w:val="Hyperlink"/>
                <w:rFonts w:ascii="Arial" w:hAnsi="Arial" w:cs="Arial"/>
                <w:b/>
                <w:bCs/>
                <w:noProof/>
              </w:rPr>
              <w:t>Ownership Advantages</w:t>
            </w:r>
            <w:r>
              <w:rPr>
                <w:noProof/>
                <w:webHidden/>
              </w:rPr>
              <w:tab/>
            </w:r>
            <w:r>
              <w:rPr>
                <w:noProof/>
                <w:webHidden/>
              </w:rPr>
              <w:fldChar w:fldCharType="begin"/>
            </w:r>
            <w:r>
              <w:rPr>
                <w:noProof/>
                <w:webHidden/>
              </w:rPr>
              <w:instrText xml:space="preserve"> PAGEREF _Toc237568557 \h </w:instrText>
            </w:r>
            <w:r>
              <w:rPr>
                <w:noProof/>
                <w:webHidden/>
              </w:rPr>
            </w:r>
            <w:r>
              <w:rPr>
                <w:noProof/>
                <w:webHidden/>
              </w:rPr>
              <w:fldChar w:fldCharType="separate"/>
            </w:r>
            <w:r>
              <w:rPr>
                <w:noProof/>
                <w:webHidden/>
              </w:rPr>
              <w:t>15</w:t>
            </w:r>
            <w:r>
              <w:rPr>
                <w:noProof/>
                <w:webHidden/>
              </w:rPr>
              <w:fldChar w:fldCharType="end"/>
            </w:r>
          </w:hyperlink>
        </w:p>
        <w:p w14:paraId="76FB9400" w14:textId="20FDA894" w:rsidR="00525608" w:rsidRDefault="00525608">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7568558" w:history="1">
            <w:r w:rsidRPr="00637D1E">
              <w:rPr>
                <w:rStyle w:val="Hyperlink"/>
                <w:rFonts w:ascii="Arial" w:hAnsi="Arial" w:cs="Arial"/>
                <w:b/>
                <w:bCs/>
                <w:noProof/>
              </w:rPr>
              <w:t>Location Advantages</w:t>
            </w:r>
            <w:r>
              <w:rPr>
                <w:noProof/>
                <w:webHidden/>
              </w:rPr>
              <w:tab/>
            </w:r>
            <w:r>
              <w:rPr>
                <w:noProof/>
                <w:webHidden/>
              </w:rPr>
              <w:fldChar w:fldCharType="begin"/>
            </w:r>
            <w:r>
              <w:rPr>
                <w:noProof/>
                <w:webHidden/>
              </w:rPr>
              <w:instrText xml:space="preserve"> PAGEREF _Toc237568558 \h </w:instrText>
            </w:r>
            <w:r>
              <w:rPr>
                <w:noProof/>
                <w:webHidden/>
              </w:rPr>
            </w:r>
            <w:r>
              <w:rPr>
                <w:noProof/>
                <w:webHidden/>
              </w:rPr>
              <w:fldChar w:fldCharType="separate"/>
            </w:r>
            <w:r>
              <w:rPr>
                <w:noProof/>
                <w:webHidden/>
              </w:rPr>
              <w:t>16</w:t>
            </w:r>
            <w:r>
              <w:rPr>
                <w:noProof/>
                <w:webHidden/>
              </w:rPr>
              <w:fldChar w:fldCharType="end"/>
            </w:r>
          </w:hyperlink>
        </w:p>
        <w:p w14:paraId="2C69B5BE" w14:textId="28C5FC48" w:rsidR="00525608" w:rsidRDefault="00525608">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7568559" w:history="1">
            <w:r w:rsidRPr="00637D1E">
              <w:rPr>
                <w:rStyle w:val="Hyperlink"/>
                <w:rFonts w:ascii="Arial" w:hAnsi="Arial" w:cs="Arial"/>
                <w:b/>
                <w:bCs/>
                <w:noProof/>
              </w:rPr>
              <w:t>Internalisation Advantages</w:t>
            </w:r>
            <w:r>
              <w:rPr>
                <w:noProof/>
                <w:webHidden/>
              </w:rPr>
              <w:tab/>
            </w:r>
            <w:r>
              <w:rPr>
                <w:noProof/>
                <w:webHidden/>
              </w:rPr>
              <w:fldChar w:fldCharType="begin"/>
            </w:r>
            <w:r>
              <w:rPr>
                <w:noProof/>
                <w:webHidden/>
              </w:rPr>
              <w:instrText xml:space="preserve"> PAGEREF _Toc237568559 \h </w:instrText>
            </w:r>
            <w:r>
              <w:rPr>
                <w:noProof/>
                <w:webHidden/>
              </w:rPr>
            </w:r>
            <w:r>
              <w:rPr>
                <w:noProof/>
                <w:webHidden/>
              </w:rPr>
              <w:fldChar w:fldCharType="separate"/>
            </w:r>
            <w:r>
              <w:rPr>
                <w:noProof/>
                <w:webHidden/>
              </w:rPr>
              <w:t>16</w:t>
            </w:r>
            <w:r>
              <w:rPr>
                <w:noProof/>
                <w:webHidden/>
              </w:rPr>
              <w:fldChar w:fldCharType="end"/>
            </w:r>
          </w:hyperlink>
        </w:p>
        <w:p w14:paraId="6E6E09AB" w14:textId="26F02185" w:rsidR="00525608" w:rsidRDefault="00525608">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7568560" w:history="1">
            <w:r w:rsidRPr="00637D1E">
              <w:rPr>
                <w:rStyle w:val="Hyperlink"/>
                <w:rFonts w:ascii="Arial" w:hAnsi="Arial" w:cs="Arial"/>
                <w:noProof/>
              </w:rPr>
              <w:t>3: Entry Mode Strategy and Strategic Synthesis</w:t>
            </w:r>
            <w:r>
              <w:rPr>
                <w:noProof/>
                <w:webHidden/>
              </w:rPr>
              <w:tab/>
            </w:r>
            <w:r>
              <w:rPr>
                <w:noProof/>
                <w:webHidden/>
              </w:rPr>
              <w:fldChar w:fldCharType="begin"/>
            </w:r>
            <w:r>
              <w:rPr>
                <w:noProof/>
                <w:webHidden/>
              </w:rPr>
              <w:instrText xml:space="preserve"> PAGEREF _Toc237568560 \h </w:instrText>
            </w:r>
            <w:r>
              <w:rPr>
                <w:noProof/>
                <w:webHidden/>
              </w:rPr>
            </w:r>
            <w:r>
              <w:rPr>
                <w:noProof/>
                <w:webHidden/>
              </w:rPr>
              <w:fldChar w:fldCharType="separate"/>
            </w:r>
            <w:r>
              <w:rPr>
                <w:noProof/>
                <w:webHidden/>
              </w:rPr>
              <w:t>17</w:t>
            </w:r>
            <w:r>
              <w:rPr>
                <w:noProof/>
                <w:webHidden/>
              </w:rPr>
              <w:fldChar w:fldCharType="end"/>
            </w:r>
          </w:hyperlink>
        </w:p>
        <w:p w14:paraId="0E75E88C" w14:textId="48A759D9"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61" w:history="1">
            <w:r w:rsidRPr="00637D1E">
              <w:rPr>
                <w:rStyle w:val="Hyperlink"/>
                <w:rFonts w:ascii="Arial" w:hAnsi="Arial" w:cs="Arial"/>
                <w:noProof/>
              </w:rPr>
              <w:t>3.1 Historical Pattern and Alternative Entry Modes</w:t>
            </w:r>
            <w:r>
              <w:rPr>
                <w:noProof/>
                <w:webHidden/>
              </w:rPr>
              <w:tab/>
            </w:r>
            <w:r>
              <w:rPr>
                <w:noProof/>
                <w:webHidden/>
              </w:rPr>
              <w:fldChar w:fldCharType="begin"/>
            </w:r>
            <w:r>
              <w:rPr>
                <w:noProof/>
                <w:webHidden/>
              </w:rPr>
              <w:instrText xml:space="preserve"> PAGEREF _Toc237568561 \h </w:instrText>
            </w:r>
            <w:r>
              <w:rPr>
                <w:noProof/>
                <w:webHidden/>
              </w:rPr>
            </w:r>
            <w:r>
              <w:rPr>
                <w:noProof/>
                <w:webHidden/>
              </w:rPr>
              <w:fldChar w:fldCharType="separate"/>
            </w:r>
            <w:r>
              <w:rPr>
                <w:noProof/>
                <w:webHidden/>
              </w:rPr>
              <w:t>17</w:t>
            </w:r>
            <w:r>
              <w:rPr>
                <w:noProof/>
                <w:webHidden/>
              </w:rPr>
              <w:fldChar w:fldCharType="end"/>
            </w:r>
          </w:hyperlink>
        </w:p>
        <w:p w14:paraId="5C670D69" w14:textId="35E91C92"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62" w:history="1">
            <w:r w:rsidRPr="00637D1E">
              <w:rPr>
                <w:rStyle w:val="Hyperlink"/>
                <w:rFonts w:ascii="Arial" w:hAnsi="Arial" w:cs="Arial"/>
                <w:noProof/>
              </w:rPr>
              <w:t>3.2 Recommended Entry Strategy</w:t>
            </w:r>
            <w:r>
              <w:rPr>
                <w:noProof/>
                <w:webHidden/>
              </w:rPr>
              <w:tab/>
            </w:r>
            <w:r>
              <w:rPr>
                <w:noProof/>
                <w:webHidden/>
              </w:rPr>
              <w:fldChar w:fldCharType="begin"/>
            </w:r>
            <w:r>
              <w:rPr>
                <w:noProof/>
                <w:webHidden/>
              </w:rPr>
              <w:instrText xml:space="preserve"> PAGEREF _Toc237568562 \h </w:instrText>
            </w:r>
            <w:r>
              <w:rPr>
                <w:noProof/>
                <w:webHidden/>
              </w:rPr>
            </w:r>
            <w:r>
              <w:rPr>
                <w:noProof/>
                <w:webHidden/>
              </w:rPr>
              <w:fldChar w:fldCharType="separate"/>
            </w:r>
            <w:r>
              <w:rPr>
                <w:noProof/>
                <w:webHidden/>
              </w:rPr>
              <w:t>19</w:t>
            </w:r>
            <w:r>
              <w:rPr>
                <w:noProof/>
                <w:webHidden/>
              </w:rPr>
              <w:fldChar w:fldCharType="end"/>
            </w:r>
          </w:hyperlink>
        </w:p>
        <w:p w14:paraId="787A6B14" w14:textId="6F2F6203" w:rsidR="00525608" w:rsidRDefault="00525608">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7568563" w:history="1">
            <w:r w:rsidRPr="00637D1E">
              <w:rPr>
                <w:rStyle w:val="Hyperlink"/>
                <w:rFonts w:ascii="Arial" w:hAnsi="Arial" w:cs="Arial"/>
                <w:noProof/>
              </w:rPr>
              <w:t>Section 2: Reflective Account Using Gibbs' Reflective Cycle</w:t>
            </w:r>
            <w:r>
              <w:rPr>
                <w:noProof/>
                <w:webHidden/>
              </w:rPr>
              <w:tab/>
            </w:r>
            <w:r>
              <w:rPr>
                <w:noProof/>
                <w:webHidden/>
              </w:rPr>
              <w:fldChar w:fldCharType="begin"/>
            </w:r>
            <w:r>
              <w:rPr>
                <w:noProof/>
                <w:webHidden/>
              </w:rPr>
              <w:instrText xml:space="preserve"> PAGEREF _Toc237568563 \h </w:instrText>
            </w:r>
            <w:r>
              <w:rPr>
                <w:noProof/>
                <w:webHidden/>
              </w:rPr>
            </w:r>
            <w:r>
              <w:rPr>
                <w:noProof/>
                <w:webHidden/>
              </w:rPr>
              <w:fldChar w:fldCharType="separate"/>
            </w:r>
            <w:r>
              <w:rPr>
                <w:noProof/>
                <w:webHidden/>
              </w:rPr>
              <w:t>21</w:t>
            </w:r>
            <w:r>
              <w:rPr>
                <w:noProof/>
                <w:webHidden/>
              </w:rPr>
              <w:fldChar w:fldCharType="end"/>
            </w:r>
          </w:hyperlink>
        </w:p>
        <w:p w14:paraId="0B6ADABA" w14:textId="526FD571"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64" w:history="1">
            <w:r w:rsidRPr="00637D1E">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_Toc237568564 \h </w:instrText>
            </w:r>
            <w:r>
              <w:rPr>
                <w:noProof/>
                <w:webHidden/>
              </w:rPr>
            </w:r>
            <w:r>
              <w:rPr>
                <w:noProof/>
                <w:webHidden/>
              </w:rPr>
              <w:fldChar w:fldCharType="separate"/>
            </w:r>
            <w:r>
              <w:rPr>
                <w:noProof/>
                <w:webHidden/>
              </w:rPr>
              <w:t>21</w:t>
            </w:r>
            <w:r>
              <w:rPr>
                <w:noProof/>
                <w:webHidden/>
              </w:rPr>
              <w:fldChar w:fldCharType="end"/>
            </w:r>
          </w:hyperlink>
        </w:p>
        <w:p w14:paraId="1D55B9CF" w14:textId="17B6EADF"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65" w:history="1">
            <w:r w:rsidRPr="00637D1E">
              <w:rPr>
                <w:rStyle w:val="Hyperlink"/>
                <w:rFonts w:ascii="Arial" w:hAnsi="Arial" w:cs="Arial"/>
                <w:noProof/>
              </w:rPr>
              <w:t>Feelings</w:t>
            </w:r>
            <w:r>
              <w:rPr>
                <w:noProof/>
                <w:webHidden/>
              </w:rPr>
              <w:tab/>
            </w:r>
            <w:r>
              <w:rPr>
                <w:noProof/>
                <w:webHidden/>
              </w:rPr>
              <w:fldChar w:fldCharType="begin"/>
            </w:r>
            <w:r>
              <w:rPr>
                <w:noProof/>
                <w:webHidden/>
              </w:rPr>
              <w:instrText xml:space="preserve"> PAGEREF _Toc237568565 \h </w:instrText>
            </w:r>
            <w:r>
              <w:rPr>
                <w:noProof/>
                <w:webHidden/>
              </w:rPr>
            </w:r>
            <w:r>
              <w:rPr>
                <w:noProof/>
                <w:webHidden/>
              </w:rPr>
              <w:fldChar w:fldCharType="separate"/>
            </w:r>
            <w:r>
              <w:rPr>
                <w:noProof/>
                <w:webHidden/>
              </w:rPr>
              <w:t>22</w:t>
            </w:r>
            <w:r>
              <w:rPr>
                <w:noProof/>
                <w:webHidden/>
              </w:rPr>
              <w:fldChar w:fldCharType="end"/>
            </w:r>
          </w:hyperlink>
        </w:p>
        <w:p w14:paraId="7CC6026D" w14:textId="13CB008A"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66" w:history="1">
            <w:r w:rsidRPr="00637D1E">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_Toc237568566 \h </w:instrText>
            </w:r>
            <w:r>
              <w:rPr>
                <w:noProof/>
                <w:webHidden/>
              </w:rPr>
            </w:r>
            <w:r>
              <w:rPr>
                <w:noProof/>
                <w:webHidden/>
              </w:rPr>
              <w:fldChar w:fldCharType="separate"/>
            </w:r>
            <w:r>
              <w:rPr>
                <w:noProof/>
                <w:webHidden/>
              </w:rPr>
              <w:t>22</w:t>
            </w:r>
            <w:r>
              <w:rPr>
                <w:noProof/>
                <w:webHidden/>
              </w:rPr>
              <w:fldChar w:fldCharType="end"/>
            </w:r>
          </w:hyperlink>
        </w:p>
        <w:p w14:paraId="535813B2" w14:textId="5751E9B5"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67" w:history="1">
            <w:r w:rsidRPr="00637D1E">
              <w:rPr>
                <w:rStyle w:val="Hyperlink"/>
                <w:rFonts w:ascii="Arial" w:hAnsi="Arial" w:cs="Arial"/>
                <w:noProof/>
              </w:rPr>
              <w:t>Analysis</w:t>
            </w:r>
            <w:r>
              <w:rPr>
                <w:noProof/>
                <w:webHidden/>
              </w:rPr>
              <w:tab/>
            </w:r>
            <w:r>
              <w:rPr>
                <w:noProof/>
                <w:webHidden/>
              </w:rPr>
              <w:fldChar w:fldCharType="begin"/>
            </w:r>
            <w:r>
              <w:rPr>
                <w:noProof/>
                <w:webHidden/>
              </w:rPr>
              <w:instrText xml:space="preserve"> PAGEREF _Toc237568567 \h </w:instrText>
            </w:r>
            <w:r>
              <w:rPr>
                <w:noProof/>
                <w:webHidden/>
              </w:rPr>
            </w:r>
            <w:r>
              <w:rPr>
                <w:noProof/>
                <w:webHidden/>
              </w:rPr>
              <w:fldChar w:fldCharType="separate"/>
            </w:r>
            <w:r>
              <w:rPr>
                <w:noProof/>
                <w:webHidden/>
              </w:rPr>
              <w:t>23</w:t>
            </w:r>
            <w:r>
              <w:rPr>
                <w:noProof/>
                <w:webHidden/>
              </w:rPr>
              <w:fldChar w:fldCharType="end"/>
            </w:r>
          </w:hyperlink>
        </w:p>
        <w:p w14:paraId="74F8767E" w14:textId="4B270E86"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68" w:history="1">
            <w:r w:rsidRPr="00637D1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_Toc237568568 \h </w:instrText>
            </w:r>
            <w:r>
              <w:rPr>
                <w:noProof/>
                <w:webHidden/>
              </w:rPr>
            </w:r>
            <w:r>
              <w:rPr>
                <w:noProof/>
                <w:webHidden/>
              </w:rPr>
              <w:fldChar w:fldCharType="separate"/>
            </w:r>
            <w:r>
              <w:rPr>
                <w:noProof/>
                <w:webHidden/>
              </w:rPr>
              <w:t>23</w:t>
            </w:r>
            <w:r>
              <w:rPr>
                <w:noProof/>
                <w:webHidden/>
              </w:rPr>
              <w:fldChar w:fldCharType="end"/>
            </w:r>
          </w:hyperlink>
        </w:p>
        <w:p w14:paraId="7AE6B003" w14:textId="21574068"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69" w:history="1">
            <w:r w:rsidRPr="00637D1E">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_Toc237568569 \h </w:instrText>
            </w:r>
            <w:r>
              <w:rPr>
                <w:noProof/>
                <w:webHidden/>
              </w:rPr>
            </w:r>
            <w:r>
              <w:rPr>
                <w:noProof/>
                <w:webHidden/>
              </w:rPr>
              <w:fldChar w:fldCharType="separate"/>
            </w:r>
            <w:r>
              <w:rPr>
                <w:noProof/>
                <w:webHidden/>
              </w:rPr>
              <w:t>24</w:t>
            </w:r>
            <w:r>
              <w:rPr>
                <w:noProof/>
                <w:webHidden/>
              </w:rPr>
              <w:fldChar w:fldCharType="end"/>
            </w:r>
          </w:hyperlink>
        </w:p>
        <w:p w14:paraId="7EFB672F" w14:textId="00AF26BD" w:rsidR="00525608" w:rsidRDefault="00525608">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7568570" w:history="1">
            <w:r w:rsidRPr="00637D1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_Toc237568570 \h </w:instrText>
            </w:r>
            <w:r>
              <w:rPr>
                <w:noProof/>
                <w:webHidden/>
              </w:rPr>
            </w:r>
            <w:r>
              <w:rPr>
                <w:noProof/>
                <w:webHidden/>
              </w:rPr>
              <w:fldChar w:fldCharType="separate"/>
            </w:r>
            <w:r>
              <w:rPr>
                <w:noProof/>
                <w:webHidden/>
              </w:rPr>
              <w:t>25</w:t>
            </w:r>
            <w:r>
              <w:rPr>
                <w:noProof/>
                <w:webHidden/>
              </w:rPr>
              <w:fldChar w:fldCharType="end"/>
            </w:r>
          </w:hyperlink>
        </w:p>
        <w:p w14:paraId="0DB27F45" w14:textId="3F3FB91E" w:rsidR="00525608" w:rsidRDefault="00525608">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7568571" w:history="1">
            <w:r w:rsidRPr="00637D1E">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_Toc237568571 \h </w:instrText>
            </w:r>
            <w:r>
              <w:rPr>
                <w:noProof/>
                <w:webHidden/>
              </w:rPr>
            </w:r>
            <w:r>
              <w:rPr>
                <w:noProof/>
                <w:webHidden/>
              </w:rPr>
              <w:fldChar w:fldCharType="separate"/>
            </w:r>
            <w:r>
              <w:rPr>
                <w:noProof/>
                <w:webHidden/>
              </w:rPr>
              <w:t>29</w:t>
            </w:r>
            <w:r>
              <w:rPr>
                <w:noProof/>
                <w:webHidden/>
              </w:rPr>
              <w:fldChar w:fldCharType="end"/>
            </w:r>
          </w:hyperlink>
        </w:p>
        <w:p w14:paraId="13C94406" w14:textId="3DF58AE9"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72" w:history="1">
            <w:r w:rsidRPr="00637D1E">
              <w:rPr>
                <w:rStyle w:val="Hyperlink"/>
                <w:rFonts w:ascii="Arial" w:hAnsi="Arial" w:cs="Arial"/>
                <w:noProof/>
              </w:rPr>
              <w:t>Appendix A: Vietnam Macro-Environmental Evidence Table</w:t>
            </w:r>
            <w:r>
              <w:rPr>
                <w:noProof/>
                <w:webHidden/>
              </w:rPr>
              <w:tab/>
            </w:r>
            <w:r>
              <w:rPr>
                <w:noProof/>
                <w:webHidden/>
              </w:rPr>
              <w:fldChar w:fldCharType="begin"/>
            </w:r>
            <w:r>
              <w:rPr>
                <w:noProof/>
                <w:webHidden/>
              </w:rPr>
              <w:instrText xml:space="preserve"> PAGEREF _Toc237568572 \h </w:instrText>
            </w:r>
            <w:r>
              <w:rPr>
                <w:noProof/>
                <w:webHidden/>
              </w:rPr>
            </w:r>
            <w:r>
              <w:rPr>
                <w:noProof/>
                <w:webHidden/>
              </w:rPr>
              <w:fldChar w:fldCharType="separate"/>
            </w:r>
            <w:r>
              <w:rPr>
                <w:noProof/>
                <w:webHidden/>
              </w:rPr>
              <w:t>29</w:t>
            </w:r>
            <w:r>
              <w:rPr>
                <w:noProof/>
                <w:webHidden/>
              </w:rPr>
              <w:fldChar w:fldCharType="end"/>
            </w:r>
          </w:hyperlink>
        </w:p>
        <w:p w14:paraId="2B43585F" w14:textId="76C6C300"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73" w:history="1">
            <w:r w:rsidRPr="00637D1E">
              <w:rPr>
                <w:rStyle w:val="Hyperlink"/>
                <w:rFonts w:ascii="Arial" w:hAnsi="Arial" w:cs="Arial"/>
                <w:noProof/>
              </w:rPr>
              <w:t>Appendix B: OLI Framework Summary for TCS–Vietnam</w:t>
            </w:r>
            <w:r>
              <w:rPr>
                <w:noProof/>
                <w:webHidden/>
              </w:rPr>
              <w:tab/>
            </w:r>
            <w:r>
              <w:rPr>
                <w:noProof/>
                <w:webHidden/>
              </w:rPr>
              <w:fldChar w:fldCharType="begin"/>
            </w:r>
            <w:r>
              <w:rPr>
                <w:noProof/>
                <w:webHidden/>
              </w:rPr>
              <w:instrText xml:space="preserve"> PAGEREF _Toc237568573 \h </w:instrText>
            </w:r>
            <w:r>
              <w:rPr>
                <w:noProof/>
                <w:webHidden/>
              </w:rPr>
            </w:r>
            <w:r>
              <w:rPr>
                <w:noProof/>
                <w:webHidden/>
              </w:rPr>
              <w:fldChar w:fldCharType="separate"/>
            </w:r>
            <w:r>
              <w:rPr>
                <w:noProof/>
                <w:webHidden/>
              </w:rPr>
              <w:t>35</w:t>
            </w:r>
            <w:r>
              <w:rPr>
                <w:noProof/>
                <w:webHidden/>
              </w:rPr>
              <w:fldChar w:fldCharType="end"/>
            </w:r>
          </w:hyperlink>
        </w:p>
        <w:p w14:paraId="51A20535" w14:textId="55A387F3"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74" w:history="1">
            <w:r w:rsidRPr="00637D1E">
              <w:rPr>
                <w:rStyle w:val="Hyperlink"/>
                <w:rFonts w:ascii="Arial" w:hAnsi="Arial" w:cs="Arial"/>
                <w:noProof/>
              </w:rPr>
              <w:t>Appendix C: Cultural Comparison Table – India and Vietnam</w:t>
            </w:r>
            <w:r>
              <w:rPr>
                <w:noProof/>
                <w:webHidden/>
              </w:rPr>
              <w:tab/>
            </w:r>
            <w:r>
              <w:rPr>
                <w:noProof/>
                <w:webHidden/>
              </w:rPr>
              <w:fldChar w:fldCharType="begin"/>
            </w:r>
            <w:r>
              <w:rPr>
                <w:noProof/>
                <w:webHidden/>
              </w:rPr>
              <w:instrText xml:space="preserve"> PAGEREF _Toc237568574 \h </w:instrText>
            </w:r>
            <w:r>
              <w:rPr>
                <w:noProof/>
                <w:webHidden/>
              </w:rPr>
            </w:r>
            <w:r>
              <w:rPr>
                <w:noProof/>
                <w:webHidden/>
              </w:rPr>
              <w:fldChar w:fldCharType="separate"/>
            </w:r>
            <w:r>
              <w:rPr>
                <w:noProof/>
                <w:webHidden/>
              </w:rPr>
              <w:t>40</w:t>
            </w:r>
            <w:r>
              <w:rPr>
                <w:noProof/>
                <w:webHidden/>
              </w:rPr>
              <w:fldChar w:fldCharType="end"/>
            </w:r>
          </w:hyperlink>
        </w:p>
        <w:p w14:paraId="4FAEB425" w14:textId="7F8907C3" w:rsidR="00525608" w:rsidRDefault="00525608">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7568575" w:history="1">
            <w:r w:rsidRPr="00637D1E">
              <w:rPr>
                <w:rStyle w:val="Hyperlink"/>
                <w:rFonts w:ascii="Arial" w:hAnsi="Arial" w:cs="Arial"/>
                <w:noProof/>
              </w:rPr>
              <w:t>Appendix D: AI Use Acknowledgement</w:t>
            </w:r>
            <w:r>
              <w:rPr>
                <w:noProof/>
                <w:webHidden/>
              </w:rPr>
              <w:tab/>
            </w:r>
            <w:r>
              <w:rPr>
                <w:noProof/>
                <w:webHidden/>
              </w:rPr>
              <w:fldChar w:fldCharType="begin"/>
            </w:r>
            <w:r>
              <w:rPr>
                <w:noProof/>
                <w:webHidden/>
              </w:rPr>
              <w:instrText xml:space="preserve"> PAGEREF _Toc237568575 \h </w:instrText>
            </w:r>
            <w:r>
              <w:rPr>
                <w:noProof/>
                <w:webHidden/>
              </w:rPr>
            </w:r>
            <w:r>
              <w:rPr>
                <w:noProof/>
                <w:webHidden/>
              </w:rPr>
              <w:fldChar w:fldCharType="separate"/>
            </w:r>
            <w:r>
              <w:rPr>
                <w:noProof/>
                <w:webHidden/>
              </w:rPr>
              <w:t>45</w:t>
            </w:r>
            <w:r>
              <w:rPr>
                <w:noProof/>
                <w:webHidden/>
              </w:rPr>
              <w:fldChar w:fldCharType="end"/>
            </w:r>
          </w:hyperlink>
        </w:p>
        <w:p w14:paraId="324CC938" w14:textId="7C41CCE0" w:rsidR="006C070F" w:rsidRPr="000B5E96" w:rsidRDefault="00350C7C">
          <w:pPr>
            <w:widowControl w:val="0"/>
            <w:tabs>
              <w:tab w:val="right" w:leader="dot" w:pos="12000"/>
            </w:tabs>
            <w:spacing w:before="60"/>
            <w:ind w:left="360"/>
            <w:rPr>
              <w:rFonts w:ascii="Arial" w:hAnsi="Arial" w:cs="Arial"/>
              <w:color w:val="000000"/>
            </w:rPr>
          </w:pPr>
          <w:r w:rsidRPr="000B5E96">
            <w:rPr>
              <w:rFonts w:ascii="Arial" w:hAnsi="Arial" w:cs="Arial"/>
            </w:rPr>
            <w:fldChar w:fldCharType="end"/>
          </w:r>
        </w:p>
      </w:sdtContent>
    </w:sdt>
    <w:p w14:paraId="46D041FC" w14:textId="77777777" w:rsidR="006C070F" w:rsidRPr="000B5E96" w:rsidRDefault="00350C7C">
      <w:pPr>
        <w:rPr>
          <w:rFonts w:ascii="Arial" w:hAnsi="Arial" w:cs="Arial"/>
        </w:rPr>
      </w:pPr>
      <w:r w:rsidRPr="000B5E96">
        <w:rPr>
          <w:rFonts w:ascii="Arial" w:hAnsi="Arial" w:cs="Arial"/>
        </w:rPr>
        <w:br w:type="page"/>
      </w:r>
    </w:p>
    <w:p w14:paraId="67A292A7" w14:textId="77777777" w:rsidR="00C40F0A" w:rsidRDefault="00350C7C">
      <w:pPr>
        <w:pStyle w:val="Heading1"/>
        <w:rPr>
          <w:rFonts w:ascii="Arial" w:hAnsi="Arial" w:cs="Arial"/>
        </w:rPr>
      </w:pPr>
      <w:bookmarkStart w:id="2" w:name="_Toc237568546"/>
      <w:r w:rsidRPr="000B5E96">
        <w:rPr>
          <w:rFonts w:ascii="Arial" w:hAnsi="Arial" w:cs="Arial"/>
        </w:rPr>
        <w:t xml:space="preserve">Section 1: </w:t>
      </w:r>
      <w:r w:rsidR="00C40F0A">
        <w:rPr>
          <w:rFonts w:ascii="Arial" w:hAnsi="Arial" w:cs="Arial"/>
        </w:rPr>
        <w:tab/>
        <w:t>International Business Report</w:t>
      </w:r>
      <w:bookmarkEnd w:id="2"/>
    </w:p>
    <w:p w14:paraId="3E8035D1" w14:textId="1F6558E2" w:rsidR="006C070F" w:rsidRPr="000B5E96" w:rsidRDefault="00C40F0A">
      <w:pPr>
        <w:pStyle w:val="Heading1"/>
        <w:rPr>
          <w:rFonts w:ascii="Arial" w:hAnsi="Arial" w:cs="Arial"/>
        </w:rPr>
      </w:pPr>
      <w:bookmarkStart w:id="3" w:name="_Toc237568547"/>
      <w:r>
        <w:rPr>
          <w:rFonts w:ascii="Arial" w:hAnsi="Arial" w:cs="Arial"/>
        </w:rPr>
        <w:t xml:space="preserve">1. </w:t>
      </w:r>
      <w:r w:rsidR="00350C7C" w:rsidRPr="000B5E96">
        <w:rPr>
          <w:rFonts w:ascii="Arial" w:hAnsi="Arial" w:cs="Arial"/>
        </w:rPr>
        <w:t>Organisational Classification and Global Strategy</w:t>
      </w:r>
      <w:bookmarkEnd w:id="3"/>
    </w:p>
    <w:p w14:paraId="579D6186" w14:textId="77777777" w:rsidR="006C070F" w:rsidRPr="007D6140" w:rsidRDefault="00350C7C">
      <w:pPr>
        <w:pStyle w:val="Heading2"/>
        <w:rPr>
          <w:rFonts w:ascii="Arial" w:hAnsi="Arial" w:cs="Arial"/>
          <w:sz w:val="24"/>
          <w:szCs w:val="24"/>
        </w:rPr>
      </w:pPr>
      <w:bookmarkStart w:id="4" w:name="_Toc237568548"/>
      <w:r w:rsidRPr="007D6140">
        <w:rPr>
          <w:rFonts w:ascii="Arial" w:hAnsi="Arial" w:cs="Arial"/>
          <w:sz w:val="24"/>
          <w:szCs w:val="24"/>
        </w:rPr>
        <w:t>1.1 TCS and the Proposed Vietnam Entry</w:t>
      </w:r>
      <w:bookmarkEnd w:id="4"/>
    </w:p>
    <w:p w14:paraId="20FF372E" w14:textId="78CA5988" w:rsidR="007D6140" w:rsidRPr="007D6140" w:rsidRDefault="007D6140" w:rsidP="007D6140">
      <w:pPr>
        <w:rPr>
          <w:lang w:val="en-IN"/>
        </w:rPr>
      </w:pPr>
      <w:r w:rsidRPr="007D6140">
        <w:rPr>
          <w:noProof/>
          <w:lang w:val="en-IN"/>
        </w:rPr>
        <w:drawing>
          <wp:inline distT="0" distB="0" distL="0" distR="0" wp14:anchorId="0493465E" wp14:editId="2FF6A755">
            <wp:extent cx="5603240" cy="3319780"/>
            <wp:effectExtent l="0" t="0" r="0" b="0"/>
            <wp:docPr id="584987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063" t="6712" r="1207" b="6431"/>
                    <a:stretch>
                      <a:fillRect/>
                    </a:stretch>
                  </pic:blipFill>
                  <pic:spPr bwMode="auto">
                    <a:xfrm>
                      <a:off x="0" y="0"/>
                      <a:ext cx="5603240" cy="3319780"/>
                    </a:xfrm>
                    <a:prstGeom prst="rect">
                      <a:avLst/>
                    </a:prstGeom>
                    <a:noFill/>
                    <a:ln>
                      <a:noFill/>
                    </a:ln>
                    <a:extLst>
                      <a:ext uri="{53640926-AAD7-44D8-BBD7-CCE9431645EC}">
                        <a14:shadowObscured xmlns:a14="http://schemas.microsoft.com/office/drawing/2010/main"/>
                      </a:ext>
                    </a:extLst>
                  </pic:spPr>
                </pic:pic>
              </a:graphicData>
            </a:graphic>
          </wp:inline>
        </w:drawing>
      </w:r>
    </w:p>
    <w:p w14:paraId="361729E3" w14:textId="06E4A46D" w:rsidR="007D6140" w:rsidRDefault="007D6140" w:rsidP="007D6140">
      <w:pPr>
        <w:jc w:val="center"/>
        <w:rPr>
          <w:rFonts w:ascii="Arial" w:hAnsi="Arial" w:cs="Arial"/>
          <w:b/>
          <w:bCs/>
        </w:rPr>
      </w:pPr>
      <w:r w:rsidRPr="007D6140">
        <w:rPr>
          <w:rFonts w:ascii="Arial" w:hAnsi="Arial" w:cs="Arial"/>
          <w:b/>
          <w:bCs/>
        </w:rPr>
        <w:t>Figure 1: TCS Asia-Pacific Footprint &amp; Proposed Vietnam Entry</w:t>
      </w:r>
    </w:p>
    <w:p w14:paraId="4C7D5114" w14:textId="01E9AE08" w:rsidR="007D6140" w:rsidRPr="007D6140" w:rsidRDefault="007D6140" w:rsidP="007D6140">
      <w:pPr>
        <w:jc w:val="center"/>
        <w:rPr>
          <w:rFonts w:ascii="Arial" w:hAnsi="Arial" w:cs="Arial"/>
          <w:b/>
          <w:bCs/>
        </w:rPr>
      </w:pPr>
      <w:r w:rsidRPr="007D6140">
        <w:rPr>
          <w:rFonts w:ascii="Arial" w:hAnsi="Arial" w:cs="Arial"/>
        </w:rPr>
        <w:t>(Source: Author-developed based on Tata Consultancy Services (2025; 2026) Annual Reports.</w:t>
      </w:r>
      <w:r>
        <w:rPr>
          <w:rFonts w:ascii="Arial" w:hAnsi="Arial" w:cs="Arial"/>
        </w:rPr>
        <w:t>)</w:t>
      </w:r>
    </w:p>
    <w:p w14:paraId="4BB34046" w14:textId="77777777" w:rsidR="006C070F" w:rsidRPr="000B5E96" w:rsidRDefault="00350C7C">
      <w:pPr>
        <w:rPr>
          <w:rFonts w:ascii="Arial" w:hAnsi="Arial" w:cs="Arial"/>
        </w:rPr>
      </w:pPr>
      <w:r w:rsidRPr="000B5E96">
        <w:rPr>
          <w:rFonts w:ascii="Arial" w:hAnsi="Arial" w:cs="Arial"/>
        </w:rPr>
        <w:t>Tata Consultancy Services (TCS) is an India-headquartered multinational technology-services company whose activities span consulting, cloud, cybersecurity, artificial intelligence, enterprise platforms, engineering and managed services. In FY2025–26, TCS reported revenue of approximately US$30 billion, total contract value of US$40.7 billion, 584,519 employees representing 149 nationalities, operations across 56 countries and 194 service-delivery centres. These indicators demonstrate both the scale of its ownership advantages and its capacity to internalise complex international delivery activities (Tata Consultancy Services, 2026). Vietnam is proposed as the target market because TCS already maintains substantial Asia-Pacific operations in locations including Singapore, Malaysia, Thailand, Indonesia, the Philippines, Japan and China, while Vietnam is absent from TCS's comparable formal country listing. This makes Vietnam suitable for analysing a prospective market entry rather than expansion within an already substantial TCS operation.</w:t>
      </w:r>
    </w:p>
    <w:p w14:paraId="36B59B2A" w14:textId="77777777" w:rsidR="006C070F" w:rsidRPr="000B5E96" w:rsidRDefault="00350C7C">
      <w:pPr>
        <w:jc w:val="center"/>
        <w:rPr>
          <w:rFonts w:ascii="Arial" w:hAnsi="Arial" w:cs="Arial"/>
        </w:rPr>
      </w:pPr>
      <w:r w:rsidRPr="000B5E96">
        <w:rPr>
          <w:rFonts w:ascii="Arial" w:hAnsi="Arial" w:cs="Arial"/>
          <w:noProof/>
        </w:rPr>
        <w:drawing>
          <wp:inline distT="114300" distB="114300" distL="114300" distR="114300" wp14:anchorId="37940CEF" wp14:editId="45C0FE32">
            <wp:extent cx="5731200" cy="13843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1384300"/>
                    </a:xfrm>
                    <a:prstGeom prst="rect">
                      <a:avLst/>
                    </a:prstGeom>
                    <a:ln/>
                  </pic:spPr>
                </pic:pic>
              </a:graphicData>
            </a:graphic>
          </wp:inline>
        </w:drawing>
      </w:r>
      <w:r w:rsidRPr="000B5E96">
        <w:rPr>
          <w:rFonts w:ascii="Arial" w:hAnsi="Arial" w:cs="Arial"/>
          <w:noProof/>
        </w:rPr>
        <w:drawing>
          <wp:inline distT="114300" distB="114300" distL="114300" distR="114300" wp14:anchorId="17E4A80C" wp14:editId="3A0F8CB5">
            <wp:extent cx="5715000" cy="140017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15000" cy="1400175"/>
                    </a:xfrm>
                    <a:prstGeom prst="rect">
                      <a:avLst/>
                    </a:prstGeom>
                    <a:ln/>
                  </pic:spPr>
                </pic:pic>
              </a:graphicData>
            </a:graphic>
          </wp:inline>
        </w:drawing>
      </w:r>
      <w:r w:rsidRPr="000B5E96">
        <w:rPr>
          <w:rFonts w:ascii="Arial" w:hAnsi="Arial" w:cs="Arial"/>
          <w:noProof/>
        </w:rPr>
        <w:drawing>
          <wp:inline distT="114300" distB="114300" distL="114300" distR="114300" wp14:anchorId="0195C603" wp14:editId="69DA14CA">
            <wp:extent cx="5731200" cy="1384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1384300"/>
                    </a:xfrm>
                    <a:prstGeom prst="rect">
                      <a:avLst/>
                    </a:prstGeom>
                    <a:ln/>
                  </pic:spPr>
                </pic:pic>
              </a:graphicData>
            </a:graphic>
          </wp:inline>
        </w:drawing>
      </w:r>
    </w:p>
    <w:p w14:paraId="700E7D03" w14:textId="54B20A81" w:rsidR="006C070F" w:rsidRPr="000B5E96" w:rsidRDefault="00350C7C">
      <w:pPr>
        <w:jc w:val="center"/>
        <w:rPr>
          <w:rFonts w:ascii="Arial" w:hAnsi="Arial" w:cs="Arial"/>
          <w:b/>
          <w:bCs/>
        </w:rPr>
      </w:pPr>
      <w:r w:rsidRPr="000B5E96">
        <w:rPr>
          <w:rFonts w:ascii="Arial" w:hAnsi="Arial" w:cs="Arial"/>
          <w:b/>
          <w:bCs/>
        </w:rPr>
        <w:t xml:space="preserve">Figure </w:t>
      </w:r>
      <w:r w:rsidR="007D6140">
        <w:rPr>
          <w:rFonts w:ascii="Arial" w:hAnsi="Arial" w:cs="Arial"/>
          <w:b/>
          <w:bCs/>
        </w:rPr>
        <w:t>2</w:t>
      </w:r>
      <w:r w:rsidRPr="000B5E96">
        <w:rPr>
          <w:rFonts w:ascii="Arial" w:hAnsi="Arial" w:cs="Arial"/>
          <w:b/>
          <w:bCs/>
        </w:rPr>
        <w:t>: Financial Data Graphs</w:t>
      </w:r>
    </w:p>
    <w:p w14:paraId="76DEC55C" w14:textId="77777777" w:rsidR="006C070F" w:rsidRDefault="00350C7C">
      <w:pPr>
        <w:jc w:val="center"/>
        <w:rPr>
          <w:rFonts w:ascii="Arial" w:hAnsi="Arial" w:cs="Arial"/>
        </w:rPr>
      </w:pPr>
      <w:r w:rsidRPr="000B5E96">
        <w:rPr>
          <w:rFonts w:ascii="Arial" w:hAnsi="Arial" w:cs="Arial"/>
        </w:rPr>
        <w:t>(Source: TCS, 2025)</w:t>
      </w:r>
    </w:p>
    <w:p w14:paraId="18B21848" w14:textId="77777777" w:rsidR="00616BDA" w:rsidRDefault="00616BDA">
      <w:pPr>
        <w:jc w:val="center"/>
        <w:rPr>
          <w:rFonts w:ascii="Arial" w:hAnsi="Arial" w:cs="Arial"/>
        </w:rPr>
      </w:pPr>
    </w:p>
    <w:p w14:paraId="362D2082" w14:textId="77777777" w:rsidR="00616BDA" w:rsidRDefault="00616BDA">
      <w:pPr>
        <w:jc w:val="center"/>
        <w:rPr>
          <w:rFonts w:ascii="Arial" w:hAnsi="Arial" w:cs="Arial"/>
        </w:rPr>
      </w:pPr>
    </w:p>
    <w:p w14:paraId="23A72F8B" w14:textId="77777777" w:rsidR="00616BDA" w:rsidRDefault="00616BDA">
      <w:pPr>
        <w:jc w:val="center"/>
        <w:rPr>
          <w:rFonts w:ascii="Arial" w:hAnsi="Arial" w:cs="Arial"/>
        </w:rPr>
      </w:pPr>
    </w:p>
    <w:p w14:paraId="2093D25A" w14:textId="77777777" w:rsidR="00616BDA" w:rsidRDefault="00616BDA">
      <w:pPr>
        <w:jc w:val="center"/>
        <w:rPr>
          <w:rFonts w:ascii="Arial" w:hAnsi="Arial" w:cs="Arial"/>
        </w:rPr>
      </w:pPr>
    </w:p>
    <w:p w14:paraId="604E33A0" w14:textId="77777777" w:rsidR="00616BDA" w:rsidRDefault="00616BDA">
      <w:pPr>
        <w:jc w:val="center"/>
        <w:rPr>
          <w:rFonts w:ascii="Arial" w:hAnsi="Arial" w:cs="Arial"/>
        </w:rPr>
      </w:pPr>
    </w:p>
    <w:p w14:paraId="2714C566" w14:textId="77777777" w:rsidR="00616BDA" w:rsidRDefault="00616BDA">
      <w:pPr>
        <w:jc w:val="center"/>
        <w:rPr>
          <w:rFonts w:ascii="Arial" w:hAnsi="Arial" w:cs="Arial"/>
        </w:rPr>
      </w:pPr>
    </w:p>
    <w:p w14:paraId="78163C16" w14:textId="77777777" w:rsidR="00616BDA" w:rsidRPr="000B5E96" w:rsidRDefault="00616BDA">
      <w:pPr>
        <w:jc w:val="center"/>
        <w:rPr>
          <w:rFonts w:ascii="Arial" w:hAnsi="Arial" w:cs="Arial"/>
        </w:rPr>
      </w:pPr>
    </w:p>
    <w:p w14:paraId="5B466291" w14:textId="77777777" w:rsidR="006C070F" w:rsidRDefault="00350C7C">
      <w:pPr>
        <w:pStyle w:val="Heading2"/>
        <w:keepNext w:val="0"/>
        <w:keepLines w:val="0"/>
        <w:rPr>
          <w:rFonts w:ascii="Arial" w:hAnsi="Arial" w:cs="Arial"/>
        </w:rPr>
      </w:pPr>
      <w:bookmarkStart w:id="5" w:name="_Toc237568549"/>
      <w:r w:rsidRPr="000B5E96">
        <w:rPr>
          <w:rFonts w:ascii="Arial" w:hAnsi="Arial" w:cs="Arial"/>
        </w:rPr>
        <w:t>1.2 Strategic Categorisation</w:t>
      </w:r>
      <w:bookmarkEnd w:id="5"/>
    </w:p>
    <w:p w14:paraId="21BABCAE" w14:textId="03CF5014" w:rsidR="007D6140" w:rsidRPr="007D6140" w:rsidRDefault="007D6140" w:rsidP="007D6140">
      <w:pPr>
        <w:rPr>
          <w:lang w:val="en-IN"/>
        </w:rPr>
      </w:pPr>
      <w:r w:rsidRPr="007D6140">
        <w:rPr>
          <w:noProof/>
          <w:lang w:val="en-IN"/>
        </w:rPr>
        <w:drawing>
          <wp:inline distT="0" distB="0" distL="0" distR="0" wp14:anchorId="2ECA4B62" wp14:editId="024E445F">
            <wp:extent cx="5733415" cy="3119967"/>
            <wp:effectExtent l="0" t="0" r="635" b="4445"/>
            <wp:docPr id="18412669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1741" b="6629"/>
                    <a:stretch>
                      <a:fillRect/>
                    </a:stretch>
                  </pic:blipFill>
                  <pic:spPr bwMode="auto">
                    <a:xfrm>
                      <a:off x="0" y="0"/>
                      <a:ext cx="5733415" cy="3119967"/>
                    </a:xfrm>
                    <a:prstGeom prst="rect">
                      <a:avLst/>
                    </a:prstGeom>
                    <a:noFill/>
                    <a:ln>
                      <a:noFill/>
                    </a:ln>
                    <a:extLst>
                      <a:ext uri="{53640926-AAD7-44D8-BBD7-CCE9431645EC}">
                        <a14:shadowObscured xmlns:a14="http://schemas.microsoft.com/office/drawing/2010/main"/>
                      </a:ext>
                    </a:extLst>
                  </pic:spPr>
                </pic:pic>
              </a:graphicData>
            </a:graphic>
          </wp:inline>
        </w:drawing>
      </w:r>
    </w:p>
    <w:p w14:paraId="623C41CF" w14:textId="03E46406" w:rsidR="007D6140" w:rsidRPr="000B5E96" w:rsidRDefault="007D6140" w:rsidP="007D6140">
      <w:pPr>
        <w:jc w:val="center"/>
        <w:rPr>
          <w:rFonts w:ascii="Arial" w:hAnsi="Arial" w:cs="Arial"/>
          <w:b/>
          <w:bCs/>
        </w:rPr>
      </w:pPr>
      <w:r w:rsidRPr="000B5E96">
        <w:rPr>
          <w:rFonts w:ascii="Arial" w:hAnsi="Arial" w:cs="Arial"/>
          <w:b/>
          <w:bCs/>
        </w:rPr>
        <w:t xml:space="preserve">Figure </w:t>
      </w:r>
      <w:r>
        <w:rPr>
          <w:rFonts w:ascii="Arial" w:hAnsi="Arial" w:cs="Arial"/>
          <w:b/>
          <w:bCs/>
        </w:rPr>
        <w:t>3</w:t>
      </w:r>
      <w:r w:rsidRPr="000B5E96">
        <w:rPr>
          <w:rFonts w:ascii="Arial" w:hAnsi="Arial" w:cs="Arial"/>
          <w:b/>
          <w:bCs/>
        </w:rPr>
        <w:t xml:space="preserve">: </w:t>
      </w:r>
      <w:r w:rsidRPr="007D6140">
        <w:rPr>
          <w:rFonts w:ascii="Arial" w:hAnsi="Arial" w:cs="Arial"/>
          <w:b/>
          <w:bCs/>
        </w:rPr>
        <w:t>Bartlett &amp; Ghoshal Integration–Responsiveness Framework: TCS as a Transnational Organisation</w:t>
      </w:r>
    </w:p>
    <w:p w14:paraId="17C1A155" w14:textId="58D3CD25" w:rsidR="007D6140" w:rsidRPr="007D6140" w:rsidRDefault="007D6140" w:rsidP="007D6140">
      <w:pPr>
        <w:jc w:val="center"/>
        <w:rPr>
          <w:rFonts w:ascii="Arial" w:hAnsi="Arial" w:cs="Arial"/>
        </w:rPr>
      </w:pPr>
      <w:r w:rsidRPr="000B5E96">
        <w:rPr>
          <w:rFonts w:ascii="Arial" w:hAnsi="Arial" w:cs="Arial"/>
        </w:rPr>
        <w:t xml:space="preserve">(Source: </w:t>
      </w:r>
      <w:r w:rsidRPr="007D6140">
        <w:rPr>
          <w:rFonts w:ascii="Arial" w:hAnsi="Arial" w:cs="Arial"/>
        </w:rPr>
        <w:t>Source: Adapted from Bartlett and Ghoshal (1989); author application to TCS.</w:t>
      </w:r>
      <w:r w:rsidRPr="000B5E96">
        <w:rPr>
          <w:rFonts w:ascii="Arial" w:hAnsi="Arial" w:cs="Arial"/>
        </w:rPr>
        <w:t>)</w:t>
      </w:r>
    </w:p>
    <w:p w14:paraId="3640302A" w14:textId="77777777" w:rsidR="006C070F" w:rsidRPr="000B5E96" w:rsidRDefault="00350C7C">
      <w:pPr>
        <w:rPr>
          <w:rFonts w:ascii="Arial" w:hAnsi="Arial" w:cs="Arial"/>
        </w:rPr>
      </w:pPr>
      <w:r w:rsidRPr="000B5E96">
        <w:rPr>
          <w:rFonts w:ascii="Arial" w:hAnsi="Arial" w:cs="Arial"/>
        </w:rPr>
        <w:t>Based on the Bartlett and Ghoshal integration-responsiveness logic, TCS can be characterised as being a transnational organisation, as opposed to global or multidomestic. Standardising technology platforms, delivery model, security practice and knowledge base of specialists that transcends borders creates high pressure to integrate globally and TCS is a major player. Nonetheless, it is impossible to achieve success with enterprise technology services by just standardisation since, between host markets, there are regulatory demands, the legacies of client systems, lingo, industry demands, and business relations, which vary. TCS would therefore be an amalgamation of global experience and sizes with local responsive client interaction. The reporting period (2024-25) also reflects bringing TCS as a globally integrated company with potential to reuse technological expertise without losing touch with the specific markets and markets (Tata Consultancy Services, 2025). TCS had 607,979 employees and generated US $30.18 billion in FY2025, which is indicative of high resource intensity on an international scale before the planned Vietnamese expansion.</w:t>
      </w:r>
    </w:p>
    <w:p w14:paraId="57848CC7" w14:textId="77777777" w:rsidR="006C070F" w:rsidRPr="000B5E96" w:rsidRDefault="00350C7C">
      <w:pPr>
        <w:jc w:val="center"/>
        <w:rPr>
          <w:rFonts w:ascii="Arial" w:hAnsi="Arial" w:cs="Arial"/>
          <w:b/>
          <w:bCs/>
        </w:rPr>
      </w:pPr>
      <w:r w:rsidRPr="000B5E96">
        <w:rPr>
          <w:rFonts w:ascii="Arial" w:hAnsi="Arial" w:cs="Arial"/>
          <w:b/>
          <w:bCs/>
          <w:noProof/>
        </w:rPr>
        <w:drawing>
          <wp:inline distT="114300" distB="114300" distL="114300" distR="114300" wp14:anchorId="6E5C6FF5" wp14:editId="6B4008DB">
            <wp:extent cx="2047875" cy="290512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2047875" cy="2905125"/>
                    </a:xfrm>
                    <a:prstGeom prst="rect">
                      <a:avLst/>
                    </a:prstGeom>
                    <a:ln/>
                  </pic:spPr>
                </pic:pic>
              </a:graphicData>
            </a:graphic>
          </wp:inline>
        </w:drawing>
      </w:r>
    </w:p>
    <w:p w14:paraId="1319A01D" w14:textId="3CF5CC10" w:rsidR="006C070F" w:rsidRPr="000B5E96" w:rsidRDefault="00350C7C">
      <w:pPr>
        <w:jc w:val="center"/>
        <w:rPr>
          <w:rFonts w:ascii="Arial" w:hAnsi="Arial" w:cs="Arial"/>
          <w:b/>
          <w:bCs/>
        </w:rPr>
      </w:pPr>
      <w:r w:rsidRPr="000B5E96">
        <w:rPr>
          <w:rFonts w:ascii="Arial" w:hAnsi="Arial" w:cs="Arial"/>
          <w:b/>
          <w:bCs/>
        </w:rPr>
        <w:t xml:space="preserve">Figure </w:t>
      </w:r>
      <w:r w:rsidR="007D6140">
        <w:rPr>
          <w:rFonts w:ascii="Arial" w:hAnsi="Arial" w:cs="Arial"/>
          <w:b/>
          <w:bCs/>
        </w:rPr>
        <w:t>4</w:t>
      </w:r>
      <w:r w:rsidRPr="000B5E96">
        <w:rPr>
          <w:rFonts w:ascii="Arial" w:hAnsi="Arial" w:cs="Arial"/>
          <w:b/>
          <w:bCs/>
        </w:rPr>
        <w:t>: Integrated Business Model</w:t>
      </w:r>
    </w:p>
    <w:p w14:paraId="592028A3" w14:textId="77777777" w:rsidR="006C070F" w:rsidRPr="000B5E96" w:rsidRDefault="00350C7C">
      <w:pPr>
        <w:jc w:val="center"/>
        <w:rPr>
          <w:rFonts w:ascii="Arial" w:hAnsi="Arial" w:cs="Arial"/>
        </w:rPr>
      </w:pPr>
      <w:r w:rsidRPr="000B5E96">
        <w:rPr>
          <w:rFonts w:ascii="Arial" w:hAnsi="Arial" w:cs="Arial"/>
        </w:rPr>
        <w:t>(Source: TCS, 2025)</w:t>
      </w:r>
    </w:p>
    <w:p w14:paraId="41C3E695" w14:textId="77777777" w:rsidR="006C070F" w:rsidRDefault="00350C7C">
      <w:pPr>
        <w:rPr>
          <w:rFonts w:ascii="Arial" w:hAnsi="Arial" w:cs="Arial"/>
        </w:rPr>
      </w:pPr>
      <w:r w:rsidRPr="000B5E96">
        <w:rPr>
          <w:rFonts w:ascii="Arial" w:hAnsi="Arial" w:cs="Arial"/>
        </w:rPr>
        <w:t>Such a setup creates a competitive advantage in a number of ways. The TCS can share the fixed costs of AI, cloud computing, cybersecurity and research with numerous markets due to the global scale. The concept of distributed delivery allows projects to coordinate expertise capability in offshoring with resources that face the clientele in the host economies. The existing cross-industry knowledge also enables transfer of effective technologies and processes amongst customers. TCS declared 5,500 registered patents with 573 AI patents with about ₹2,900 crore of research and innovation investments in FY2026 (Tata Consultancy Services, 2026). Vietnam would thus have to augment this transnational architecture by providing access to markets, language skills, regulatory expertise and skills even as it would remain part of the Indian and broader ASEAN delivery system of TCS. Question one is strategic: is the value of local benefit high enough to justify the expense of providing services to Vietnamese clients at a distance out of the centres that are already available?</w:t>
      </w:r>
    </w:p>
    <w:p w14:paraId="06BF2549" w14:textId="77777777" w:rsidR="00721470" w:rsidRDefault="00721470">
      <w:pPr>
        <w:rPr>
          <w:rFonts w:ascii="Arial" w:hAnsi="Arial" w:cs="Arial"/>
        </w:rPr>
      </w:pPr>
    </w:p>
    <w:p w14:paraId="7CFB2E4D" w14:textId="77777777" w:rsidR="00721470" w:rsidRDefault="00721470">
      <w:pPr>
        <w:rPr>
          <w:rFonts w:ascii="Arial" w:hAnsi="Arial" w:cs="Arial"/>
        </w:rPr>
      </w:pPr>
    </w:p>
    <w:p w14:paraId="2AF289DF" w14:textId="77777777" w:rsidR="00721470" w:rsidRPr="000B5E96" w:rsidRDefault="00721470">
      <w:pPr>
        <w:rPr>
          <w:rFonts w:ascii="Arial" w:hAnsi="Arial" w:cs="Arial"/>
        </w:rPr>
      </w:pPr>
    </w:p>
    <w:p w14:paraId="1371B527" w14:textId="4A81FDA2" w:rsidR="006C070F" w:rsidRDefault="00350C7C">
      <w:pPr>
        <w:pStyle w:val="Heading1"/>
        <w:keepNext w:val="0"/>
        <w:keepLines w:val="0"/>
        <w:rPr>
          <w:rFonts w:ascii="Arial" w:hAnsi="Arial" w:cs="Arial"/>
        </w:rPr>
      </w:pPr>
      <w:bookmarkStart w:id="6" w:name="_Toc237568550"/>
      <w:r w:rsidRPr="00C40F0A">
        <w:rPr>
          <w:rFonts w:ascii="Arial" w:hAnsi="Arial" w:cs="Arial"/>
        </w:rPr>
        <w:t>2: Macro-Environmental Appraisal and Market Attractiveness</w:t>
      </w:r>
      <w:bookmarkEnd w:id="6"/>
    </w:p>
    <w:p w14:paraId="368BB581" w14:textId="5510A4C0" w:rsidR="007D6140" w:rsidRPr="007D6140" w:rsidRDefault="007D6140" w:rsidP="007D6140">
      <w:pPr>
        <w:rPr>
          <w:lang w:val="en-IN"/>
        </w:rPr>
      </w:pPr>
      <w:r w:rsidRPr="007D6140">
        <w:rPr>
          <w:noProof/>
          <w:lang w:val="en-IN"/>
        </w:rPr>
        <w:drawing>
          <wp:inline distT="0" distB="0" distL="0" distR="0" wp14:anchorId="4611DE58" wp14:editId="6890FD23">
            <wp:extent cx="5732780" cy="3289300"/>
            <wp:effectExtent l="0" t="0" r="1270" b="6350"/>
            <wp:docPr id="14113940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7387" b="6543"/>
                    <a:stretch>
                      <a:fillRect/>
                    </a:stretch>
                  </pic:blipFill>
                  <pic:spPr bwMode="auto">
                    <a:xfrm>
                      <a:off x="0" y="0"/>
                      <a:ext cx="5733415" cy="3289664"/>
                    </a:xfrm>
                    <a:prstGeom prst="rect">
                      <a:avLst/>
                    </a:prstGeom>
                    <a:noFill/>
                    <a:ln>
                      <a:noFill/>
                    </a:ln>
                    <a:extLst>
                      <a:ext uri="{53640926-AAD7-44D8-BBD7-CCE9431645EC}">
                        <a14:shadowObscured xmlns:a14="http://schemas.microsoft.com/office/drawing/2010/main"/>
                      </a:ext>
                    </a:extLst>
                  </pic:spPr>
                </pic:pic>
              </a:graphicData>
            </a:graphic>
          </wp:inline>
        </w:drawing>
      </w:r>
    </w:p>
    <w:p w14:paraId="0F510AE9" w14:textId="5951CFB3" w:rsidR="007D6140" w:rsidRPr="000B5E96" w:rsidRDefault="007D6140" w:rsidP="007D6140">
      <w:pPr>
        <w:jc w:val="center"/>
        <w:rPr>
          <w:rFonts w:ascii="Arial" w:hAnsi="Arial" w:cs="Arial"/>
          <w:b/>
          <w:bCs/>
        </w:rPr>
      </w:pPr>
      <w:r w:rsidRPr="000B5E96">
        <w:rPr>
          <w:rFonts w:ascii="Arial" w:hAnsi="Arial" w:cs="Arial"/>
          <w:b/>
          <w:bCs/>
        </w:rPr>
        <w:t xml:space="preserve">Figure </w:t>
      </w:r>
      <w:r>
        <w:rPr>
          <w:rFonts w:ascii="Arial" w:hAnsi="Arial" w:cs="Arial"/>
          <w:b/>
          <w:bCs/>
        </w:rPr>
        <w:t>5</w:t>
      </w:r>
      <w:r w:rsidRPr="000B5E96">
        <w:rPr>
          <w:rFonts w:ascii="Arial" w:hAnsi="Arial" w:cs="Arial"/>
          <w:b/>
          <w:bCs/>
        </w:rPr>
        <w:t xml:space="preserve">: </w:t>
      </w:r>
      <w:r w:rsidRPr="007D6140">
        <w:rPr>
          <w:rFonts w:ascii="Arial" w:hAnsi="Arial" w:cs="Arial"/>
          <w:b/>
          <w:bCs/>
        </w:rPr>
        <w:t>Vietnam PESTLE Analysis Summary – Implications for TCS</w:t>
      </w:r>
    </w:p>
    <w:p w14:paraId="3D7A5221" w14:textId="0481F423" w:rsidR="007D6140" w:rsidRDefault="007D6140" w:rsidP="007D6140">
      <w:pPr>
        <w:jc w:val="center"/>
        <w:rPr>
          <w:rFonts w:ascii="Arial" w:hAnsi="Arial" w:cs="Arial"/>
        </w:rPr>
      </w:pPr>
      <w:r w:rsidRPr="000B5E96">
        <w:rPr>
          <w:rFonts w:ascii="Arial" w:hAnsi="Arial" w:cs="Arial"/>
        </w:rPr>
        <w:t>(Source:</w:t>
      </w:r>
      <w:r>
        <w:rPr>
          <w:rFonts w:ascii="Arial" w:hAnsi="Arial" w:cs="Arial"/>
        </w:rPr>
        <w:t xml:space="preserve"> </w:t>
      </w:r>
      <w:r w:rsidRPr="007D6140">
        <w:rPr>
          <w:rFonts w:ascii="Arial" w:hAnsi="Arial" w:cs="Arial"/>
        </w:rPr>
        <w:t>Author synthesis based on World Bank (2026), Asian Development Bank (2026), OECD (2026), Government of Vietnam (2023), and National Assembly of Vietnam (2024).</w:t>
      </w:r>
      <w:r w:rsidRPr="000B5E96">
        <w:rPr>
          <w:rFonts w:ascii="Arial" w:hAnsi="Arial" w:cs="Arial"/>
        </w:rPr>
        <w:t>)</w:t>
      </w:r>
    </w:p>
    <w:p w14:paraId="22D3FA6A" w14:textId="77777777" w:rsidR="007D6140" w:rsidRPr="007D6140" w:rsidRDefault="007D6140" w:rsidP="007D6140">
      <w:pPr>
        <w:jc w:val="center"/>
        <w:rPr>
          <w:rFonts w:ascii="Arial" w:hAnsi="Arial" w:cs="Arial"/>
        </w:rPr>
      </w:pPr>
    </w:p>
    <w:p w14:paraId="0C3F568A" w14:textId="77777777" w:rsidR="006C070F" w:rsidRPr="00C40F0A" w:rsidRDefault="00350C7C">
      <w:pPr>
        <w:pStyle w:val="Heading2"/>
        <w:keepNext w:val="0"/>
        <w:keepLines w:val="0"/>
        <w:rPr>
          <w:rFonts w:ascii="Arial" w:hAnsi="Arial" w:cs="Arial"/>
        </w:rPr>
      </w:pPr>
      <w:bookmarkStart w:id="7" w:name="_Toc237568551"/>
      <w:r w:rsidRPr="00C40F0A">
        <w:rPr>
          <w:rFonts w:ascii="Arial" w:hAnsi="Arial" w:cs="Arial"/>
        </w:rPr>
        <w:t>2.1 Political and Institutional Environment</w:t>
      </w:r>
      <w:bookmarkEnd w:id="7"/>
    </w:p>
    <w:p w14:paraId="74E7968A" w14:textId="77777777" w:rsidR="006C070F" w:rsidRPr="000B5E96" w:rsidRDefault="00350C7C">
      <w:pPr>
        <w:rPr>
          <w:rFonts w:ascii="Arial" w:hAnsi="Arial" w:cs="Arial"/>
        </w:rPr>
      </w:pPr>
      <w:r w:rsidRPr="000B5E96">
        <w:rPr>
          <w:rFonts w:ascii="Arial" w:hAnsi="Arial" w:cs="Arial"/>
        </w:rPr>
        <w:t>Vietnam has a more consistent line of development that is focused on investment, industrial modernization and digitalization. In the case of TCS, the political issue is not whether Vietnam is politically stable or not, but whether the policy and institutional environment of the country lowers uncertainty of any foreign investor, one dependent on knowledge. The World Bank considers extensive administrative reform and significant reform agenda in Vietnam as key features of the economic context of 2026 and insists that it needs to enhance domestic value creation and productivity (World Bank, 2026). These solutions are complementary to the other offerings of TCS: enterprise modernisation, AI, cloud, and data and cybersecurity.</w:t>
      </w:r>
    </w:p>
    <w:p w14:paraId="738724FD" w14:textId="77777777" w:rsidR="006C070F" w:rsidRPr="000B5E96" w:rsidRDefault="00350C7C">
      <w:pPr>
        <w:rPr>
          <w:rFonts w:ascii="Arial" w:hAnsi="Arial" w:cs="Arial"/>
        </w:rPr>
      </w:pPr>
      <w:r w:rsidRPr="000B5E96">
        <w:rPr>
          <w:rFonts w:ascii="Arial" w:hAnsi="Arial" w:cs="Arial"/>
        </w:rPr>
        <w:t>The conditions in the country however differ in terms of institutions. Ho and Nguyen (2024) discover the role of transparency, land access, informal charges and local labour policy in promoting internationalisation of Vietnamese SMEs is critical. Their results suggest that the performance of institutions on a provincial level can have a significant impact on the business activity. With a sample of Vietnamese firm-levels between 2010 and 2020, Ha et al. (2024) also find that the overall institutional quality has a positive effect on total factor productivity, and one of the most effective institutional factors has to deal with government and the quality of labour policy. TCS thus ought to consider institutional choice i.e. the choice of Hanoi, Ho Chi Minh City or any other technology cluster as an institutional choice and not as a property or labour-cost choice.</w:t>
      </w:r>
    </w:p>
    <w:p w14:paraId="22A2FDAA" w14:textId="77777777" w:rsidR="006C070F" w:rsidRDefault="00350C7C">
      <w:pPr>
        <w:rPr>
          <w:rFonts w:ascii="Arial" w:hAnsi="Arial" w:cs="Arial"/>
        </w:rPr>
      </w:pPr>
      <w:r w:rsidRPr="000B5E96">
        <w:rPr>
          <w:rFonts w:ascii="Arial" w:hAnsi="Arial" w:cs="Arial"/>
        </w:rPr>
        <w:t>The investment pattern of higher quality of FDI favours technology, skills and productivity as well as linkages with domestic companies is gradually being adopted in Vietnam (OECD, 2026). This provides integration of strategy with a TCS investment that includes graduate training, cybersecurity skills, innovation alliances and supplier development. The complication of regulations in respects to certain types of knowledge- and digital-intensive activity, however, remains. As such, TCS cannot be a synonym of a policy that is broadly FDI-conducive and free-flowing implementation. An open procurement controls and strong compliance procedures would be required, as would be a local government-relations capability.</w:t>
      </w:r>
    </w:p>
    <w:p w14:paraId="2936A289" w14:textId="77777777" w:rsidR="00721470" w:rsidRDefault="00721470">
      <w:pPr>
        <w:rPr>
          <w:rFonts w:ascii="Arial" w:hAnsi="Arial" w:cs="Arial"/>
        </w:rPr>
      </w:pPr>
    </w:p>
    <w:p w14:paraId="55DCCFC3" w14:textId="77777777" w:rsidR="00721470" w:rsidRDefault="00721470">
      <w:pPr>
        <w:rPr>
          <w:rFonts w:ascii="Arial" w:hAnsi="Arial" w:cs="Arial"/>
        </w:rPr>
      </w:pPr>
    </w:p>
    <w:p w14:paraId="76E7C291" w14:textId="77777777" w:rsidR="00721470" w:rsidRDefault="00721470">
      <w:pPr>
        <w:rPr>
          <w:rFonts w:ascii="Arial" w:hAnsi="Arial" w:cs="Arial"/>
        </w:rPr>
      </w:pPr>
    </w:p>
    <w:p w14:paraId="6855E46F" w14:textId="77777777" w:rsidR="00721470" w:rsidRDefault="00721470">
      <w:pPr>
        <w:rPr>
          <w:rFonts w:ascii="Arial" w:hAnsi="Arial" w:cs="Arial"/>
        </w:rPr>
      </w:pPr>
    </w:p>
    <w:p w14:paraId="02CF520F" w14:textId="77777777" w:rsidR="00721470" w:rsidRDefault="00721470">
      <w:pPr>
        <w:rPr>
          <w:rFonts w:ascii="Arial" w:hAnsi="Arial" w:cs="Arial"/>
        </w:rPr>
      </w:pPr>
    </w:p>
    <w:p w14:paraId="0A003569" w14:textId="77777777" w:rsidR="00721470" w:rsidRDefault="00721470">
      <w:pPr>
        <w:rPr>
          <w:rFonts w:ascii="Arial" w:hAnsi="Arial" w:cs="Arial"/>
        </w:rPr>
      </w:pPr>
    </w:p>
    <w:p w14:paraId="7B4CE24B" w14:textId="77777777" w:rsidR="00721470" w:rsidRDefault="00721470">
      <w:pPr>
        <w:rPr>
          <w:rFonts w:ascii="Arial" w:hAnsi="Arial" w:cs="Arial"/>
        </w:rPr>
      </w:pPr>
    </w:p>
    <w:p w14:paraId="4FD5BF6F" w14:textId="77777777" w:rsidR="00721470" w:rsidRPr="000B5E96" w:rsidRDefault="00721470">
      <w:pPr>
        <w:rPr>
          <w:rFonts w:ascii="Arial" w:hAnsi="Arial" w:cs="Arial"/>
        </w:rPr>
      </w:pPr>
    </w:p>
    <w:p w14:paraId="61EA310E" w14:textId="77777777" w:rsidR="006C070F" w:rsidRDefault="00350C7C">
      <w:pPr>
        <w:pStyle w:val="Heading2"/>
        <w:keepNext w:val="0"/>
        <w:keepLines w:val="0"/>
        <w:rPr>
          <w:rFonts w:ascii="Arial" w:hAnsi="Arial" w:cs="Arial"/>
        </w:rPr>
      </w:pPr>
      <w:bookmarkStart w:id="8" w:name="_Toc237568552"/>
      <w:r w:rsidRPr="00C40F0A">
        <w:rPr>
          <w:rFonts w:ascii="Arial" w:hAnsi="Arial" w:cs="Arial"/>
        </w:rPr>
        <w:t>2.2 Economic and Digital-Market Attractiveness</w:t>
      </w:r>
      <w:bookmarkEnd w:id="8"/>
    </w:p>
    <w:p w14:paraId="22606FE9" w14:textId="11185995" w:rsidR="007D6140" w:rsidRPr="007D6140" w:rsidRDefault="007D6140" w:rsidP="007D6140">
      <w:pPr>
        <w:rPr>
          <w:lang w:val="en-IN"/>
        </w:rPr>
      </w:pPr>
      <w:r w:rsidRPr="007D6140">
        <w:rPr>
          <w:noProof/>
          <w:lang w:val="en-IN"/>
        </w:rPr>
        <w:drawing>
          <wp:inline distT="0" distB="0" distL="0" distR="0" wp14:anchorId="60687514" wp14:editId="0B9E4314">
            <wp:extent cx="5732984" cy="2989385"/>
            <wp:effectExtent l="0" t="0" r="1270" b="1905"/>
            <wp:docPr id="13290813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5030" b="6751"/>
                    <a:stretch>
                      <a:fillRect/>
                    </a:stretch>
                  </pic:blipFill>
                  <pic:spPr bwMode="auto">
                    <a:xfrm>
                      <a:off x="0" y="0"/>
                      <a:ext cx="5733415" cy="2989610"/>
                    </a:xfrm>
                    <a:prstGeom prst="rect">
                      <a:avLst/>
                    </a:prstGeom>
                    <a:noFill/>
                    <a:ln>
                      <a:noFill/>
                    </a:ln>
                    <a:extLst>
                      <a:ext uri="{53640926-AAD7-44D8-BBD7-CCE9431645EC}">
                        <a14:shadowObscured xmlns:a14="http://schemas.microsoft.com/office/drawing/2010/main"/>
                      </a:ext>
                    </a:extLst>
                  </pic:spPr>
                </pic:pic>
              </a:graphicData>
            </a:graphic>
          </wp:inline>
        </w:drawing>
      </w:r>
    </w:p>
    <w:p w14:paraId="6342AC74" w14:textId="57E8477F" w:rsidR="007D6140" w:rsidRPr="000B5E96" w:rsidRDefault="007D6140" w:rsidP="007D6140">
      <w:pPr>
        <w:jc w:val="center"/>
        <w:rPr>
          <w:rFonts w:ascii="Arial" w:hAnsi="Arial" w:cs="Arial"/>
          <w:b/>
          <w:bCs/>
        </w:rPr>
      </w:pPr>
      <w:r w:rsidRPr="000B5E96">
        <w:rPr>
          <w:rFonts w:ascii="Arial" w:hAnsi="Arial" w:cs="Arial"/>
          <w:b/>
          <w:bCs/>
        </w:rPr>
        <w:t xml:space="preserve">Figure </w:t>
      </w:r>
      <w:r>
        <w:rPr>
          <w:rFonts w:ascii="Arial" w:hAnsi="Arial" w:cs="Arial"/>
          <w:b/>
          <w:bCs/>
        </w:rPr>
        <w:t>6</w:t>
      </w:r>
      <w:r w:rsidRPr="000B5E96">
        <w:rPr>
          <w:rFonts w:ascii="Arial" w:hAnsi="Arial" w:cs="Arial"/>
          <w:b/>
          <w:bCs/>
        </w:rPr>
        <w:t xml:space="preserve">: </w:t>
      </w:r>
      <w:r w:rsidRPr="007D6140">
        <w:rPr>
          <w:rFonts w:ascii="Arial" w:hAnsi="Arial" w:cs="Arial"/>
          <w:b/>
          <w:bCs/>
        </w:rPr>
        <w:t>2026 Vietnam GDP Growth Forecasts Across International Institutions</w:t>
      </w:r>
    </w:p>
    <w:p w14:paraId="058AE4FE" w14:textId="2D8825BB" w:rsidR="007D6140" w:rsidRPr="007D6140" w:rsidRDefault="007D6140" w:rsidP="007D6140">
      <w:pPr>
        <w:jc w:val="center"/>
        <w:rPr>
          <w:rFonts w:ascii="Arial" w:hAnsi="Arial" w:cs="Arial"/>
        </w:rPr>
      </w:pPr>
      <w:r w:rsidRPr="000B5E96">
        <w:rPr>
          <w:rFonts w:ascii="Arial" w:hAnsi="Arial" w:cs="Arial"/>
        </w:rPr>
        <w:t>(Source:</w:t>
      </w:r>
      <w:r>
        <w:rPr>
          <w:rFonts w:ascii="Arial" w:hAnsi="Arial" w:cs="Arial"/>
        </w:rPr>
        <w:t xml:space="preserve"> </w:t>
      </w:r>
      <w:r w:rsidRPr="007D6140">
        <w:rPr>
          <w:rFonts w:ascii="Arial" w:hAnsi="Arial" w:cs="Arial"/>
        </w:rPr>
        <w:t>World Bank (2026); Asian Development Bank (2026); International Monetary Fund (2025).</w:t>
      </w:r>
      <w:r w:rsidR="00D554D2">
        <w:rPr>
          <w:rFonts w:ascii="Arial" w:hAnsi="Arial" w:cs="Arial"/>
        </w:rPr>
        <w:t>)</w:t>
      </w:r>
    </w:p>
    <w:p w14:paraId="7068DF2B" w14:textId="77777777" w:rsidR="006C070F" w:rsidRPr="000B5E96" w:rsidRDefault="00350C7C">
      <w:pPr>
        <w:rPr>
          <w:rFonts w:ascii="Arial" w:hAnsi="Arial" w:cs="Arial"/>
        </w:rPr>
      </w:pPr>
      <w:r w:rsidRPr="000B5E96">
        <w:rPr>
          <w:rFonts w:ascii="Arial" w:hAnsi="Arial" w:cs="Arial"/>
        </w:rPr>
        <w:t xml:space="preserve">Economic development in Vietnam provides a market opportunity of a significant size yet uncertainty in forecasting is still significant. After almost 8.0% increment in 2025, the World Bank forecasted a 6.8% growth in GDP in 2026 (World Bank, 2026). In April 2026, the Asian Development Bank had higher expectations, predicting annual growth of 7.2% and 7.0% in 2026 and 2027, respectively (Asian Development Bank, 2026). Conversely the IMF analysis forecasted as much as 5.6% growth in the year 2026 as there is a lot of uncertainty in international trade and financial factors. By the IMF an equivalent of 2024 current-account surplus was 6.6% of GDP and a forecasted increase of consumer-price inflation of about 3.2% in 2026 (International Monetary Fund, 2025). The difference between </w:t>
      </w:r>
      <w:proofErr w:type="gramStart"/>
      <w:r w:rsidRPr="000B5E96">
        <w:rPr>
          <w:rFonts w:ascii="Arial" w:hAnsi="Arial" w:cs="Arial"/>
        </w:rPr>
        <w:t>a 5.6% and 7.2% growth projections</w:t>
      </w:r>
      <w:proofErr w:type="gramEnd"/>
      <w:r w:rsidRPr="000B5E96">
        <w:rPr>
          <w:rFonts w:ascii="Arial" w:hAnsi="Arial" w:cs="Arial"/>
        </w:rPr>
        <w:t xml:space="preserve"> is tactical. TCS must not develop its investment case based on one rosy forecast. One of the base cases might be growth about the World Bank forecast and the other, down side, modelling takes into account smaller demand of exports and increased cost of financing or energy. Increasing client diversity would also mitigate risk: with domestic banking, retail, telecommunications and government-sector organisations as well as export-oriented manufacturers as clients, there would be less reliance on a single, cyclical industry.</w:t>
      </w:r>
    </w:p>
    <w:p w14:paraId="024662D8" w14:textId="77777777" w:rsidR="006C070F" w:rsidRPr="000B5E96" w:rsidRDefault="00350C7C">
      <w:pPr>
        <w:rPr>
          <w:rFonts w:ascii="Arial" w:hAnsi="Arial" w:cs="Arial"/>
        </w:rPr>
      </w:pPr>
      <w:r w:rsidRPr="000B5E96">
        <w:rPr>
          <w:rFonts w:ascii="Arial" w:hAnsi="Arial" w:cs="Arial"/>
        </w:rPr>
        <w:t xml:space="preserve">The most significant information than the headline GDP is the growth of the digital market in Vietnam. Duc et al. (2024) show how the core and broader digitalised economy has been steadily growing in Vietnam and how they are ambitious to make the digital economy contribute 20 and 30%. of GDP by 2025 and 2030 respectively. This brings about prospective need in the banking, manufacturing, retail, logistics and government on cloud migration, enterprise platforms, automation and AI. In a survey of 456 SMEs within Hanoi, Minh et al. (2024) identified various organisational and environmental factors that impacted digital-transformation intentions. Also, as observed in their study, the majority of businesses within Hanoi, estimated to reach over 97% of the total, were SMEs, indicating that digital demand is not limited to only big companies. Investigating 321 SMEs in southern Vietnam, Trieu, Nguyen and </w:t>
      </w:r>
      <w:proofErr w:type="spellStart"/>
      <w:r w:rsidRPr="000B5E96">
        <w:rPr>
          <w:rFonts w:ascii="Arial" w:hAnsi="Arial" w:cs="Arial"/>
        </w:rPr>
        <w:t>Vrontis</w:t>
      </w:r>
      <w:proofErr w:type="spellEnd"/>
      <w:r w:rsidRPr="000B5E96">
        <w:rPr>
          <w:rFonts w:ascii="Arial" w:hAnsi="Arial" w:cs="Arial"/>
        </w:rPr>
        <w:t xml:space="preserve"> (2025) found that IT adoption similarly indirectly facilitates the performance in terms of innovation and organisational strength, and that the government support helps in creating an enabling digital-transformation environment. This presents ERP modernisation, managed services, cloud-based solutions and digital advisory work opportunities to TCS.</w:t>
      </w:r>
    </w:p>
    <w:p w14:paraId="614AB370" w14:textId="77777777" w:rsidR="006C070F" w:rsidRPr="000B5E96" w:rsidRDefault="00350C7C">
      <w:pPr>
        <w:jc w:val="center"/>
        <w:rPr>
          <w:rFonts w:ascii="Arial" w:hAnsi="Arial" w:cs="Arial"/>
        </w:rPr>
      </w:pPr>
      <w:r w:rsidRPr="000B5E96">
        <w:rPr>
          <w:rFonts w:ascii="Arial" w:hAnsi="Arial" w:cs="Arial"/>
          <w:noProof/>
        </w:rPr>
        <w:drawing>
          <wp:inline distT="114300" distB="114300" distL="114300" distR="114300" wp14:anchorId="12A0A755" wp14:editId="38401F67">
            <wp:extent cx="3724275" cy="26670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3724275" cy="2667000"/>
                    </a:xfrm>
                    <a:prstGeom prst="rect">
                      <a:avLst/>
                    </a:prstGeom>
                    <a:ln/>
                  </pic:spPr>
                </pic:pic>
              </a:graphicData>
            </a:graphic>
          </wp:inline>
        </w:drawing>
      </w:r>
    </w:p>
    <w:p w14:paraId="09D2A7A9" w14:textId="124F7A77" w:rsidR="006C070F" w:rsidRPr="000B5E96" w:rsidRDefault="00350C7C">
      <w:pPr>
        <w:jc w:val="center"/>
        <w:rPr>
          <w:rFonts w:ascii="Arial" w:hAnsi="Arial" w:cs="Arial"/>
          <w:b/>
          <w:bCs/>
        </w:rPr>
      </w:pPr>
      <w:r w:rsidRPr="000B5E96">
        <w:rPr>
          <w:rFonts w:ascii="Arial" w:hAnsi="Arial" w:cs="Arial"/>
          <w:b/>
          <w:bCs/>
        </w:rPr>
        <w:t xml:space="preserve">Figure </w:t>
      </w:r>
      <w:r w:rsidR="00D554D2">
        <w:rPr>
          <w:rFonts w:ascii="Arial" w:hAnsi="Arial" w:cs="Arial"/>
          <w:b/>
          <w:bCs/>
        </w:rPr>
        <w:t>7</w:t>
      </w:r>
      <w:r w:rsidRPr="000B5E96">
        <w:rPr>
          <w:rFonts w:ascii="Arial" w:hAnsi="Arial" w:cs="Arial"/>
          <w:b/>
          <w:bCs/>
        </w:rPr>
        <w:t>: AI Capability</w:t>
      </w:r>
    </w:p>
    <w:p w14:paraId="7176ABF3" w14:textId="77777777" w:rsidR="006C070F" w:rsidRPr="000B5E96" w:rsidRDefault="00350C7C">
      <w:pPr>
        <w:jc w:val="center"/>
        <w:rPr>
          <w:rFonts w:ascii="Arial" w:hAnsi="Arial" w:cs="Arial"/>
        </w:rPr>
      </w:pPr>
      <w:r w:rsidRPr="000B5E96">
        <w:rPr>
          <w:rFonts w:ascii="Arial" w:hAnsi="Arial" w:cs="Arial"/>
        </w:rPr>
        <w:t>(Source: TCS, 2025)</w:t>
      </w:r>
    </w:p>
    <w:p w14:paraId="70AF73E6" w14:textId="77777777" w:rsidR="006C070F" w:rsidRPr="000B5E96" w:rsidRDefault="00350C7C">
      <w:pPr>
        <w:rPr>
          <w:rFonts w:ascii="Arial" w:hAnsi="Arial" w:cs="Arial"/>
        </w:rPr>
      </w:pPr>
      <w:r w:rsidRPr="000B5E96">
        <w:rPr>
          <w:rFonts w:ascii="Arial" w:hAnsi="Arial" w:cs="Arial"/>
        </w:rPr>
        <w:t xml:space="preserve">The other opportunity in the market is artificial intelligence. A survey of 297 people hiring managers, HR directors and top executives of Vietnamese medium-sized enterprises surveyed by Cao and Nguyen (2025) showed that perceived benefits and perceived sacrifice influence the perceived value of AI and hence its adoption. It also depends on the organisational readiness. TCS can thus not afford to position AI as a technological product alone. The combination of data preparations, AI administration, infrastructure, process remaking, staff proficiency and change administration are to be incorporated as services. Dang et al. (2024) also name technological, organisational and environmental conditions, such as leadership, organisational culture, infrastructure and customer orientation, to be significant to Vietnamese digital transformation. The strength of TCS then lies in its capability to offer consulting, implementation and continuing managed services as opposed to just offering </w:t>
      </w:r>
      <w:proofErr w:type="gramStart"/>
      <w:r w:rsidRPr="000B5E96">
        <w:rPr>
          <w:rFonts w:ascii="Arial" w:hAnsi="Arial" w:cs="Arial"/>
        </w:rPr>
        <w:t>low cost</w:t>
      </w:r>
      <w:proofErr w:type="gramEnd"/>
      <w:r w:rsidRPr="000B5E96">
        <w:rPr>
          <w:rFonts w:ascii="Arial" w:hAnsi="Arial" w:cs="Arial"/>
        </w:rPr>
        <w:t xml:space="preserve"> software services.</w:t>
      </w:r>
    </w:p>
    <w:p w14:paraId="15FE2AAE" w14:textId="77777777" w:rsidR="006C070F" w:rsidRDefault="00350C7C">
      <w:pPr>
        <w:rPr>
          <w:rFonts w:ascii="Arial" w:hAnsi="Arial" w:cs="Arial"/>
        </w:rPr>
      </w:pPr>
      <w:r w:rsidRPr="000B5E96">
        <w:rPr>
          <w:rFonts w:ascii="Arial" w:hAnsi="Arial" w:cs="Arial"/>
        </w:rPr>
        <w:t>The human capital is at once simultaneously a locational advantage and major limitation. As reported by Huyen et al. (2024), there is dynamic interlinkages between digitalisation and human capital and economic performance in Vietnam. Likewise, Nguyen and Bui (2024) establish that, with the digital change, trade openness and human capital, income and labour productivity are also improved. Nonetheless, Nguyen and Nguyen (2024) present an ongoing skills gap in Industry 4.0 due to changes in employer demand as a result of automation. This issue is further scaled by evidence by the OECD. Employee training available in Vietnam is only in about 20% of foreign firms as opposed to about 42% within ASEAN and 58% within the OECD economies. By 2030, Vietnam also has set a goal of 80% of its working-age population having basic training in digital-skills (OECD, 2026). In 2023, and 2024, digital greenfield FDI was about 45% of total greenfield FDI, but investment is disproportionately allocated in hardware, as opposed to more valuable digital services. In the case of TCS, this combination forms an enticing gap of demand and investment in digital services, which are increasing, and sophisticated digital-service capacity is still not highly developed. It would then be desirable to develop talents as a market is developed.</w:t>
      </w:r>
    </w:p>
    <w:p w14:paraId="0E6C236F" w14:textId="77777777" w:rsidR="00721470" w:rsidRDefault="00721470">
      <w:pPr>
        <w:rPr>
          <w:rFonts w:ascii="Arial" w:hAnsi="Arial" w:cs="Arial"/>
        </w:rPr>
      </w:pPr>
    </w:p>
    <w:p w14:paraId="4D161ADF" w14:textId="77777777" w:rsidR="00721470" w:rsidRPr="000B5E96" w:rsidRDefault="00721470">
      <w:pPr>
        <w:rPr>
          <w:rFonts w:ascii="Arial" w:hAnsi="Arial" w:cs="Arial"/>
        </w:rPr>
      </w:pPr>
    </w:p>
    <w:p w14:paraId="52B80CE2" w14:textId="77777777" w:rsidR="006C070F" w:rsidRPr="00C40F0A" w:rsidRDefault="00350C7C">
      <w:pPr>
        <w:pStyle w:val="Heading2"/>
        <w:keepNext w:val="0"/>
        <w:keepLines w:val="0"/>
        <w:rPr>
          <w:rFonts w:ascii="Arial" w:hAnsi="Arial" w:cs="Arial"/>
        </w:rPr>
      </w:pPr>
      <w:bookmarkStart w:id="9" w:name="_Toc237568553"/>
      <w:r w:rsidRPr="00C40F0A">
        <w:rPr>
          <w:rFonts w:ascii="Arial" w:hAnsi="Arial" w:cs="Arial"/>
        </w:rPr>
        <w:t>2.3 Legal and Regulatory Environment</w:t>
      </w:r>
      <w:bookmarkEnd w:id="9"/>
    </w:p>
    <w:p w14:paraId="79D3125D" w14:textId="77777777" w:rsidR="006C070F" w:rsidRPr="000B5E96" w:rsidRDefault="00350C7C">
      <w:pPr>
        <w:rPr>
          <w:rFonts w:ascii="Arial" w:hAnsi="Arial" w:cs="Arial"/>
        </w:rPr>
      </w:pPr>
      <w:r w:rsidRPr="000B5E96">
        <w:rPr>
          <w:rFonts w:ascii="Arial" w:hAnsi="Arial" w:cs="Arial"/>
        </w:rPr>
        <w:t xml:space="preserve">The legal environment of Vietnam is of special concern to TCS due to the fact that digital services are inseparable since their functioning requires constant processing of corporate, employee and possibly sensitive personal information. Decree No. 13/2023/ND-CP set certain rules regarding the protection of personal data such as the lawfulness of the processing, transparency as well as limitation of the purpose (Government of Vietnam, 2023). It also controls the outflow of Vietnamese personal data into other countries and mandates parties concerned to keep a record to evaluate the effects of transfer between countries. This has a one-immediate ramification on the normal international delivery model of TCS since a project that is situated in Vietnam may employ the Indian development teams, </w:t>
      </w:r>
      <w:proofErr w:type="gramStart"/>
      <w:r w:rsidRPr="000B5E96">
        <w:rPr>
          <w:rFonts w:ascii="Arial" w:hAnsi="Arial" w:cs="Arial"/>
        </w:rPr>
        <w:t>International</w:t>
      </w:r>
      <w:proofErr w:type="gramEnd"/>
      <w:r w:rsidRPr="000B5E96">
        <w:rPr>
          <w:rFonts w:ascii="Arial" w:hAnsi="Arial" w:cs="Arial"/>
        </w:rPr>
        <w:t xml:space="preserve"> cloud systems or regional support centres.</w:t>
      </w:r>
    </w:p>
    <w:p w14:paraId="317478F1" w14:textId="77777777" w:rsidR="006C070F" w:rsidRPr="000B5E96" w:rsidRDefault="00350C7C">
      <w:pPr>
        <w:rPr>
          <w:rFonts w:ascii="Arial" w:hAnsi="Arial" w:cs="Arial"/>
        </w:rPr>
      </w:pPr>
      <w:r w:rsidRPr="000B5E96">
        <w:rPr>
          <w:rFonts w:ascii="Arial" w:hAnsi="Arial" w:cs="Arial"/>
        </w:rPr>
        <w:t>A new law on Data, Law No. 60/2024/QH15 came into force on 1 July 2025 and governs development, protection, processing and use of digital data and data infrastructure and data-related services (National Assembly of Vietnam, 2024). Cloud architecture, access rights, vendor setups and intercontinental routing must be formulated via a compliance-by-design framework as opposed to post-implementation modifications made in systems. These regulatory requirements increase the initial cost, and at the same time, reaffirm the imperative to direct investment. Controlled Vietnamese subsidiary that would have local legal, cybersecurity and data-protection officers would offer more accountability in comparison to the fragmented third-party contracting.</w:t>
      </w:r>
    </w:p>
    <w:p w14:paraId="5C507277" w14:textId="77777777" w:rsidR="006C070F" w:rsidRPr="000B5E96" w:rsidRDefault="00350C7C">
      <w:pPr>
        <w:rPr>
          <w:rFonts w:ascii="Arial" w:hAnsi="Arial" w:cs="Arial"/>
        </w:rPr>
      </w:pPr>
      <w:r w:rsidRPr="000B5E96">
        <w:rPr>
          <w:rFonts w:ascii="Arial" w:hAnsi="Arial" w:cs="Arial"/>
        </w:rPr>
        <w:t>On the one hand, there are behavioural and, on the other hand, technological issues of cybersecurity. Tran et al. (2025) discover that organisational security policies, training and education have a positive relationship with cybersecurity awareness among Vietnamese employees and that awareness has been shown to have an impact on information-security compliance intentions and protective behaviour. TCS must therefore develop Vietnamese-language computer training, programmes, role-based security and localized incident management guidelines and technologically-based controls. Opportunities to make revenue are created by the same conditions. Vietnam-based organisations that strive to enhance cyber maturity, data control and regulatory adherence could present a potential customer to TCS services offering consulting and managed-security services. The regulation has to be viewed thus as simultaneous operating cost and market-creation mechanism.</w:t>
      </w:r>
    </w:p>
    <w:p w14:paraId="154432EC" w14:textId="77777777" w:rsidR="006C070F" w:rsidRPr="00721470" w:rsidRDefault="00350C7C">
      <w:pPr>
        <w:pStyle w:val="Heading2"/>
        <w:keepNext w:val="0"/>
        <w:keepLines w:val="0"/>
        <w:rPr>
          <w:rFonts w:ascii="Arial" w:hAnsi="Arial" w:cs="Arial"/>
        </w:rPr>
      </w:pPr>
      <w:bookmarkStart w:id="10" w:name="_Toc237568554"/>
      <w:r w:rsidRPr="00721470">
        <w:rPr>
          <w:rFonts w:ascii="Arial" w:hAnsi="Arial" w:cs="Arial"/>
        </w:rPr>
        <w:t>2.4 Cultural Environment and Managerial Implications</w:t>
      </w:r>
      <w:bookmarkEnd w:id="10"/>
    </w:p>
    <w:p w14:paraId="74624C97" w14:textId="05591CC8" w:rsidR="006C070F" w:rsidRPr="000B5E96" w:rsidRDefault="00350C7C">
      <w:pPr>
        <w:rPr>
          <w:rFonts w:ascii="Arial" w:hAnsi="Arial" w:cs="Arial"/>
        </w:rPr>
      </w:pPr>
      <w:r w:rsidRPr="000B5E96">
        <w:rPr>
          <w:rFonts w:ascii="Arial" w:hAnsi="Arial" w:cs="Arial"/>
        </w:rPr>
        <w:t xml:space="preserve">The conditions of culture are also strategic to TCS due to the fact that the services of consultancy and technologies require constant interaction of the employees, managers and clients. The culture of Vietnam has the following influences; hierarchy, collectivism, relationship orientation, indirect communication, language and the value that face should be maintained. The similarity between India and Vietnam are in terms of relative hierarchical and </w:t>
      </w:r>
      <w:proofErr w:type="gramStart"/>
      <w:r w:rsidRPr="000B5E96">
        <w:rPr>
          <w:rFonts w:ascii="Arial" w:hAnsi="Arial" w:cs="Arial"/>
        </w:rPr>
        <w:t>relationship oriented</w:t>
      </w:r>
      <w:proofErr w:type="gramEnd"/>
      <w:r w:rsidRPr="000B5E96">
        <w:rPr>
          <w:rFonts w:ascii="Arial" w:hAnsi="Arial" w:cs="Arial"/>
        </w:rPr>
        <w:t xml:space="preserve"> business attributes but that does not mean that the culture is similar. Even variations in communication, feedback, negotiation and place of work expectations might lead to friction in operations. Hierarchy can help to clarify roles, respect technical expertise, yet too heavy a top-down expatriate system may lead to the Vietnamese employee not challenging the senior managers. In the case of TCS, this poses a specific threat to software development and cybersecurity, with a timely escalation of flaws or security issues creating major project failures. TCS should consequently maintain firm control mechanisms and innovative secret reporting lines, systematic outlook and leadership </w:t>
      </w:r>
      <w:r w:rsidR="00721470" w:rsidRPr="000B5E96">
        <w:rPr>
          <w:rFonts w:ascii="Arial" w:hAnsi="Arial" w:cs="Arial"/>
        </w:rPr>
        <w:t>behaviour</w:t>
      </w:r>
      <w:r w:rsidRPr="000B5E96">
        <w:rPr>
          <w:rFonts w:ascii="Arial" w:hAnsi="Arial" w:cs="Arial"/>
        </w:rPr>
        <w:t xml:space="preserve"> that expressly promote constructive challenge.</w:t>
      </w:r>
    </w:p>
    <w:p w14:paraId="7A213A48" w14:textId="77777777" w:rsidR="006C070F" w:rsidRPr="000B5E96" w:rsidRDefault="00350C7C">
      <w:pPr>
        <w:rPr>
          <w:rFonts w:ascii="Arial" w:hAnsi="Arial" w:cs="Arial"/>
        </w:rPr>
      </w:pPr>
      <w:r w:rsidRPr="000B5E96">
        <w:rPr>
          <w:rFonts w:ascii="Arial" w:hAnsi="Arial" w:cs="Arial"/>
        </w:rPr>
        <w:t xml:space="preserve">The tendency to collectivism and relationship orientation also can be helpful in long-term client model of TCS due to the possibility of more effective trust, continuity and reputation, rather than transactional type of selling. TCS already has numerous long-run client relationships which facilitates this strategic fit (Tata Consultancy Services, 2026). Connection orientation is however able to delay decision making in case consensus and trust building is not taken seriously. The </w:t>
      </w:r>
      <w:proofErr w:type="gramStart"/>
      <w:r w:rsidRPr="000B5E96">
        <w:rPr>
          <w:rFonts w:ascii="Arial" w:hAnsi="Arial" w:cs="Arial"/>
        </w:rPr>
        <w:t>top notch</w:t>
      </w:r>
      <w:proofErr w:type="gramEnd"/>
      <w:r w:rsidRPr="000B5E96">
        <w:rPr>
          <w:rFonts w:ascii="Arial" w:hAnsi="Arial" w:cs="Arial"/>
        </w:rPr>
        <w:t xml:space="preserve"> Vietnamese managers are therefore supposed to be taken part in the county leadership to make sense out of the local expectations during negotiations, staff interactions and government interactions. Another practical limitation is the language. TCS has English intensive global delivery systems, but the extents of business-English confidence can influence the involvement in meeting and technical escalation. This risk would be minimized by bilingual outward facing positions, language training and cultural orientation of expatriates. Equally, face can be maintained which deters open opposition. More culturally appropriate would be personal, evidence-based feedback which, however, would cause too much conflict avoidance and, as a result, would compromise agile development. Respectful challenge should thus be the desired goal and not silence.</w:t>
      </w:r>
    </w:p>
    <w:p w14:paraId="67C5DF0E" w14:textId="77777777" w:rsidR="006C070F" w:rsidRPr="000B5E96" w:rsidRDefault="00350C7C">
      <w:pPr>
        <w:rPr>
          <w:rFonts w:ascii="Arial" w:hAnsi="Arial" w:cs="Arial"/>
        </w:rPr>
      </w:pPr>
      <w:r w:rsidRPr="000B5E96">
        <w:rPr>
          <w:rFonts w:ascii="Arial" w:hAnsi="Arial" w:cs="Arial"/>
        </w:rPr>
        <w:t>As demonstrated by Duy and Hieu (2025), multinational leaders become more effective as they make their communication, conflict resolution and decision making more compliant to cultural anticipations. This contributes a model of a bicultural leadership where Vietnamese managers will be cultural brokers to local teams, the Indian delivery leaders and the global clients. There is also influence of culture on technology. Dang et al. (2024) place leadership and organisational culture as highly important factors in the digital transformation, whereas Cao and Nguyen (2025) indicate that organisational readiness impacts AI uptake. Therefore, the risk that TCS can take is that technically better solutions, be it the case, are going to be readily adopted. This should be implemented with high sponsorship by the senior, communication to the staff, training, consensus building, and gradual demonstrations of value. National culture cannot, however, be dealt with in a deterministic manner. Professionals, highly-educated employees and staff that worked in foreign-owned companies might not be following convention manners of the different cultures. TCS must then adopt the concept of global standards, local interaction: the global standards of cybersecurity, ethics and delivery standards are similar, whereas locally, communication, coaching, recognition, and engagement with stakeholders will be varied.</w:t>
      </w:r>
    </w:p>
    <w:p w14:paraId="2D0B0284" w14:textId="77777777" w:rsidR="006C070F" w:rsidRPr="00C40F0A" w:rsidRDefault="00350C7C">
      <w:pPr>
        <w:pStyle w:val="Heading2"/>
        <w:keepNext w:val="0"/>
        <w:keepLines w:val="0"/>
        <w:rPr>
          <w:rFonts w:ascii="Arial" w:hAnsi="Arial" w:cs="Arial"/>
        </w:rPr>
      </w:pPr>
      <w:bookmarkStart w:id="11" w:name="_Toc237568555"/>
      <w:r w:rsidRPr="00C40F0A">
        <w:rPr>
          <w:rFonts w:ascii="Arial" w:hAnsi="Arial" w:cs="Arial"/>
        </w:rPr>
        <w:t>2.5 Overall Market Attractiveness</w:t>
      </w:r>
      <w:bookmarkEnd w:id="11"/>
    </w:p>
    <w:p w14:paraId="1A6C410C" w14:textId="77777777" w:rsidR="006C070F" w:rsidRPr="000B5E96" w:rsidRDefault="00350C7C">
      <w:pPr>
        <w:rPr>
          <w:rFonts w:ascii="Arial" w:hAnsi="Arial" w:cs="Arial"/>
        </w:rPr>
      </w:pPr>
      <w:r w:rsidRPr="000B5E96">
        <w:rPr>
          <w:rFonts w:ascii="Arial" w:hAnsi="Arial" w:cs="Arial"/>
        </w:rPr>
        <w:t>The aggregate evidence indicates that Vietnam is a good place but the opportunity is not automatic but depends on capability.</w:t>
      </w:r>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9"/>
        <w:gridCol w:w="2032"/>
        <w:gridCol w:w="2075"/>
        <w:gridCol w:w="2799"/>
      </w:tblGrid>
      <w:tr w:rsidR="006C070F" w:rsidRPr="000B5E96" w14:paraId="5F74B656" w14:textId="77777777">
        <w:trPr>
          <w:trHeight w:val="1040"/>
        </w:trPr>
        <w:tc>
          <w:tcPr>
            <w:tcW w:w="2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081A96" w14:textId="77777777" w:rsidR="006C070F" w:rsidRPr="000B5E96" w:rsidRDefault="00350C7C">
            <w:pPr>
              <w:rPr>
                <w:rFonts w:ascii="Arial" w:hAnsi="Arial" w:cs="Arial"/>
              </w:rPr>
            </w:pPr>
            <w:r w:rsidRPr="000B5E96">
              <w:rPr>
                <w:rFonts w:ascii="Arial" w:hAnsi="Arial" w:cs="Arial"/>
                <w:b/>
                <w:bCs/>
              </w:rPr>
              <w:t>Dimension</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0D34B" w14:textId="77777777" w:rsidR="006C070F" w:rsidRPr="000B5E96" w:rsidRDefault="00350C7C">
            <w:pPr>
              <w:rPr>
                <w:rFonts w:ascii="Arial" w:hAnsi="Arial" w:cs="Arial"/>
              </w:rPr>
            </w:pPr>
            <w:r w:rsidRPr="000B5E96">
              <w:rPr>
                <w:rFonts w:ascii="Arial" w:hAnsi="Arial" w:cs="Arial"/>
                <w:b/>
                <w:bCs/>
              </w:rPr>
              <w:t>Major opportunity for TCS</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E6C62E" w14:textId="77777777" w:rsidR="006C070F" w:rsidRPr="000B5E96" w:rsidRDefault="00350C7C">
            <w:pPr>
              <w:rPr>
                <w:rFonts w:ascii="Arial" w:hAnsi="Arial" w:cs="Arial"/>
              </w:rPr>
            </w:pPr>
            <w:r w:rsidRPr="000B5E96">
              <w:rPr>
                <w:rFonts w:ascii="Arial" w:hAnsi="Arial" w:cs="Arial"/>
                <w:b/>
                <w:bCs/>
              </w:rPr>
              <w:t>Main risk/constraint</w:t>
            </w:r>
          </w:p>
        </w:tc>
        <w:tc>
          <w:tcPr>
            <w:tcW w:w="27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4D95B2" w14:textId="77777777" w:rsidR="006C070F" w:rsidRPr="000B5E96" w:rsidRDefault="00350C7C">
            <w:pPr>
              <w:rPr>
                <w:rFonts w:ascii="Arial" w:hAnsi="Arial" w:cs="Arial"/>
              </w:rPr>
            </w:pPr>
            <w:r w:rsidRPr="000B5E96">
              <w:rPr>
                <w:rFonts w:ascii="Arial" w:hAnsi="Arial" w:cs="Arial"/>
                <w:b/>
                <w:bCs/>
              </w:rPr>
              <w:t>Appropriate response</w:t>
            </w:r>
          </w:p>
        </w:tc>
      </w:tr>
      <w:tr w:rsidR="006C070F" w:rsidRPr="000B5E96" w14:paraId="07C45A6E" w14:textId="77777777">
        <w:trPr>
          <w:trHeight w:val="1040"/>
        </w:trPr>
        <w:tc>
          <w:tcPr>
            <w:tcW w:w="2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83F802" w14:textId="77777777" w:rsidR="006C070F" w:rsidRPr="000B5E96" w:rsidRDefault="00350C7C">
            <w:pPr>
              <w:rPr>
                <w:rFonts w:ascii="Arial" w:hAnsi="Arial" w:cs="Arial"/>
              </w:rPr>
            </w:pPr>
            <w:r w:rsidRPr="000B5E96">
              <w:rPr>
                <w:rFonts w:ascii="Arial" w:hAnsi="Arial" w:cs="Arial"/>
              </w:rPr>
              <w:t>Political/institutional</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E1462" w14:textId="77777777" w:rsidR="006C070F" w:rsidRPr="000B5E96" w:rsidRDefault="00350C7C">
            <w:pPr>
              <w:rPr>
                <w:rFonts w:ascii="Arial" w:hAnsi="Arial" w:cs="Arial"/>
              </w:rPr>
            </w:pPr>
            <w:r w:rsidRPr="000B5E96">
              <w:rPr>
                <w:rFonts w:ascii="Arial" w:hAnsi="Arial" w:cs="Arial"/>
              </w:rPr>
              <w:t>Reform and higher-quality FDI orientation</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F0BB28" w14:textId="77777777" w:rsidR="006C070F" w:rsidRPr="000B5E96" w:rsidRDefault="00350C7C">
            <w:pPr>
              <w:rPr>
                <w:rFonts w:ascii="Arial" w:hAnsi="Arial" w:cs="Arial"/>
              </w:rPr>
            </w:pPr>
            <w:r w:rsidRPr="000B5E96">
              <w:rPr>
                <w:rFonts w:ascii="Arial" w:hAnsi="Arial" w:cs="Arial"/>
              </w:rPr>
              <w:t>Uneven implementation</w:t>
            </w:r>
          </w:p>
        </w:tc>
        <w:tc>
          <w:tcPr>
            <w:tcW w:w="27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48D947" w14:textId="77777777" w:rsidR="006C070F" w:rsidRPr="000B5E96" w:rsidRDefault="00350C7C">
            <w:pPr>
              <w:rPr>
                <w:rFonts w:ascii="Arial" w:hAnsi="Arial" w:cs="Arial"/>
              </w:rPr>
            </w:pPr>
            <w:r w:rsidRPr="000B5E96">
              <w:rPr>
                <w:rFonts w:ascii="Arial" w:hAnsi="Arial" w:cs="Arial"/>
              </w:rPr>
              <w:t>Local compliance/government capability</w:t>
            </w:r>
          </w:p>
        </w:tc>
      </w:tr>
      <w:tr w:rsidR="006C070F" w:rsidRPr="000B5E96" w14:paraId="70729B40" w14:textId="77777777">
        <w:trPr>
          <w:trHeight w:val="1040"/>
        </w:trPr>
        <w:tc>
          <w:tcPr>
            <w:tcW w:w="2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DD514" w14:textId="77777777" w:rsidR="006C070F" w:rsidRPr="000B5E96" w:rsidRDefault="00350C7C">
            <w:pPr>
              <w:rPr>
                <w:rFonts w:ascii="Arial" w:hAnsi="Arial" w:cs="Arial"/>
              </w:rPr>
            </w:pPr>
            <w:r w:rsidRPr="000B5E96">
              <w:rPr>
                <w:rFonts w:ascii="Arial" w:hAnsi="Arial" w:cs="Arial"/>
              </w:rPr>
              <w:t>Economic</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40CB2" w14:textId="77777777" w:rsidR="006C070F" w:rsidRPr="000B5E96" w:rsidRDefault="00350C7C">
            <w:pPr>
              <w:rPr>
                <w:rFonts w:ascii="Arial" w:hAnsi="Arial" w:cs="Arial"/>
              </w:rPr>
            </w:pPr>
            <w:r w:rsidRPr="000B5E96">
              <w:rPr>
                <w:rFonts w:ascii="Arial" w:hAnsi="Arial" w:cs="Arial"/>
              </w:rPr>
              <w:t>High growth and expanding digital demand</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17FDDA" w14:textId="77777777" w:rsidR="006C070F" w:rsidRPr="000B5E96" w:rsidRDefault="00350C7C">
            <w:pPr>
              <w:rPr>
                <w:rFonts w:ascii="Arial" w:hAnsi="Arial" w:cs="Arial"/>
              </w:rPr>
            </w:pPr>
            <w:r w:rsidRPr="000B5E96">
              <w:rPr>
                <w:rFonts w:ascii="Arial" w:hAnsi="Arial" w:cs="Arial"/>
              </w:rPr>
              <w:t>External volatility</w:t>
            </w:r>
          </w:p>
        </w:tc>
        <w:tc>
          <w:tcPr>
            <w:tcW w:w="27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727154" w14:textId="77777777" w:rsidR="006C070F" w:rsidRPr="000B5E96" w:rsidRDefault="00350C7C">
            <w:pPr>
              <w:rPr>
                <w:rFonts w:ascii="Arial" w:hAnsi="Arial" w:cs="Arial"/>
              </w:rPr>
            </w:pPr>
            <w:r w:rsidRPr="000B5E96">
              <w:rPr>
                <w:rFonts w:ascii="Arial" w:hAnsi="Arial" w:cs="Arial"/>
              </w:rPr>
              <w:t>Phased investment and client diversification</w:t>
            </w:r>
          </w:p>
        </w:tc>
      </w:tr>
      <w:tr w:rsidR="006C070F" w:rsidRPr="000B5E96" w14:paraId="307986C1" w14:textId="77777777">
        <w:trPr>
          <w:trHeight w:val="770"/>
        </w:trPr>
        <w:tc>
          <w:tcPr>
            <w:tcW w:w="2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ACA47" w14:textId="77777777" w:rsidR="006C070F" w:rsidRPr="000B5E96" w:rsidRDefault="00350C7C">
            <w:pPr>
              <w:rPr>
                <w:rFonts w:ascii="Arial" w:hAnsi="Arial" w:cs="Arial"/>
              </w:rPr>
            </w:pPr>
            <w:r w:rsidRPr="000B5E96">
              <w:rPr>
                <w:rFonts w:ascii="Arial" w:hAnsi="Arial" w:cs="Arial"/>
              </w:rPr>
              <w:t>Legal</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EEF283" w14:textId="77777777" w:rsidR="006C070F" w:rsidRPr="000B5E96" w:rsidRDefault="00350C7C">
            <w:pPr>
              <w:rPr>
                <w:rFonts w:ascii="Arial" w:hAnsi="Arial" w:cs="Arial"/>
              </w:rPr>
            </w:pPr>
            <w:r w:rsidRPr="000B5E96">
              <w:rPr>
                <w:rFonts w:ascii="Arial" w:hAnsi="Arial" w:cs="Arial"/>
              </w:rPr>
              <w:t>More developed data rules</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DA7B03" w14:textId="77777777" w:rsidR="006C070F" w:rsidRPr="000B5E96" w:rsidRDefault="00350C7C">
            <w:pPr>
              <w:rPr>
                <w:rFonts w:ascii="Arial" w:hAnsi="Arial" w:cs="Arial"/>
              </w:rPr>
            </w:pPr>
            <w:r w:rsidRPr="000B5E96">
              <w:rPr>
                <w:rFonts w:ascii="Arial" w:hAnsi="Arial" w:cs="Arial"/>
              </w:rPr>
              <w:t>Cross-border-data obligations</w:t>
            </w:r>
          </w:p>
        </w:tc>
        <w:tc>
          <w:tcPr>
            <w:tcW w:w="27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DD964" w14:textId="77777777" w:rsidR="006C070F" w:rsidRPr="000B5E96" w:rsidRDefault="00350C7C">
            <w:pPr>
              <w:rPr>
                <w:rFonts w:ascii="Arial" w:hAnsi="Arial" w:cs="Arial"/>
              </w:rPr>
            </w:pPr>
            <w:r w:rsidRPr="000B5E96">
              <w:rPr>
                <w:rFonts w:ascii="Arial" w:hAnsi="Arial" w:cs="Arial"/>
              </w:rPr>
              <w:t>Privacy-by-design delivery</w:t>
            </w:r>
          </w:p>
        </w:tc>
      </w:tr>
      <w:tr w:rsidR="006C070F" w:rsidRPr="000B5E96" w14:paraId="67CFBB06" w14:textId="77777777">
        <w:trPr>
          <w:trHeight w:val="770"/>
        </w:trPr>
        <w:tc>
          <w:tcPr>
            <w:tcW w:w="2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336125" w14:textId="77777777" w:rsidR="006C070F" w:rsidRPr="000B5E96" w:rsidRDefault="00350C7C">
            <w:pPr>
              <w:rPr>
                <w:rFonts w:ascii="Arial" w:hAnsi="Arial" w:cs="Arial"/>
              </w:rPr>
            </w:pPr>
            <w:r w:rsidRPr="000B5E96">
              <w:rPr>
                <w:rFonts w:ascii="Arial" w:hAnsi="Arial" w:cs="Arial"/>
              </w:rPr>
              <w:t>Cultural</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22A9C5" w14:textId="77777777" w:rsidR="006C070F" w:rsidRPr="000B5E96" w:rsidRDefault="00350C7C">
            <w:pPr>
              <w:rPr>
                <w:rFonts w:ascii="Arial" w:hAnsi="Arial" w:cs="Arial"/>
              </w:rPr>
            </w:pPr>
            <w:r w:rsidRPr="000B5E96">
              <w:rPr>
                <w:rFonts w:ascii="Arial" w:hAnsi="Arial" w:cs="Arial"/>
              </w:rPr>
              <w:t>Relationship-based long-term business</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7E8E6" w14:textId="77777777" w:rsidR="006C070F" w:rsidRPr="000B5E96" w:rsidRDefault="00350C7C">
            <w:pPr>
              <w:rPr>
                <w:rFonts w:ascii="Arial" w:hAnsi="Arial" w:cs="Arial"/>
              </w:rPr>
            </w:pPr>
            <w:r w:rsidRPr="000B5E96">
              <w:rPr>
                <w:rFonts w:ascii="Arial" w:hAnsi="Arial" w:cs="Arial"/>
              </w:rPr>
              <w:t>Hierarchy, face and language barriers</w:t>
            </w:r>
          </w:p>
        </w:tc>
        <w:tc>
          <w:tcPr>
            <w:tcW w:w="27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0E7CA0" w14:textId="77777777" w:rsidR="006C070F" w:rsidRPr="000B5E96" w:rsidRDefault="00350C7C">
            <w:pPr>
              <w:rPr>
                <w:rFonts w:ascii="Arial" w:hAnsi="Arial" w:cs="Arial"/>
              </w:rPr>
            </w:pPr>
            <w:r w:rsidRPr="000B5E96">
              <w:rPr>
                <w:rFonts w:ascii="Arial" w:hAnsi="Arial" w:cs="Arial"/>
              </w:rPr>
              <w:t>Bicultural management</w:t>
            </w:r>
          </w:p>
        </w:tc>
      </w:tr>
      <w:tr w:rsidR="006C070F" w:rsidRPr="000B5E96" w14:paraId="253AD7CD" w14:textId="77777777">
        <w:trPr>
          <w:trHeight w:val="770"/>
        </w:trPr>
        <w:tc>
          <w:tcPr>
            <w:tcW w:w="2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46B829" w14:textId="77777777" w:rsidR="006C070F" w:rsidRPr="000B5E96" w:rsidRDefault="00350C7C">
            <w:pPr>
              <w:rPr>
                <w:rFonts w:ascii="Arial" w:hAnsi="Arial" w:cs="Arial"/>
              </w:rPr>
            </w:pPr>
            <w:r w:rsidRPr="000B5E96">
              <w:rPr>
                <w:rFonts w:ascii="Arial" w:hAnsi="Arial" w:cs="Arial"/>
              </w:rPr>
              <w:t>Talent</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13D4B5" w14:textId="77777777" w:rsidR="006C070F" w:rsidRPr="000B5E96" w:rsidRDefault="00350C7C">
            <w:pPr>
              <w:rPr>
                <w:rFonts w:ascii="Arial" w:hAnsi="Arial" w:cs="Arial"/>
              </w:rPr>
            </w:pPr>
            <w:r w:rsidRPr="000B5E96">
              <w:rPr>
                <w:rFonts w:ascii="Arial" w:hAnsi="Arial" w:cs="Arial"/>
              </w:rPr>
              <w:t>Expanding digital workforce</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D41F77" w14:textId="77777777" w:rsidR="006C070F" w:rsidRPr="000B5E96" w:rsidRDefault="00350C7C">
            <w:pPr>
              <w:rPr>
                <w:rFonts w:ascii="Arial" w:hAnsi="Arial" w:cs="Arial"/>
              </w:rPr>
            </w:pPr>
            <w:r w:rsidRPr="000B5E96">
              <w:rPr>
                <w:rFonts w:ascii="Arial" w:hAnsi="Arial" w:cs="Arial"/>
              </w:rPr>
              <w:t>Advanced skills shortage</w:t>
            </w:r>
          </w:p>
        </w:tc>
        <w:tc>
          <w:tcPr>
            <w:tcW w:w="27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C7C76F" w14:textId="77777777" w:rsidR="006C070F" w:rsidRPr="000B5E96" w:rsidRDefault="00350C7C">
            <w:pPr>
              <w:rPr>
                <w:rFonts w:ascii="Arial" w:hAnsi="Arial" w:cs="Arial"/>
              </w:rPr>
            </w:pPr>
            <w:r w:rsidRPr="000B5E96">
              <w:rPr>
                <w:rFonts w:ascii="Arial" w:hAnsi="Arial" w:cs="Arial"/>
              </w:rPr>
              <w:t>Training and university partnerships</w:t>
            </w:r>
          </w:p>
        </w:tc>
      </w:tr>
    </w:tbl>
    <w:p w14:paraId="5D758B38" w14:textId="77777777" w:rsidR="006C070F" w:rsidRDefault="00350C7C">
      <w:pPr>
        <w:rPr>
          <w:rFonts w:ascii="Arial" w:hAnsi="Arial" w:cs="Arial"/>
        </w:rPr>
      </w:pPr>
      <w:r w:rsidRPr="000B5E96">
        <w:rPr>
          <w:rFonts w:ascii="Arial" w:hAnsi="Arial" w:cs="Arial"/>
        </w:rPr>
        <w:t>On the basis of evidence of 10 economies of ASEAN, Garg, Garg and Mittal (2026) determine that market size, human capital and trade openness enhance the location benefits affecting FDI but institutional quality minimizes regulatory risk. Vietnam scores very well in these aspects, and TCS needs to further enhance the value statement by developing local talent, customer proximity and assimilation into its broader ASEAN delivery platform.</w:t>
      </w:r>
    </w:p>
    <w:p w14:paraId="32134720" w14:textId="77777777" w:rsidR="00721470" w:rsidRDefault="00721470">
      <w:pPr>
        <w:rPr>
          <w:rFonts w:ascii="Arial" w:hAnsi="Arial" w:cs="Arial"/>
        </w:rPr>
      </w:pPr>
    </w:p>
    <w:p w14:paraId="12882E71" w14:textId="77777777" w:rsidR="00721470" w:rsidRDefault="00721470">
      <w:pPr>
        <w:rPr>
          <w:rFonts w:ascii="Arial" w:hAnsi="Arial" w:cs="Arial"/>
        </w:rPr>
      </w:pPr>
    </w:p>
    <w:p w14:paraId="5139CA36" w14:textId="77777777" w:rsidR="00721470" w:rsidRDefault="00721470">
      <w:pPr>
        <w:rPr>
          <w:rFonts w:ascii="Arial" w:hAnsi="Arial" w:cs="Arial"/>
        </w:rPr>
      </w:pPr>
    </w:p>
    <w:p w14:paraId="3863137F" w14:textId="77777777" w:rsidR="00721470" w:rsidRPr="000B5E96" w:rsidRDefault="00721470">
      <w:pPr>
        <w:rPr>
          <w:rFonts w:ascii="Arial" w:hAnsi="Arial" w:cs="Arial"/>
        </w:rPr>
      </w:pPr>
    </w:p>
    <w:p w14:paraId="016AC295" w14:textId="77777777" w:rsidR="006C070F" w:rsidRDefault="00350C7C">
      <w:pPr>
        <w:pStyle w:val="Heading2"/>
        <w:keepNext w:val="0"/>
        <w:keepLines w:val="0"/>
        <w:rPr>
          <w:rFonts w:ascii="Arial" w:hAnsi="Arial" w:cs="Arial"/>
        </w:rPr>
      </w:pPr>
      <w:bookmarkStart w:id="12" w:name="_Toc237568556"/>
      <w:r w:rsidRPr="00C40F0A">
        <w:rPr>
          <w:rFonts w:ascii="Arial" w:hAnsi="Arial" w:cs="Arial"/>
        </w:rPr>
        <w:t>2.6 Dunning's Eclectic Paradigm: OLI Analysis</w:t>
      </w:r>
      <w:bookmarkEnd w:id="12"/>
    </w:p>
    <w:p w14:paraId="67422AAE" w14:textId="58AF9E17" w:rsidR="007D6140" w:rsidRPr="007D6140" w:rsidRDefault="007D6140" w:rsidP="007D6140">
      <w:pPr>
        <w:rPr>
          <w:lang w:val="en-IN"/>
        </w:rPr>
      </w:pPr>
      <w:r w:rsidRPr="007D6140">
        <w:rPr>
          <w:noProof/>
          <w:lang w:val="en-IN"/>
        </w:rPr>
        <w:drawing>
          <wp:inline distT="0" distB="0" distL="0" distR="0" wp14:anchorId="04E1D8AD" wp14:editId="23592DA4">
            <wp:extent cx="5732145" cy="3222171"/>
            <wp:effectExtent l="0" t="0" r="1905" b="0"/>
            <wp:docPr id="13017608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8553" b="7124"/>
                    <a:stretch>
                      <a:fillRect/>
                    </a:stretch>
                  </pic:blipFill>
                  <pic:spPr bwMode="auto">
                    <a:xfrm>
                      <a:off x="0" y="0"/>
                      <a:ext cx="5733415" cy="3222885"/>
                    </a:xfrm>
                    <a:prstGeom prst="rect">
                      <a:avLst/>
                    </a:prstGeom>
                    <a:noFill/>
                    <a:ln>
                      <a:noFill/>
                    </a:ln>
                    <a:extLst>
                      <a:ext uri="{53640926-AAD7-44D8-BBD7-CCE9431645EC}">
                        <a14:shadowObscured xmlns:a14="http://schemas.microsoft.com/office/drawing/2010/main"/>
                      </a:ext>
                    </a:extLst>
                  </pic:spPr>
                </pic:pic>
              </a:graphicData>
            </a:graphic>
          </wp:inline>
        </w:drawing>
      </w:r>
    </w:p>
    <w:p w14:paraId="66AC924A" w14:textId="13FE9FDD" w:rsidR="007D6140" w:rsidRPr="00D554D2" w:rsidRDefault="007D6140" w:rsidP="00D554D2">
      <w:pPr>
        <w:jc w:val="center"/>
        <w:rPr>
          <w:rFonts w:ascii="Arial" w:hAnsi="Arial" w:cs="Arial"/>
          <w:b/>
          <w:bCs/>
          <w:lang w:val="en-IN"/>
        </w:rPr>
      </w:pPr>
      <w:r w:rsidRPr="000B5E96">
        <w:rPr>
          <w:rFonts w:ascii="Arial" w:hAnsi="Arial" w:cs="Arial"/>
          <w:b/>
          <w:bCs/>
        </w:rPr>
        <w:t xml:space="preserve">Figure </w:t>
      </w:r>
      <w:r w:rsidR="00D554D2">
        <w:rPr>
          <w:rFonts w:ascii="Arial" w:hAnsi="Arial" w:cs="Arial"/>
          <w:b/>
          <w:bCs/>
        </w:rPr>
        <w:t>8</w:t>
      </w:r>
      <w:r w:rsidRPr="000B5E96">
        <w:rPr>
          <w:rFonts w:ascii="Arial" w:hAnsi="Arial" w:cs="Arial"/>
          <w:b/>
          <w:bCs/>
        </w:rPr>
        <w:t xml:space="preserve">: </w:t>
      </w:r>
      <w:r w:rsidR="00D554D2" w:rsidRPr="00D554D2">
        <w:rPr>
          <w:rFonts w:ascii="Arial" w:hAnsi="Arial" w:cs="Arial"/>
          <w:b/>
          <w:bCs/>
          <w:lang w:val="en-IN"/>
        </w:rPr>
        <w:t>TCS–Vietnam OLI Framework</w:t>
      </w:r>
    </w:p>
    <w:p w14:paraId="1EDEE57A" w14:textId="7A06327E" w:rsidR="00616BDA" w:rsidRDefault="007D6140" w:rsidP="00721470">
      <w:pPr>
        <w:jc w:val="center"/>
        <w:rPr>
          <w:rFonts w:ascii="Arial" w:hAnsi="Arial" w:cs="Arial"/>
        </w:rPr>
      </w:pPr>
      <w:r w:rsidRPr="000B5E96">
        <w:rPr>
          <w:rFonts w:ascii="Arial" w:hAnsi="Arial" w:cs="Arial"/>
        </w:rPr>
        <w:t>(Source:</w:t>
      </w:r>
      <w:r>
        <w:rPr>
          <w:rFonts w:ascii="Arial" w:hAnsi="Arial" w:cs="Arial"/>
        </w:rPr>
        <w:t xml:space="preserve"> </w:t>
      </w:r>
      <w:r w:rsidR="00D554D2" w:rsidRPr="00D554D2">
        <w:rPr>
          <w:rFonts w:ascii="Arial" w:hAnsi="Arial" w:cs="Arial"/>
        </w:rPr>
        <w:t>Author-developed based on Dunning's OLI Paradigm and Tata Consultancy Services (2025; 2026).</w:t>
      </w:r>
      <w:r w:rsidR="00D554D2">
        <w:rPr>
          <w:rFonts w:ascii="Arial" w:hAnsi="Arial" w:cs="Arial"/>
        </w:rPr>
        <w:t>)</w:t>
      </w:r>
    </w:p>
    <w:p w14:paraId="77B77C6E" w14:textId="77777777" w:rsidR="006C070F" w:rsidRPr="000B5E96" w:rsidRDefault="00350C7C">
      <w:pPr>
        <w:pStyle w:val="Heading3"/>
        <w:keepNext w:val="0"/>
        <w:keepLines w:val="0"/>
        <w:spacing w:before="200" w:after="200"/>
        <w:rPr>
          <w:rFonts w:ascii="Arial" w:hAnsi="Arial" w:cs="Arial"/>
          <w:b/>
          <w:bCs/>
          <w:color w:val="000000"/>
          <w:sz w:val="24"/>
          <w:szCs w:val="24"/>
        </w:rPr>
      </w:pPr>
      <w:bookmarkStart w:id="13" w:name="_Toc237568557"/>
      <w:r w:rsidRPr="000B5E96">
        <w:rPr>
          <w:rFonts w:ascii="Arial" w:hAnsi="Arial" w:cs="Arial"/>
          <w:b/>
          <w:bCs/>
          <w:color w:val="000000"/>
          <w:sz w:val="24"/>
          <w:szCs w:val="24"/>
        </w:rPr>
        <w:t>Ownership Advantages</w:t>
      </w:r>
      <w:bookmarkEnd w:id="13"/>
    </w:p>
    <w:p w14:paraId="552D91E7" w14:textId="77777777" w:rsidR="006C070F" w:rsidRPr="000B5E96" w:rsidRDefault="00350C7C">
      <w:pPr>
        <w:rPr>
          <w:rFonts w:ascii="Arial" w:hAnsi="Arial" w:cs="Arial"/>
        </w:rPr>
      </w:pPr>
      <w:r w:rsidRPr="000B5E96">
        <w:rPr>
          <w:rFonts w:ascii="Arial" w:hAnsi="Arial" w:cs="Arial"/>
        </w:rPr>
        <w:t>TCS has great ownership-specific capabilities: global brand loyalty, industry expertise, proprietary technologies, global delivery solutions, AI, cloud and cybersecurity services and vast human capital.</w:t>
      </w:r>
    </w:p>
    <w:p w14:paraId="50433FBB" w14:textId="77777777" w:rsidR="006C070F" w:rsidRPr="000B5E96" w:rsidRDefault="00350C7C">
      <w:pPr>
        <w:rPr>
          <w:rFonts w:ascii="Arial" w:hAnsi="Arial" w:cs="Arial"/>
        </w:rPr>
      </w:pPr>
      <w:r w:rsidRPr="000B5E96">
        <w:rPr>
          <w:rFonts w:ascii="Arial" w:hAnsi="Arial" w:cs="Arial"/>
        </w:rPr>
        <w:t>Quantitatively, FY2026 indicators include:</w:t>
      </w:r>
    </w:p>
    <w:tbl>
      <w:tblPr>
        <w:tblStyle w:val="a0"/>
        <w:tblW w:w="889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25"/>
        <w:gridCol w:w="5370"/>
      </w:tblGrid>
      <w:tr w:rsidR="006C070F" w:rsidRPr="000B5E96" w14:paraId="636B4C62" w14:textId="77777777">
        <w:trPr>
          <w:trHeight w:val="500"/>
        </w:trPr>
        <w:tc>
          <w:tcPr>
            <w:tcW w:w="3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F0C997" w14:textId="77777777" w:rsidR="006C070F" w:rsidRPr="000B5E96" w:rsidRDefault="00350C7C">
            <w:pPr>
              <w:rPr>
                <w:rFonts w:ascii="Arial" w:hAnsi="Arial" w:cs="Arial"/>
              </w:rPr>
            </w:pPr>
            <w:r w:rsidRPr="000B5E96">
              <w:rPr>
                <w:rFonts w:ascii="Arial" w:hAnsi="Arial" w:cs="Arial"/>
                <w:b/>
                <w:bCs/>
              </w:rPr>
              <w:t>TCS ownership resource</w:t>
            </w:r>
          </w:p>
        </w:tc>
        <w:tc>
          <w:tcPr>
            <w:tcW w:w="5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728BD5" w14:textId="77777777" w:rsidR="006C070F" w:rsidRPr="000B5E96" w:rsidRDefault="00350C7C">
            <w:pPr>
              <w:rPr>
                <w:rFonts w:ascii="Arial" w:hAnsi="Arial" w:cs="Arial"/>
              </w:rPr>
            </w:pPr>
            <w:r w:rsidRPr="000B5E96">
              <w:rPr>
                <w:rFonts w:ascii="Arial" w:hAnsi="Arial" w:cs="Arial"/>
                <w:b/>
                <w:bCs/>
              </w:rPr>
              <w:t>FY2026 indicator</w:t>
            </w:r>
          </w:p>
        </w:tc>
      </w:tr>
      <w:tr w:rsidR="006C070F" w:rsidRPr="000B5E96" w14:paraId="563776CB" w14:textId="77777777">
        <w:trPr>
          <w:trHeight w:val="500"/>
        </w:trPr>
        <w:tc>
          <w:tcPr>
            <w:tcW w:w="3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5E3BEC" w14:textId="77777777" w:rsidR="006C070F" w:rsidRPr="000B5E96" w:rsidRDefault="00350C7C">
            <w:pPr>
              <w:rPr>
                <w:rFonts w:ascii="Arial" w:hAnsi="Arial" w:cs="Arial"/>
              </w:rPr>
            </w:pPr>
            <w:r w:rsidRPr="000B5E96">
              <w:rPr>
                <w:rFonts w:ascii="Arial" w:hAnsi="Arial" w:cs="Arial"/>
              </w:rPr>
              <w:t>Revenue</w:t>
            </w:r>
          </w:p>
        </w:tc>
        <w:tc>
          <w:tcPr>
            <w:tcW w:w="5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2D8AEE" w14:textId="77777777" w:rsidR="006C070F" w:rsidRPr="000B5E96" w:rsidRDefault="00350C7C">
            <w:pPr>
              <w:rPr>
                <w:rFonts w:ascii="Arial" w:hAnsi="Arial" w:cs="Arial"/>
              </w:rPr>
            </w:pPr>
            <w:r w:rsidRPr="000B5E96">
              <w:rPr>
                <w:rFonts w:ascii="Arial" w:hAnsi="Arial" w:cs="Arial"/>
              </w:rPr>
              <w:t>US$30 billion</w:t>
            </w:r>
          </w:p>
        </w:tc>
      </w:tr>
      <w:tr w:rsidR="006C070F" w:rsidRPr="000B5E96" w14:paraId="01A8028E" w14:textId="77777777">
        <w:trPr>
          <w:trHeight w:val="500"/>
        </w:trPr>
        <w:tc>
          <w:tcPr>
            <w:tcW w:w="3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D53BA4" w14:textId="77777777" w:rsidR="006C070F" w:rsidRPr="000B5E96" w:rsidRDefault="00350C7C">
            <w:pPr>
              <w:rPr>
                <w:rFonts w:ascii="Arial" w:hAnsi="Arial" w:cs="Arial"/>
              </w:rPr>
            </w:pPr>
            <w:r w:rsidRPr="000B5E96">
              <w:rPr>
                <w:rFonts w:ascii="Arial" w:hAnsi="Arial" w:cs="Arial"/>
              </w:rPr>
              <w:t>Total contract value</w:t>
            </w:r>
          </w:p>
        </w:tc>
        <w:tc>
          <w:tcPr>
            <w:tcW w:w="5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5DB9A7" w14:textId="77777777" w:rsidR="006C070F" w:rsidRPr="000B5E96" w:rsidRDefault="00350C7C">
            <w:pPr>
              <w:rPr>
                <w:rFonts w:ascii="Arial" w:hAnsi="Arial" w:cs="Arial"/>
              </w:rPr>
            </w:pPr>
            <w:r w:rsidRPr="000B5E96">
              <w:rPr>
                <w:rFonts w:ascii="Arial" w:hAnsi="Arial" w:cs="Arial"/>
              </w:rPr>
              <w:t>US$40.7 billion</w:t>
            </w:r>
          </w:p>
        </w:tc>
      </w:tr>
      <w:tr w:rsidR="006C070F" w:rsidRPr="000B5E96" w14:paraId="3EFDFF57" w14:textId="77777777">
        <w:trPr>
          <w:trHeight w:val="500"/>
        </w:trPr>
        <w:tc>
          <w:tcPr>
            <w:tcW w:w="3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76AE9F" w14:textId="77777777" w:rsidR="006C070F" w:rsidRPr="000B5E96" w:rsidRDefault="00350C7C">
            <w:pPr>
              <w:rPr>
                <w:rFonts w:ascii="Arial" w:hAnsi="Arial" w:cs="Arial"/>
              </w:rPr>
            </w:pPr>
            <w:r w:rsidRPr="000B5E96">
              <w:rPr>
                <w:rFonts w:ascii="Arial" w:hAnsi="Arial" w:cs="Arial"/>
              </w:rPr>
              <w:t>Employees</w:t>
            </w:r>
          </w:p>
        </w:tc>
        <w:tc>
          <w:tcPr>
            <w:tcW w:w="5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15C39B" w14:textId="77777777" w:rsidR="006C070F" w:rsidRPr="000B5E96" w:rsidRDefault="00350C7C">
            <w:pPr>
              <w:rPr>
                <w:rFonts w:ascii="Arial" w:hAnsi="Arial" w:cs="Arial"/>
              </w:rPr>
            </w:pPr>
            <w:r w:rsidRPr="000B5E96">
              <w:rPr>
                <w:rFonts w:ascii="Arial" w:hAnsi="Arial" w:cs="Arial"/>
              </w:rPr>
              <w:t>584,519</w:t>
            </w:r>
          </w:p>
        </w:tc>
      </w:tr>
      <w:tr w:rsidR="006C070F" w:rsidRPr="000B5E96" w14:paraId="792426EE" w14:textId="77777777">
        <w:trPr>
          <w:trHeight w:val="500"/>
        </w:trPr>
        <w:tc>
          <w:tcPr>
            <w:tcW w:w="3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398FA9" w14:textId="77777777" w:rsidR="006C070F" w:rsidRPr="000B5E96" w:rsidRDefault="00350C7C">
            <w:pPr>
              <w:rPr>
                <w:rFonts w:ascii="Arial" w:hAnsi="Arial" w:cs="Arial"/>
              </w:rPr>
            </w:pPr>
            <w:r w:rsidRPr="000B5E96">
              <w:rPr>
                <w:rFonts w:ascii="Arial" w:hAnsi="Arial" w:cs="Arial"/>
              </w:rPr>
              <w:t>AI annualised revenue</w:t>
            </w:r>
          </w:p>
        </w:tc>
        <w:tc>
          <w:tcPr>
            <w:tcW w:w="5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9252F" w14:textId="77777777" w:rsidR="006C070F" w:rsidRPr="000B5E96" w:rsidRDefault="00350C7C">
            <w:pPr>
              <w:rPr>
                <w:rFonts w:ascii="Arial" w:hAnsi="Arial" w:cs="Arial"/>
              </w:rPr>
            </w:pPr>
            <w:r w:rsidRPr="000B5E96">
              <w:rPr>
                <w:rFonts w:ascii="Arial" w:hAnsi="Arial" w:cs="Arial"/>
              </w:rPr>
              <w:t>US$2.3 billion</w:t>
            </w:r>
          </w:p>
        </w:tc>
      </w:tr>
      <w:tr w:rsidR="006C070F" w:rsidRPr="000B5E96" w14:paraId="4AFA29FB" w14:textId="77777777">
        <w:trPr>
          <w:trHeight w:val="500"/>
        </w:trPr>
        <w:tc>
          <w:tcPr>
            <w:tcW w:w="3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F674C4" w14:textId="77777777" w:rsidR="006C070F" w:rsidRPr="000B5E96" w:rsidRDefault="00350C7C">
            <w:pPr>
              <w:rPr>
                <w:rFonts w:ascii="Arial" w:hAnsi="Arial" w:cs="Arial"/>
              </w:rPr>
            </w:pPr>
            <w:r w:rsidRPr="000B5E96">
              <w:rPr>
                <w:rFonts w:ascii="Arial" w:hAnsi="Arial" w:cs="Arial"/>
              </w:rPr>
              <w:t>Granted patents</w:t>
            </w:r>
          </w:p>
        </w:tc>
        <w:tc>
          <w:tcPr>
            <w:tcW w:w="5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EA6A3A" w14:textId="77777777" w:rsidR="006C070F" w:rsidRPr="000B5E96" w:rsidRDefault="00350C7C">
            <w:pPr>
              <w:rPr>
                <w:rFonts w:ascii="Arial" w:hAnsi="Arial" w:cs="Arial"/>
              </w:rPr>
            </w:pPr>
            <w:r w:rsidRPr="000B5E96">
              <w:rPr>
                <w:rFonts w:ascii="Arial" w:hAnsi="Arial" w:cs="Arial"/>
              </w:rPr>
              <w:t>5,500</w:t>
            </w:r>
          </w:p>
        </w:tc>
      </w:tr>
      <w:tr w:rsidR="006C070F" w:rsidRPr="000B5E96" w14:paraId="36DA12E6" w14:textId="77777777">
        <w:trPr>
          <w:trHeight w:val="500"/>
        </w:trPr>
        <w:tc>
          <w:tcPr>
            <w:tcW w:w="3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296622" w14:textId="77777777" w:rsidR="006C070F" w:rsidRPr="000B5E96" w:rsidRDefault="00350C7C">
            <w:pPr>
              <w:rPr>
                <w:rFonts w:ascii="Arial" w:hAnsi="Arial" w:cs="Arial"/>
              </w:rPr>
            </w:pPr>
            <w:r w:rsidRPr="000B5E96">
              <w:rPr>
                <w:rFonts w:ascii="Arial" w:hAnsi="Arial" w:cs="Arial"/>
              </w:rPr>
              <w:t>AI patents</w:t>
            </w:r>
          </w:p>
        </w:tc>
        <w:tc>
          <w:tcPr>
            <w:tcW w:w="5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03265" w14:textId="77777777" w:rsidR="006C070F" w:rsidRPr="000B5E96" w:rsidRDefault="00350C7C">
            <w:pPr>
              <w:rPr>
                <w:rFonts w:ascii="Arial" w:hAnsi="Arial" w:cs="Arial"/>
              </w:rPr>
            </w:pPr>
            <w:r w:rsidRPr="000B5E96">
              <w:rPr>
                <w:rFonts w:ascii="Arial" w:hAnsi="Arial" w:cs="Arial"/>
              </w:rPr>
              <w:t>573</w:t>
            </w:r>
          </w:p>
        </w:tc>
      </w:tr>
      <w:tr w:rsidR="006C070F" w:rsidRPr="000B5E96" w14:paraId="18882722" w14:textId="77777777">
        <w:trPr>
          <w:trHeight w:val="500"/>
        </w:trPr>
        <w:tc>
          <w:tcPr>
            <w:tcW w:w="3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13E2F6" w14:textId="77777777" w:rsidR="006C070F" w:rsidRPr="000B5E96" w:rsidRDefault="00350C7C">
            <w:pPr>
              <w:rPr>
                <w:rFonts w:ascii="Arial" w:hAnsi="Arial" w:cs="Arial"/>
              </w:rPr>
            </w:pPr>
            <w:r w:rsidRPr="000B5E96">
              <w:rPr>
                <w:rFonts w:ascii="Arial" w:hAnsi="Arial" w:cs="Arial"/>
              </w:rPr>
              <w:t>R&amp;I expenditure</w:t>
            </w:r>
          </w:p>
        </w:tc>
        <w:tc>
          <w:tcPr>
            <w:tcW w:w="5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F6D64E" w14:textId="77777777" w:rsidR="006C070F" w:rsidRPr="000B5E96" w:rsidRDefault="00350C7C">
            <w:pPr>
              <w:rPr>
                <w:rFonts w:ascii="Arial" w:hAnsi="Arial" w:cs="Arial"/>
              </w:rPr>
            </w:pPr>
            <w:r w:rsidRPr="000B5E96">
              <w:rPr>
                <w:rFonts w:ascii="Arial" w:hAnsi="Arial" w:cs="Arial"/>
              </w:rPr>
              <w:t>₹2,900 crore</w:t>
            </w:r>
          </w:p>
        </w:tc>
      </w:tr>
    </w:tbl>
    <w:p w14:paraId="3A52110E" w14:textId="77777777" w:rsidR="006C070F" w:rsidRPr="00471FB2" w:rsidRDefault="00471FB2" w:rsidP="00471FB2">
      <w:pPr>
        <w:jc w:val="center"/>
        <w:rPr>
          <w:rFonts w:ascii="Arial" w:hAnsi="Arial" w:cs="Arial"/>
        </w:rPr>
      </w:pPr>
      <w:r>
        <w:rPr>
          <w:rFonts w:ascii="Arial" w:hAnsi="Arial" w:cs="Arial"/>
        </w:rPr>
        <w:t>(</w:t>
      </w:r>
      <w:r w:rsidRPr="00471FB2">
        <w:rPr>
          <w:rFonts w:ascii="Arial" w:hAnsi="Arial" w:cs="Arial"/>
        </w:rPr>
        <w:t>Source: Tata Consultancy Services</w:t>
      </w:r>
      <w:r>
        <w:rPr>
          <w:rFonts w:ascii="Arial" w:hAnsi="Arial" w:cs="Arial"/>
        </w:rPr>
        <w:t xml:space="preserve">, </w:t>
      </w:r>
      <w:r w:rsidRPr="00471FB2">
        <w:rPr>
          <w:rFonts w:ascii="Arial" w:hAnsi="Arial" w:cs="Arial"/>
        </w:rPr>
        <w:t>2026)</w:t>
      </w:r>
    </w:p>
    <w:p w14:paraId="796512EC" w14:textId="77777777" w:rsidR="006C070F" w:rsidRPr="000B5E96" w:rsidRDefault="00350C7C">
      <w:pPr>
        <w:rPr>
          <w:rFonts w:ascii="Arial" w:hAnsi="Arial" w:cs="Arial"/>
        </w:rPr>
      </w:pPr>
      <w:r w:rsidRPr="000B5E96">
        <w:rPr>
          <w:rFonts w:ascii="Arial" w:hAnsi="Arial" w:cs="Arial"/>
        </w:rPr>
        <w:t>Such property rights are pertinent, as Vietnamese companies are exiting the simple digitisation stage into more advanced technologies. Depending on the data on over 8,000 Vietnamese companies, Vu, Nguyen and Le (2026) discover that the more a company is exposed to FDI, the more it is engaged in digital technologies and Industry 4.0 (Vu, Nguyen and Le, 2026). The global technological resources of TCS are consequently host-market value plausible as opposed to generic corporate resources.</w:t>
      </w:r>
    </w:p>
    <w:p w14:paraId="3593DF2C" w14:textId="77777777" w:rsidR="006C070F" w:rsidRPr="000B5E96" w:rsidRDefault="00350C7C">
      <w:pPr>
        <w:pStyle w:val="Heading3"/>
        <w:keepNext w:val="0"/>
        <w:keepLines w:val="0"/>
        <w:spacing w:before="200" w:after="200"/>
        <w:rPr>
          <w:rFonts w:ascii="Arial" w:hAnsi="Arial" w:cs="Arial"/>
          <w:b/>
          <w:bCs/>
          <w:color w:val="000000"/>
          <w:sz w:val="24"/>
          <w:szCs w:val="24"/>
        </w:rPr>
      </w:pPr>
      <w:bookmarkStart w:id="14" w:name="_Toc237568558"/>
      <w:r w:rsidRPr="000B5E96">
        <w:rPr>
          <w:rFonts w:ascii="Arial" w:hAnsi="Arial" w:cs="Arial"/>
          <w:b/>
          <w:bCs/>
          <w:color w:val="000000"/>
          <w:sz w:val="24"/>
          <w:szCs w:val="24"/>
        </w:rPr>
        <w:t>Location Advantages</w:t>
      </w:r>
      <w:bookmarkEnd w:id="14"/>
    </w:p>
    <w:p w14:paraId="04E56325" w14:textId="77777777" w:rsidR="006C070F" w:rsidRPr="000B5E96" w:rsidRDefault="00350C7C">
      <w:pPr>
        <w:rPr>
          <w:rFonts w:ascii="Arial" w:hAnsi="Arial" w:cs="Arial"/>
        </w:rPr>
      </w:pPr>
      <w:r w:rsidRPr="000B5E96">
        <w:rPr>
          <w:rFonts w:ascii="Arial" w:hAnsi="Arial" w:cs="Arial"/>
        </w:rPr>
        <w:t>The benefits of its location can be seen in the high rate of economic growth, openness to trade, growth of a digital market, the development of human capital and access to ASEAN and East Asian value chains in Vietnam.</w:t>
      </w:r>
    </w:p>
    <w:p w14:paraId="6F1932D8" w14:textId="77777777" w:rsidR="006C070F" w:rsidRPr="000B5E96" w:rsidRDefault="00350C7C">
      <w:pPr>
        <w:rPr>
          <w:rFonts w:ascii="Arial" w:hAnsi="Arial" w:cs="Arial"/>
        </w:rPr>
      </w:pPr>
      <w:r w:rsidRPr="000B5E96">
        <w:rPr>
          <w:rFonts w:ascii="Arial" w:hAnsi="Arial" w:cs="Arial"/>
        </w:rPr>
        <w:t>Phi et al. (2024) discover that FDI has played a positive role in addressing technological development and enterprise competitiveness in Vietnam but that there are still restrictions in terms of the R&amp;D activity and management competence that limits effective technology transfer. This provides a market opportunity and a challenge to TCS: they need sophisticated capabilities, which cannot be easily transferred unless they invest in local knowledge.</w:t>
      </w:r>
    </w:p>
    <w:p w14:paraId="34C06F59" w14:textId="77777777" w:rsidR="006C070F" w:rsidRPr="000B5E96" w:rsidRDefault="00350C7C">
      <w:pPr>
        <w:rPr>
          <w:rFonts w:ascii="Arial" w:hAnsi="Arial" w:cs="Arial"/>
        </w:rPr>
      </w:pPr>
      <w:r w:rsidRPr="000B5E96">
        <w:rPr>
          <w:rFonts w:ascii="Arial" w:hAnsi="Arial" w:cs="Arial"/>
        </w:rPr>
        <w:t>Approximately 300,000 firm-years are analysed by Huynh and Tran (2026) and the results of the analysis reveal relatively little evidence of horizontal productivity advantages of FDI, but high positive backward-linkage spillovers where the domestic firms have better absorptive capabilities. This provides caution in making an assumption that all multinational investment inevitably leads to an output of productivity. TCS could enhance its labour provision through university alliances, supplier-development schemes and joint innovation which is likely to enhance host-country spillovers.</w:t>
      </w:r>
    </w:p>
    <w:p w14:paraId="557C6BF1" w14:textId="77777777" w:rsidR="006C070F" w:rsidRPr="000B5E96" w:rsidRDefault="00350C7C">
      <w:pPr>
        <w:pStyle w:val="Heading3"/>
        <w:keepNext w:val="0"/>
        <w:keepLines w:val="0"/>
        <w:spacing w:before="200" w:after="200"/>
        <w:rPr>
          <w:rFonts w:ascii="Arial" w:hAnsi="Arial" w:cs="Arial"/>
          <w:b/>
          <w:bCs/>
          <w:color w:val="000000"/>
          <w:sz w:val="24"/>
          <w:szCs w:val="24"/>
        </w:rPr>
      </w:pPr>
      <w:bookmarkStart w:id="15" w:name="_Toc237568559"/>
      <w:r w:rsidRPr="000B5E96">
        <w:rPr>
          <w:rFonts w:ascii="Arial" w:hAnsi="Arial" w:cs="Arial"/>
          <w:b/>
          <w:bCs/>
          <w:color w:val="000000"/>
          <w:sz w:val="24"/>
          <w:szCs w:val="24"/>
        </w:rPr>
        <w:t>Internalisation Advantages</w:t>
      </w:r>
      <w:bookmarkEnd w:id="15"/>
    </w:p>
    <w:p w14:paraId="2145E8C0" w14:textId="77777777" w:rsidR="006C070F" w:rsidRPr="000B5E96" w:rsidRDefault="00350C7C">
      <w:pPr>
        <w:rPr>
          <w:rFonts w:ascii="Arial" w:hAnsi="Arial" w:cs="Arial"/>
        </w:rPr>
      </w:pPr>
      <w:r w:rsidRPr="000B5E96">
        <w:rPr>
          <w:rFonts w:ascii="Arial" w:hAnsi="Arial" w:cs="Arial"/>
        </w:rPr>
        <w:t>TCS services entail priced intellectual property, secret data, online security responsibility and tricky communications among worldwide work groups. By keeping operations in the company, there is the risk of not losing knowledge, poor service quality and lack of responsibility. This is more imperative in Vietnam, which have privacy and data-management needs. Organisation isolation is not however necessary in internalisation. By cooperating with universities, Vietnamese technology companies and other global cloud providers, TCS will have the ability to maintain control of core client information, IP and delivery control. On the whole, the O + L + I structure of direct investment. TCS has good ownership benefits; Vietnam has good location benefits; and safeguarding of data, knowledge, service levels and brand reputation establishes a formidable internalisation benefit. Controlled Vietnamese subsidiary is thus a more advantageous and strategic fit compared to unrestrained remote exporting.</w:t>
      </w:r>
    </w:p>
    <w:p w14:paraId="11FECC51" w14:textId="45B5732A" w:rsidR="006C070F" w:rsidRPr="00C40F0A" w:rsidRDefault="00350C7C">
      <w:pPr>
        <w:pStyle w:val="Heading1"/>
        <w:keepNext w:val="0"/>
        <w:keepLines w:val="0"/>
        <w:rPr>
          <w:rFonts w:ascii="Arial" w:hAnsi="Arial" w:cs="Arial"/>
        </w:rPr>
      </w:pPr>
      <w:bookmarkStart w:id="16" w:name="_Toc237568560"/>
      <w:r w:rsidRPr="00C40F0A">
        <w:rPr>
          <w:rFonts w:ascii="Arial" w:hAnsi="Arial" w:cs="Arial"/>
        </w:rPr>
        <w:t>3: Entry Mode Strategy and Strategic Synthesis</w:t>
      </w:r>
      <w:bookmarkEnd w:id="16"/>
    </w:p>
    <w:p w14:paraId="76F10C99" w14:textId="77777777" w:rsidR="006C070F" w:rsidRPr="00C40F0A" w:rsidRDefault="00350C7C">
      <w:pPr>
        <w:pStyle w:val="Heading2"/>
        <w:keepNext w:val="0"/>
        <w:keepLines w:val="0"/>
        <w:rPr>
          <w:rFonts w:ascii="Arial" w:hAnsi="Arial" w:cs="Arial"/>
        </w:rPr>
      </w:pPr>
      <w:bookmarkStart w:id="17" w:name="_Toc237568561"/>
      <w:r w:rsidRPr="00C40F0A">
        <w:rPr>
          <w:rFonts w:ascii="Arial" w:hAnsi="Arial" w:cs="Arial"/>
        </w:rPr>
        <w:t>3.1 Historical Pattern and Alternative Entry Modes</w:t>
      </w:r>
      <w:bookmarkEnd w:id="17"/>
    </w:p>
    <w:p w14:paraId="187D4D3C" w14:textId="77777777" w:rsidR="006C070F" w:rsidRDefault="00350C7C">
      <w:pPr>
        <w:rPr>
          <w:rFonts w:ascii="Arial" w:hAnsi="Arial" w:cs="Arial"/>
        </w:rPr>
      </w:pPr>
      <w:r w:rsidRPr="000B5E96">
        <w:rPr>
          <w:rFonts w:ascii="Arial" w:hAnsi="Arial" w:cs="Arial"/>
        </w:rPr>
        <w:t>Its global structure implies that TCS has periodically favoured high-controlling structures subsidiaries, local operations and delivery centres that form part of a global system, with partnerships and acquisitions being selectively favoured to speed up market entry or ability (Tata Consultancy Services, 2025; Tata Consultancy Services, 2026). This is a rational sequence in enterprise technology services whereby the customers buy responsible implementation, domain expertise or knowledge, data protection or maintenance as opposed to a separate licensed product.</w:t>
      </w:r>
    </w:p>
    <w:p w14:paraId="236F2EC1" w14:textId="7942EBFA" w:rsidR="00D554D2" w:rsidRPr="00D554D2" w:rsidRDefault="00D554D2" w:rsidP="00D554D2">
      <w:pPr>
        <w:rPr>
          <w:rFonts w:ascii="Arial" w:hAnsi="Arial" w:cs="Arial"/>
          <w:lang w:val="en-IN"/>
        </w:rPr>
      </w:pPr>
      <w:r w:rsidRPr="00D554D2">
        <w:rPr>
          <w:rFonts w:ascii="Arial" w:hAnsi="Arial" w:cs="Arial"/>
          <w:noProof/>
          <w:lang w:val="en-IN"/>
        </w:rPr>
        <w:drawing>
          <wp:inline distT="0" distB="0" distL="0" distR="0" wp14:anchorId="42070C49" wp14:editId="37C63269">
            <wp:extent cx="5733415" cy="3288574"/>
            <wp:effectExtent l="0" t="0" r="635" b="7620"/>
            <wp:docPr id="88848507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7860" b="6098"/>
                    <a:stretch>
                      <a:fillRect/>
                    </a:stretch>
                  </pic:blipFill>
                  <pic:spPr bwMode="auto">
                    <a:xfrm>
                      <a:off x="0" y="0"/>
                      <a:ext cx="5733415" cy="3288574"/>
                    </a:xfrm>
                    <a:prstGeom prst="rect">
                      <a:avLst/>
                    </a:prstGeom>
                    <a:noFill/>
                    <a:ln>
                      <a:noFill/>
                    </a:ln>
                    <a:extLst>
                      <a:ext uri="{53640926-AAD7-44D8-BBD7-CCE9431645EC}">
                        <a14:shadowObscured xmlns:a14="http://schemas.microsoft.com/office/drawing/2010/main"/>
                      </a:ext>
                    </a:extLst>
                  </pic:spPr>
                </pic:pic>
              </a:graphicData>
            </a:graphic>
          </wp:inline>
        </w:drawing>
      </w:r>
    </w:p>
    <w:p w14:paraId="793577EF" w14:textId="19B510E6" w:rsidR="00D554D2" w:rsidRPr="00D554D2" w:rsidRDefault="00D554D2" w:rsidP="00D554D2">
      <w:pPr>
        <w:jc w:val="center"/>
        <w:rPr>
          <w:rFonts w:ascii="Arial" w:hAnsi="Arial" w:cs="Arial"/>
          <w:b/>
          <w:bCs/>
          <w:lang w:val="en-IN"/>
        </w:rPr>
      </w:pPr>
      <w:r w:rsidRPr="000B5E96">
        <w:rPr>
          <w:rFonts w:ascii="Arial" w:hAnsi="Arial" w:cs="Arial"/>
          <w:b/>
          <w:bCs/>
        </w:rPr>
        <w:t xml:space="preserve">Figure </w:t>
      </w:r>
      <w:r>
        <w:rPr>
          <w:rFonts w:ascii="Arial" w:hAnsi="Arial" w:cs="Arial"/>
          <w:b/>
          <w:bCs/>
        </w:rPr>
        <w:t>9</w:t>
      </w:r>
      <w:r w:rsidRPr="000B5E96">
        <w:rPr>
          <w:rFonts w:ascii="Arial" w:hAnsi="Arial" w:cs="Arial"/>
          <w:b/>
          <w:bCs/>
        </w:rPr>
        <w:t xml:space="preserve">: </w:t>
      </w:r>
      <w:r w:rsidRPr="00D554D2">
        <w:rPr>
          <w:rFonts w:ascii="Arial" w:hAnsi="Arial" w:cs="Arial"/>
          <w:b/>
          <w:bCs/>
        </w:rPr>
        <w:t>Weighted Evaluation of Alternative Entry Modes for TCS in Vietnam</w:t>
      </w:r>
    </w:p>
    <w:p w14:paraId="659ECCC4" w14:textId="05DBAA97" w:rsidR="00D554D2" w:rsidRPr="000B5E96" w:rsidRDefault="00D554D2" w:rsidP="00D554D2">
      <w:pPr>
        <w:jc w:val="center"/>
        <w:rPr>
          <w:rFonts w:ascii="Arial" w:hAnsi="Arial" w:cs="Arial"/>
        </w:rPr>
      </w:pPr>
      <w:r w:rsidRPr="000B5E96">
        <w:rPr>
          <w:rFonts w:ascii="Arial" w:hAnsi="Arial" w:cs="Arial"/>
        </w:rPr>
        <w:t>(Source:</w:t>
      </w:r>
      <w:r>
        <w:rPr>
          <w:rFonts w:ascii="Arial" w:hAnsi="Arial" w:cs="Arial"/>
        </w:rPr>
        <w:t xml:space="preserve"> </w:t>
      </w:r>
      <w:r w:rsidRPr="00D554D2">
        <w:rPr>
          <w:rFonts w:ascii="Arial" w:hAnsi="Arial" w:cs="Arial"/>
        </w:rPr>
        <w:t>Author-developed weighted assessment based on the criteria established in Section 3.1.</w:t>
      </w:r>
      <w:r>
        <w:rPr>
          <w:rFonts w:ascii="Arial" w:hAnsi="Arial" w:cs="Arial"/>
        </w:rPr>
        <w:t>)</w:t>
      </w:r>
    </w:p>
    <w:p w14:paraId="1A08AFD2" w14:textId="77777777" w:rsidR="006C070F" w:rsidRPr="000B5E96" w:rsidRDefault="00350C7C">
      <w:pPr>
        <w:rPr>
          <w:rFonts w:ascii="Arial" w:hAnsi="Arial" w:cs="Arial"/>
        </w:rPr>
      </w:pPr>
      <w:r w:rsidRPr="000B5E96">
        <w:rPr>
          <w:rFonts w:ascii="Arial" w:hAnsi="Arial" w:cs="Arial"/>
        </w:rPr>
        <w:t>Four credible modes are available for Vietnam.</w:t>
      </w:r>
    </w:p>
    <w:tbl>
      <w:tblPr>
        <w:tblStyle w:val="a1"/>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4"/>
        <w:gridCol w:w="1452"/>
        <w:gridCol w:w="1001"/>
        <w:gridCol w:w="1179"/>
        <w:gridCol w:w="1548"/>
        <w:gridCol w:w="2121"/>
      </w:tblGrid>
      <w:tr w:rsidR="006C070F" w:rsidRPr="000B5E96" w14:paraId="3B525BDD" w14:textId="77777777">
        <w:trPr>
          <w:trHeight w:val="770"/>
        </w:trPr>
        <w:tc>
          <w:tcPr>
            <w:tcW w:w="1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4DC788" w14:textId="77777777" w:rsidR="006C070F" w:rsidRPr="000B5E96" w:rsidRDefault="00350C7C">
            <w:pPr>
              <w:rPr>
                <w:rFonts w:ascii="Arial" w:hAnsi="Arial" w:cs="Arial"/>
              </w:rPr>
            </w:pPr>
            <w:r w:rsidRPr="000B5E96">
              <w:rPr>
                <w:rFonts w:ascii="Arial" w:hAnsi="Arial" w:cs="Arial"/>
                <w:b/>
                <w:bCs/>
              </w:rPr>
              <w:t>Entry mode</w:t>
            </w:r>
          </w:p>
        </w:tc>
        <w:tc>
          <w:tcPr>
            <w:tcW w:w="1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EC87BE" w14:textId="77777777" w:rsidR="006C070F" w:rsidRPr="000B5E96" w:rsidRDefault="00350C7C">
            <w:pPr>
              <w:rPr>
                <w:rFonts w:ascii="Arial" w:hAnsi="Arial" w:cs="Arial"/>
              </w:rPr>
            </w:pPr>
            <w:r w:rsidRPr="000B5E96">
              <w:rPr>
                <w:rFonts w:ascii="Arial" w:hAnsi="Arial" w:cs="Arial"/>
                <w:b/>
                <w:bCs/>
              </w:rPr>
              <w:t>Commitment</w:t>
            </w:r>
          </w:p>
        </w:tc>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206DF9" w14:textId="77777777" w:rsidR="006C070F" w:rsidRPr="000B5E96" w:rsidRDefault="00350C7C">
            <w:pPr>
              <w:rPr>
                <w:rFonts w:ascii="Arial" w:hAnsi="Arial" w:cs="Arial"/>
              </w:rPr>
            </w:pPr>
            <w:r w:rsidRPr="000B5E96">
              <w:rPr>
                <w:rFonts w:ascii="Arial" w:hAnsi="Arial" w:cs="Arial"/>
                <w:b/>
                <w:bCs/>
              </w:rPr>
              <w:t>Control</w:t>
            </w:r>
          </w:p>
        </w:tc>
        <w:tc>
          <w:tcPr>
            <w:tcW w:w="1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27BD4D" w14:textId="77777777" w:rsidR="006C070F" w:rsidRPr="000B5E96" w:rsidRDefault="00350C7C">
            <w:pPr>
              <w:rPr>
                <w:rFonts w:ascii="Arial" w:hAnsi="Arial" w:cs="Arial"/>
              </w:rPr>
            </w:pPr>
            <w:r w:rsidRPr="000B5E96">
              <w:rPr>
                <w:rFonts w:ascii="Arial" w:hAnsi="Arial" w:cs="Arial"/>
                <w:b/>
                <w:bCs/>
              </w:rPr>
              <w:t>Speed</w:t>
            </w:r>
          </w:p>
        </w:tc>
        <w:tc>
          <w:tcPr>
            <w:tcW w:w="15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9616A1" w14:textId="77777777" w:rsidR="006C070F" w:rsidRPr="000B5E96" w:rsidRDefault="00350C7C">
            <w:pPr>
              <w:rPr>
                <w:rFonts w:ascii="Arial" w:hAnsi="Arial" w:cs="Arial"/>
              </w:rPr>
            </w:pPr>
            <w:r w:rsidRPr="000B5E96">
              <w:rPr>
                <w:rFonts w:ascii="Arial" w:hAnsi="Arial" w:cs="Arial"/>
                <w:b/>
                <w:bCs/>
              </w:rPr>
              <w:t>Local knowledge</w:t>
            </w:r>
          </w:p>
        </w:tc>
        <w:tc>
          <w:tcPr>
            <w:tcW w:w="2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EEE84A" w14:textId="77777777" w:rsidR="006C070F" w:rsidRPr="000B5E96" w:rsidRDefault="00350C7C">
            <w:pPr>
              <w:rPr>
                <w:rFonts w:ascii="Arial" w:hAnsi="Arial" w:cs="Arial"/>
              </w:rPr>
            </w:pPr>
            <w:r w:rsidRPr="000B5E96">
              <w:rPr>
                <w:rFonts w:ascii="Arial" w:hAnsi="Arial" w:cs="Arial"/>
                <w:b/>
                <w:bCs/>
              </w:rPr>
              <w:t>Overall suitability</w:t>
            </w:r>
          </w:p>
        </w:tc>
      </w:tr>
      <w:tr w:rsidR="006C070F" w:rsidRPr="000B5E96" w14:paraId="1867B885" w14:textId="77777777">
        <w:trPr>
          <w:trHeight w:val="770"/>
        </w:trPr>
        <w:tc>
          <w:tcPr>
            <w:tcW w:w="1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9B0639" w14:textId="77777777" w:rsidR="006C070F" w:rsidRPr="000B5E96" w:rsidRDefault="00350C7C">
            <w:pPr>
              <w:rPr>
                <w:rFonts w:ascii="Arial" w:hAnsi="Arial" w:cs="Arial"/>
              </w:rPr>
            </w:pPr>
            <w:r w:rsidRPr="000B5E96">
              <w:rPr>
                <w:rFonts w:ascii="Arial" w:hAnsi="Arial" w:cs="Arial"/>
              </w:rPr>
              <w:t>Cross-border delivery</w:t>
            </w:r>
          </w:p>
        </w:tc>
        <w:tc>
          <w:tcPr>
            <w:tcW w:w="1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4AA9DA" w14:textId="77777777" w:rsidR="006C070F" w:rsidRPr="000B5E96" w:rsidRDefault="00350C7C">
            <w:pPr>
              <w:rPr>
                <w:rFonts w:ascii="Arial" w:hAnsi="Arial" w:cs="Arial"/>
              </w:rPr>
            </w:pPr>
            <w:r w:rsidRPr="000B5E96">
              <w:rPr>
                <w:rFonts w:ascii="Arial" w:hAnsi="Arial" w:cs="Arial"/>
              </w:rPr>
              <w:t>Low</w:t>
            </w:r>
          </w:p>
        </w:tc>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2CE50" w14:textId="77777777" w:rsidR="006C070F" w:rsidRPr="000B5E96" w:rsidRDefault="00350C7C">
            <w:pPr>
              <w:rPr>
                <w:rFonts w:ascii="Arial" w:hAnsi="Arial" w:cs="Arial"/>
              </w:rPr>
            </w:pPr>
            <w:r w:rsidRPr="000B5E96">
              <w:rPr>
                <w:rFonts w:ascii="Arial" w:hAnsi="Arial" w:cs="Arial"/>
              </w:rPr>
              <w:t>Medium</w:t>
            </w:r>
          </w:p>
        </w:tc>
        <w:tc>
          <w:tcPr>
            <w:tcW w:w="1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919CCC" w14:textId="77777777" w:rsidR="006C070F" w:rsidRPr="000B5E96" w:rsidRDefault="00350C7C">
            <w:pPr>
              <w:rPr>
                <w:rFonts w:ascii="Arial" w:hAnsi="Arial" w:cs="Arial"/>
              </w:rPr>
            </w:pPr>
            <w:r w:rsidRPr="000B5E96">
              <w:rPr>
                <w:rFonts w:ascii="Arial" w:hAnsi="Arial" w:cs="Arial"/>
              </w:rPr>
              <w:t>High</w:t>
            </w:r>
          </w:p>
        </w:tc>
        <w:tc>
          <w:tcPr>
            <w:tcW w:w="15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8E765" w14:textId="77777777" w:rsidR="006C070F" w:rsidRPr="000B5E96" w:rsidRDefault="00350C7C">
            <w:pPr>
              <w:rPr>
                <w:rFonts w:ascii="Arial" w:hAnsi="Arial" w:cs="Arial"/>
              </w:rPr>
            </w:pPr>
            <w:r w:rsidRPr="000B5E96">
              <w:rPr>
                <w:rFonts w:ascii="Arial" w:hAnsi="Arial" w:cs="Arial"/>
              </w:rPr>
              <w:t>Low</w:t>
            </w:r>
          </w:p>
        </w:tc>
        <w:tc>
          <w:tcPr>
            <w:tcW w:w="2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11EAC1" w14:textId="77777777" w:rsidR="006C070F" w:rsidRPr="000B5E96" w:rsidRDefault="00350C7C">
            <w:pPr>
              <w:rPr>
                <w:rFonts w:ascii="Arial" w:hAnsi="Arial" w:cs="Arial"/>
              </w:rPr>
            </w:pPr>
            <w:r w:rsidRPr="000B5E96">
              <w:rPr>
                <w:rFonts w:ascii="Arial" w:hAnsi="Arial" w:cs="Arial"/>
              </w:rPr>
              <w:t>Useful for testing only</w:t>
            </w:r>
          </w:p>
        </w:tc>
      </w:tr>
      <w:tr w:rsidR="006C070F" w:rsidRPr="000B5E96" w14:paraId="76D12426" w14:textId="77777777">
        <w:trPr>
          <w:trHeight w:val="770"/>
        </w:trPr>
        <w:tc>
          <w:tcPr>
            <w:tcW w:w="1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E87F4" w14:textId="77777777" w:rsidR="006C070F" w:rsidRPr="000B5E96" w:rsidRDefault="00350C7C">
            <w:pPr>
              <w:rPr>
                <w:rFonts w:ascii="Arial" w:hAnsi="Arial" w:cs="Arial"/>
              </w:rPr>
            </w:pPr>
            <w:r w:rsidRPr="000B5E96">
              <w:rPr>
                <w:rFonts w:ascii="Arial" w:hAnsi="Arial" w:cs="Arial"/>
              </w:rPr>
              <w:t>Strategic alliance/JV</w:t>
            </w:r>
          </w:p>
        </w:tc>
        <w:tc>
          <w:tcPr>
            <w:tcW w:w="1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5279F9" w14:textId="77777777" w:rsidR="006C070F" w:rsidRPr="000B5E96" w:rsidRDefault="00350C7C">
            <w:pPr>
              <w:rPr>
                <w:rFonts w:ascii="Arial" w:hAnsi="Arial" w:cs="Arial"/>
              </w:rPr>
            </w:pPr>
            <w:r w:rsidRPr="000B5E96">
              <w:rPr>
                <w:rFonts w:ascii="Arial" w:hAnsi="Arial" w:cs="Arial"/>
              </w:rPr>
              <w:t>Medium</w:t>
            </w:r>
          </w:p>
        </w:tc>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1E3998" w14:textId="77777777" w:rsidR="006C070F" w:rsidRPr="000B5E96" w:rsidRDefault="00350C7C">
            <w:pPr>
              <w:rPr>
                <w:rFonts w:ascii="Arial" w:hAnsi="Arial" w:cs="Arial"/>
              </w:rPr>
            </w:pPr>
            <w:r w:rsidRPr="000B5E96">
              <w:rPr>
                <w:rFonts w:ascii="Arial" w:hAnsi="Arial" w:cs="Arial"/>
              </w:rPr>
              <w:t>Shared</w:t>
            </w:r>
          </w:p>
        </w:tc>
        <w:tc>
          <w:tcPr>
            <w:tcW w:w="1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946AE3" w14:textId="77777777" w:rsidR="006C070F" w:rsidRPr="000B5E96" w:rsidRDefault="00350C7C">
            <w:pPr>
              <w:rPr>
                <w:rFonts w:ascii="Arial" w:hAnsi="Arial" w:cs="Arial"/>
              </w:rPr>
            </w:pPr>
            <w:r w:rsidRPr="000B5E96">
              <w:rPr>
                <w:rFonts w:ascii="Arial" w:hAnsi="Arial" w:cs="Arial"/>
              </w:rPr>
              <w:t>Medium-high</w:t>
            </w:r>
          </w:p>
        </w:tc>
        <w:tc>
          <w:tcPr>
            <w:tcW w:w="15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D56B3E" w14:textId="77777777" w:rsidR="006C070F" w:rsidRPr="000B5E96" w:rsidRDefault="00350C7C">
            <w:pPr>
              <w:rPr>
                <w:rFonts w:ascii="Arial" w:hAnsi="Arial" w:cs="Arial"/>
              </w:rPr>
            </w:pPr>
            <w:r w:rsidRPr="000B5E96">
              <w:rPr>
                <w:rFonts w:ascii="Arial" w:hAnsi="Arial" w:cs="Arial"/>
              </w:rPr>
              <w:t>High</w:t>
            </w:r>
          </w:p>
        </w:tc>
        <w:tc>
          <w:tcPr>
            <w:tcW w:w="2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800F21" w14:textId="77777777" w:rsidR="006C070F" w:rsidRPr="000B5E96" w:rsidRDefault="00350C7C">
            <w:pPr>
              <w:rPr>
                <w:rFonts w:ascii="Arial" w:hAnsi="Arial" w:cs="Arial"/>
              </w:rPr>
            </w:pPr>
            <w:r w:rsidRPr="000B5E96">
              <w:rPr>
                <w:rFonts w:ascii="Arial" w:hAnsi="Arial" w:cs="Arial"/>
              </w:rPr>
              <w:t>Access benefits, but governance risk</w:t>
            </w:r>
          </w:p>
        </w:tc>
      </w:tr>
      <w:tr w:rsidR="006C070F" w:rsidRPr="000B5E96" w14:paraId="387DCDFC" w14:textId="77777777">
        <w:trPr>
          <w:trHeight w:val="500"/>
        </w:trPr>
        <w:tc>
          <w:tcPr>
            <w:tcW w:w="1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64CABA" w14:textId="77777777" w:rsidR="006C070F" w:rsidRPr="000B5E96" w:rsidRDefault="00350C7C">
            <w:pPr>
              <w:rPr>
                <w:rFonts w:ascii="Arial" w:hAnsi="Arial" w:cs="Arial"/>
              </w:rPr>
            </w:pPr>
            <w:r w:rsidRPr="000B5E96">
              <w:rPr>
                <w:rFonts w:ascii="Arial" w:hAnsi="Arial" w:cs="Arial"/>
              </w:rPr>
              <w:t>Acquisition</w:t>
            </w:r>
          </w:p>
        </w:tc>
        <w:tc>
          <w:tcPr>
            <w:tcW w:w="1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C22467" w14:textId="77777777" w:rsidR="006C070F" w:rsidRPr="000B5E96" w:rsidRDefault="00350C7C">
            <w:pPr>
              <w:rPr>
                <w:rFonts w:ascii="Arial" w:hAnsi="Arial" w:cs="Arial"/>
              </w:rPr>
            </w:pPr>
            <w:r w:rsidRPr="000B5E96">
              <w:rPr>
                <w:rFonts w:ascii="Arial" w:hAnsi="Arial" w:cs="Arial"/>
              </w:rPr>
              <w:t>High</w:t>
            </w:r>
          </w:p>
        </w:tc>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FB4D4C" w14:textId="77777777" w:rsidR="006C070F" w:rsidRPr="000B5E96" w:rsidRDefault="00350C7C">
            <w:pPr>
              <w:rPr>
                <w:rFonts w:ascii="Arial" w:hAnsi="Arial" w:cs="Arial"/>
              </w:rPr>
            </w:pPr>
            <w:r w:rsidRPr="000B5E96">
              <w:rPr>
                <w:rFonts w:ascii="Arial" w:hAnsi="Arial" w:cs="Arial"/>
              </w:rPr>
              <w:t>High</w:t>
            </w:r>
          </w:p>
        </w:tc>
        <w:tc>
          <w:tcPr>
            <w:tcW w:w="1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13A33" w14:textId="77777777" w:rsidR="006C070F" w:rsidRPr="000B5E96" w:rsidRDefault="00350C7C">
            <w:pPr>
              <w:rPr>
                <w:rFonts w:ascii="Arial" w:hAnsi="Arial" w:cs="Arial"/>
              </w:rPr>
            </w:pPr>
            <w:r w:rsidRPr="000B5E96">
              <w:rPr>
                <w:rFonts w:ascii="Arial" w:hAnsi="Arial" w:cs="Arial"/>
              </w:rPr>
              <w:t>High</w:t>
            </w:r>
          </w:p>
        </w:tc>
        <w:tc>
          <w:tcPr>
            <w:tcW w:w="15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B264FB" w14:textId="77777777" w:rsidR="006C070F" w:rsidRPr="000B5E96" w:rsidRDefault="00350C7C">
            <w:pPr>
              <w:rPr>
                <w:rFonts w:ascii="Arial" w:hAnsi="Arial" w:cs="Arial"/>
              </w:rPr>
            </w:pPr>
            <w:r w:rsidRPr="000B5E96">
              <w:rPr>
                <w:rFonts w:ascii="Arial" w:hAnsi="Arial" w:cs="Arial"/>
              </w:rPr>
              <w:t>High</w:t>
            </w:r>
          </w:p>
        </w:tc>
        <w:tc>
          <w:tcPr>
            <w:tcW w:w="2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D8E2B3" w14:textId="77777777" w:rsidR="006C070F" w:rsidRPr="000B5E96" w:rsidRDefault="00350C7C">
            <w:pPr>
              <w:rPr>
                <w:rFonts w:ascii="Arial" w:hAnsi="Arial" w:cs="Arial"/>
              </w:rPr>
            </w:pPr>
            <w:r w:rsidRPr="000B5E96">
              <w:rPr>
                <w:rFonts w:ascii="Arial" w:hAnsi="Arial" w:cs="Arial"/>
              </w:rPr>
              <w:t>Rapid but costly</w:t>
            </w:r>
          </w:p>
        </w:tc>
      </w:tr>
      <w:tr w:rsidR="006C070F" w:rsidRPr="000B5E96" w14:paraId="24712B50" w14:textId="77777777">
        <w:trPr>
          <w:trHeight w:val="770"/>
        </w:trPr>
        <w:tc>
          <w:tcPr>
            <w:tcW w:w="1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541809" w14:textId="77777777" w:rsidR="006C070F" w:rsidRPr="000B5E96" w:rsidRDefault="00350C7C">
            <w:pPr>
              <w:rPr>
                <w:rFonts w:ascii="Arial" w:hAnsi="Arial" w:cs="Arial"/>
              </w:rPr>
            </w:pPr>
            <w:r w:rsidRPr="000B5E96">
              <w:rPr>
                <w:rFonts w:ascii="Arial" w:hAnsi="Arial" w:cs="Arial"/>
              </w:rPr>
              <w:t>Wholly owned greenfield</w:t>
            </w:r>
          </w:p>
        </w:tc>
        <w:tc>
          <w:tcPr>
            <w:tcW w:w="1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2AE2CB" w14:textId="77777777" w:rsidR="006C070F" w:rsidRPr="000B5E96" w:rsidRDefault="00350C7C">
            <w:pPr>
              <w:rPr>
                <w:rFonts w:ascii="Arial" w:hAnsi="Arial" w:cs="Arial"/>
              </w:rPr>
            </w:pPr>
            <w:r w:rsidRPr="000B5E96">
              <w:rPr>
                <w:rFonts w:ascii="Arial" w:hAnsi="Arial" w:cs="Arial"/>
              </w:rPr>
              <w:t>High</w:t>
            </w:r>
          </w:p>
        </w:tc>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4B5133" w14:textId="77777777" w:rsidR="006C070F" w:rsidRPr="000B5E96" w:rsidRDefault="00350C7C">
            <w:pPr>
              <w:rPr>
                <w:rFonts w:ascii="Arial" w:hAnsi="Arial" w:cs="Arial"/>
              </w:rPr>
            </w:pPr>
            <w:r w:rsidRPr="000B5E96">
              <w:rPr>
                <w:rFonts w:ascii="Arial" w:hAnsi="Arial" w:cs="Arial"/>
              </w:rPr>
              <w:t>Very high</w:t>
            </w:r>
          </w:p>
        </w:tc>
        <w:tc>
          <w:tcPr>
            <w:tcW w:w="1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76E7FE" w14:textId="77777777" w:rsidR="006C070F" w:rsidRPr="000B5E96" w:rsidRDefault="00350C7C">
            <w:pPr>
              <w:rPr>
                <w:rFonts w:ascii="Arial" w:hAnsi="Arial" w:cs="Arial"/>
              </w:rPr>
            </w:pPr>
            <w:r w:rsidRPr="000B5E96">
              <w:rPr>
                <w:rFonts w:ascii="Arial" w:hAnsi="Arial" w:cs="Arial"/>
              </w:rPr>
              <w:t>Medium</w:t>
            </w:r>
          </w:p>
        </w:tc>
        <w:tc>
          <w:tcPr>
            <w:tcW w:w="15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AEECA3" w14:textId="77777777" w:rsidR="006C070F" w:rsidRPr="000B5E96" w:rsidRDefault="00350C7C">
            <w:pPr>
              <w:rPr>
                <w:rFonts w:ascii="Arial" w:hAnsi="Arial" w:cs="Arial"/>
              </w:rPr>
            </w:pPr>
            <w:r w:rsidRPr="000B5E96">
              <w:rPr>
                <w:rFonts w:ascii="Arial" w:hAnsi="Arial" w:cs="Arial"/>
              </w:rPr>
              <w:t>Developed gradually</w:t>
            </w:r>
          </w:p>
        </w:tc>
        <w:tc>
          <w:tcPr>
            <w:tcW w:w="2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B92299" w14:textId="77777777" w:rsidR="006C070F" w:rsidRPr="000B5E96" w:rsidRDefault="00350C7C">
            <w:pPr>
              <w:rPr>
                <w:rFonts w:ascii="Arial" w:hAnsi="Arial" w:cs="Arial"/>
              </w:rPr>
            </w:pPr>
            <w:r w:rsidRPr="000B5E96">
              <w:rPr>
                <w:rFonts w:ascii="Arial" w:hAnsi="Arial" w:cs="Arial"/>
              </w:rPr>
              <w:t>Strong long-term fit</w:t>
            </w:r>
          </w:p>
        </w:tc>
      </w:tr>
    </w:tbl>
    <w:p w14:paraId="24976CD6" w14:textId="77777777" w:rsidR="006C070F" w:rsidRPr="000B5E96" w:rsidRDefault="00350C7C">
      <w:pPr>
        <w:rPr>
          <w:rFonts w:ascii="Arial" w:hAnsi="Arial" w:cs="Arial"/>
        </w:rPr>
      </w:pPr>
      <w:r w:rsidRPr="000B5E96">
        <w:rPr>
          <w:rFonts w:ascii="Arial" w:hAnsi="Arial" w:cs="Arial"/>
        </w:rPr>
        <w:t>Moving between countries has minimum investment since there are already national and Asian TCS capacities in India and ASEAN. Nevertheless, it would not make full use of the talent pool in Vietnam and would be an indicator of less seriousness to the enterprise customers. It would also be less supportive in areas of Vietnamese-language interaction, on-site transformation or sensitive information where these issues are crucial.</w:t>
      </w:r>
    </w:p>
    <w:p w14:paraId="6037203D" w14:textId="77777777" w:rsidR="006C070F" w:rsidRPr="000B5E96" w:rsidRDefault="00350C7C">
      <w:pPr>
        <w:rPr>
          <w:rFonts w:ascii="Arial" w:hAnsi="Arial" w:cs="Arial"/>
        </w:rPr>
      </w:pPr>
      <w:r w:rsidRPr="000B5E96">
        <w:rPr>
          <w:rFonts w:ascii="Arial" w:hAnsi="Arial" w:cs="Arial"/>
        </w:rPr>
        <w:t>A strategic alliance or joint venture would benefit with good market relationships and local knowledge with sharing the initial investment. The drawback is less control. What may confuse in the decisions regarding the cybersecurity, prices, staff norms, and rights on intellectual property are the different priorities of TCS and a Vietnamese partner.</w:t>
      </w:r>
    </w:p>
    <w:p w14:paraId="3DDC9D7A" w14:textId="77777777" w:rsidR="006C070F" w:rsidRPr="000B5E96" w:rsidRDefault="00350C7C">
      <w:pPr>
        <w:rPr>
          <w:rFonts w:ascii="Arial" w:hAnsi="Arial" w:cs="Arial"/>
        </w:rPr>
      </w:pPr>
      <w:r w:rsidRPr="000B5E96">
        <w:rPr>
          <w:rFonts w:ascii="Arial" w:hAnsi="Arial" w:cs="Arial"/>
        </w:rPr>
        <w:t>An acquisition would result in instant employees, knowledge and customer relationship. Nonetheless, in professional services acquisitions, integration risk is high due to the fact that the acquired value is predominantly in employees and relations which can be lost following ownership change.</w:t>
      </w:r>
    </w:p>
    <w:p w14:paraId="53921894" w14:textId="77777777" w:rsidR="006C070F" w:rsidRPr="000B5E96" w:rsidRDefault="00350C7C">
      <w:pPr>
        <w:rPr>
          <w:rFonts w:ascii="Arial" w:hAnsi="Arial" w:cs="Arial"/>
        </w:rPr>
      </w:pPr>
      <w:r w:rsidRPr="000B5E96">
        <w:rPr>
          <w:rFonts w:ascii="Arial" w:hAnsi="Arial" w:cs="Arial"/>
        </w:rPr>
        <w:t xml:space="preserve">A green field subsidiary is slower, but it allows TCS to </w:t>
      </w:r>
      <w:proofErr w:type="spellStart"/>
      <w:r w:rsidRPr="000B5E96">
        <w:rPr>
          <w:rFonts w:ascii="Arial" w:hAnsi="Arial" w:cs="Arial"/>
        </w:rPr>
        <w:t>architecturize</w:t>
      </w:r>
      <w:proofErr w:type="spellEnd"/>
      <w:r w:rsidRPr="000B5E96">
        <w:rPr>
          <w:rFonts w:ascii="Arial" w:hAnsi="Arial" w:cs="Arial"/>
        </w:rPr>
        <w:t xml:space="preserve"> its security, culture, training, recruitment and delivery architecture at the onset. This is especially applicable when effective organisational readiness and leadership are the key to successful Vietnamese digital transformation (Dang et al., 2024) and the effectiveness of cybersecurity relies partially on the compliance behaviour of employees (Tran et al., 2025).</w:t>
      </w:r>
    </w:p>
    <w:p w14:paraId="26C5B5A4" w14:textId="77777777" w:rsidR="006C070F" w:rsidRPr="000B5E96" w:rsidRDefault="00350C7C">
      <w:pPr>
        <w:rPr>
          <w:rFonts w:ascii="Arial" w:hAnsi="Arial" w:cs="Arial"/>
        </w:rPr>
      </w:pPr>
      <w:r w:rsidRPr="000B5E96">
        <w:rPr>
          <w:rFonts w:ascii="Arial" w:hAnsi="Arial" w:cs="Arial"/>
        </w:rPr>
        <w:t>An assessment, which is weighted, further shows the trade-offs. The scores lower than it will be an analytical assessment within the range of 1 to 5 and not outside statistics.</w:t>
      </w:r>
    </w:p>
    <w:tbl>
      <w:tblPr>
        <w:tblStyle w:val="a2"/>
        <w:tblW w:w="820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70"/>
        <w:gridCol w:w="965"/>
        <w:gridCol w:w="1595"/>
        <w:gridCol w:w="650"/>
        <w:gridCol w:w="1400"/>
        <w:gridCol w:w="1325"/>
      </w:tblGrid>
      <w:tr w:rsidR="006C070F" w:rsidRPr="000B5E96" w14:paraId="32F133A0" w14:textId="77777777">
        <w:trPr>
          <w:trHeight w:val="500"/>
        </w:trPr>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D6202F" w14:textId="77777777" w:rsidR="006C070F" w:rsidRPr="000B5E96" w:rsidRDefault="00350C7C">
            <w:pPr>
              <w:rPr>
                <w:rFonts w:ascii="Arial" w:hAnsi="Arial" w:cs="Arial"/>
              </w:rPr>
            </w:pPr>
            <w:r w:rsidRPr="000B5E96">
              <w:rPr>
                <w:rFonts w:ascii="Arial" w:hAnsi="Arial" w:cs="Arial"/>
                <w:b/>
                <w:bCs/>
              </w:rPr>
              <w:t>Criterion</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9D691D" w14:textId="77777777" w:rsidR="006C070F" w:rsidRPr="000B5E96" w:rsidRDefault="00350C7C">
            <w:pPr>
              <w:rPr>
                <w:rFonts w:ascii="Arial" w:hAnsi="Arial" w:cs="Arial"/>
              </w:rPr>
            </w:pPr>
            <w:r w:rsidRPr="000B5E96">
              <w:rPr>
                <w:rFonts w:ascii="Arial" w:hAnsi="Arial" w:cs="Arial"/>
                <w:b/>
                <w:bCs/>
              </w:rPr>
              <w:t>Weight</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D666AA" w14:textId="77777777" w:rsidR="006C070F" w:rsidRPr="000B5E96" w:rsidRDefault="00350C7C">
            <w:pPr>
              <w:rPr>
                <w:rFonts w:ascii="Arial" w:hAnsi="Arial" w:cs="Arial"/>
              </w:rPr>
            </w:pPr>
            <w:r w:rsidRPr="000B5E96">
              <w:rPr>
                <w:rFonts w:ascii="Arial" w:hAnsi="Arial" w:cs="Arial"/>
                <w:b/>
                <w:bCs/>
              </w:rPr>
              <w:t>Cross-border</w:t>
            </w:r>
          </w:p>
        </w:tc>
        <w:tc>
          <w:tcPr>
            <w:tcW w:w="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2D353E" w14:textId="77777777" w:rsidR="006C070F" w:rsidRPr="000B5E96" w:rsidRDefault="00350C7C">
            <w:pPr>
              <w:rPr>
                <w:rFonts w:ascii="Arial" w:hAnsi="Arial" w:cs="Arial"/>
              </w:rPr>
            </w:pPr>
            <w:r w:rsidRPr="000B5E96">
              <w:rPr>
                <w:rFonts w:ascii="Arial" w:hAnsi="Arial" w:cs="Arial"/>
                <w:b/>
                <w:bCs/>
              </w:rPr>
              <w:t>JV</w:t>
            </w:r>
          </w:p>
        </w:tc>
        <w:tc>
          <w:tcPr>
            <w:tcW w:w="1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6048D0" w14:textId="77777777" w:rsidR="006C070F" w:rsidRPr="000B5E96" w:rsidRDefault="00350C7C">
            <w:pPr>
              <w:rPr>
                <w:rFonts w:ascii="Arial" w:hAnsi="Arial" w:cs="Arial"/>
              </w:rPr>
            </w:pPr>
            <w:r w:rsidRPr="000B5E96">
              <w:rPr>
                <w:rFonts w:ascii="Arial" w:hAnsi="Arial" w:cs="Arial"/>
                <w:b/>
                <w:bCs/>
              </w:rPr>
              <w:t>Acquisition</w:t>
            </w:r>
          </w:p>
        </w:tc>
        <w:tc>
          <w:tcPr>
            <w:tcW w:w="1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D643BB" w14:textId="77777777" w:rsidR="006C070F" w:rsidRPr="000B5E96" w:rsidRDefault="00350C7C">
            <w:pPr>
              <w:rPr>
                <w:rFonts w:ascii="Arial" w:hAnsi="Arial" w:cs="Arial"/>
              </w:rPr>
            </w:pPr>
            <w:r w:rsidRPr="000B5E96">
              <w:rPr>
                <w:rFonts w:ascii="Arial" w:hAnsi="Arial" w:cs="Arial"/>
                <w:b/>
                <w:bCs/>
              </w:rPr>
              <w:t>Greenfield</w:t>
            </w:r>
          </w:p>
        </w:tc>
      </w:tr>
      <w:tr w:rsidR="006C070F" w:rsidRPr="000B5E96" w14:paraId="400E66E1" w14:textId="77777777">
        <w:trPr>
          <w:trHeight w:val="500"/>
        </w:trPr>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566108" w14:textId="77777777" w:rsidR="006C070F" w:rsidRPr="000B5E96" w:rsidRDefault="00350C7C">
            <w:pPr>
              <w:rPr>
                <w:rFonts w:ascii="Arial" w:hAnsi="Arial" w:cs="Arial"/>
              </w:rPr>
            </w:pPr>
            <w:r w:rsidRPr="000B5E96">
              <w:rPr>
                <w:rFonts w:ascii="Arial" w:hAnsi="Arial" w:cs="Arial"/>
              </w:rPr>
              <w:t>Control/IP protection</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D55CEE" w14:textId="77777777" w:rsidR="006C070F" w:rsidRPr="000B5E96" w:rsidRDefault="00350C7C">
            <w:pPr>
              <w:rPr>
                <w:rFonts w:ascii="Arial" w:hAnsi="Arial" w:cs="Arial"/>
              </w:rPr>
            </w:pPr>
            <w:r w:rsidRPr="000B5E96">
              <w:rPr>
                <w:rFonts w:ascii="Arial" w:hAnsi="Arial" w:cs="Arial"/>
              </w:rPr>
              <w:t>25%</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5AD4F4" w14:textId="77777777" w:rsidR="006C070F" w:rsidRPr="000B5E96" w:rsidRDefault="00350C7C">
            <w:pPr>
              <w:rPr>
                <w:rFonts w:ascii="Arial" w:hAnsi="Arial" w:cs="Arial"/>
              </w:rPr>
            </w:pPr>
            <w:r w:rsidRPr="000B5E96">
              <w:rPr>
                <w:rFonts w:ascii="Arial" w:hAnsi="Arial" w:cs="Arial"/>
              </w:rPr>
              <w:t>3</w:t>
            </w:r>
          </w:p>
        </w:tc>
        <w:tc>
          <w:tcPr>
            <w:tcW w:w="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A85AD8" w14:textId="77777777" w:rsidR="006C070F" w:rsidRPr="000B5E96" w:rsidRDefault="00350C7C">
            <w:pPr>
              <w:rPr>
                <w:rFonts w:ascii="Arial" w:hAnsi="Arial" w:cs="Arial"/>
              </w:rPr>
            </w:pPr>
            <w:r w:rsidRPr="000B5E96">
              <w:rPr>
                <w:rFonts w:ascii="Arial" w:hAnsi="Arial" w:cs="Arial"/>
              </w:rPr>
              <w:t>2</w:t>
            </w:r>
          </w:p>
        </w:tc>
        <w:tc>
          <w:tcPr>
            <w:tcW w:w="1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B2183D" w14:textId="77777777" w:rsidR="006C070F" w:rsidRPr="000B5E96" w:rsidRDefault="00350C7C">
            <w:pPr>
              <w:rPr>
                <w:rFonts w:ascii="Arial" w:hAnsi="Arial" w:cs="Arial"/>
              </w:rPr>
            </w:pPr>
            <w:r w:rsidRPr="000B5E96">
              <w:rPr>
                <w:rFonts w:ascii="Arial" w:hAnsi="Arial" w:cs="Arial"/>
              </w:rPr>
              <w:t>4</w:t>
            </w:r>
          </w:p>
        </w:tc>
        <w:tc>
          <w:tcPr>
            <w:tcW w:w="1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8BB19" w14:textId="77777777" w:rsidR="006C070F" w:rsidRPr="000B5E96" w:rsidRDefault="00350C7C">
            <w:pPr>
              <w:rPr>
                <w:rFonts w:ascii="Arial" w:hAnsi="Arial" w:cs="Arial"/>
              </w:rPr>
            </w:pPr>
            <w:r w:rsidRPr="000B5E96">
              <w:rPr>
                <w:rFonts w:ascii="Arial" w:hAnsi="Arial" w:cs="Arial"/>
              </w:rPr>
              <w:t>5</w:t>
            </w:r>
          </w:p>
        </w:tc>
      </w:tr>
      <w:tr w:rsidR="006C070F" w:rsidRPr="000B5E96" w14:paraId="0B1524A0" w14:textId="77777777">
        <w:trPr>
          <w:trHeight w:val="500"/>
        </w:trPr>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8D9371" w14:textId="77777777" w:rsidR="006C070F" w:rsidRPr="000B5E96" w:rsidRDefault="00350C7C">
            <w:pPr>
              <w:rPr>
                <w:rFonts w:ascii="Arial" w:hAnsi="Arial" w:cs="Arial"/>
              </w:rPr>
            </w:pPr>
            <w:r w:rsidRPr="000B5E96">
              <w:rPr>
                <w:rFonts w:ascii="Arial" w:hAnsi="Arial" w:cs="Arial"/>
              </w:rPr>
              <w:t>Regulatory/data fit</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E1763" w14:textId="77777777" w:rsidR="006C070F" w:rsidRPr="000B5E96" w:rsidRDefault="00350C7C">
            <w:pPr>
              <w:rPr>
                <w:rFonts w:ascii="Arial" w:hAnsi="Arial" w:cs="Arial"/>
              </w:rPr>
            </w:pPr>
            <w:r w:rsidRPr="000B5E96">
              <w:rPr>
                <w:rFonts w:ascii="Arial" w:hAnsi="Arial" w:cs="Arial"/>
              </w:rPr>
              <w:t>20%</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B419CA" w14:textId="77777777" w:rsidR="006C070F" w:rsidRPr="000B5E96" w:rsidRDefault="00350C7C">
            <w:pPr>
              <w:rPr>
                <w:rFonts w:ascii="Arial" w:hAnsi="Arial" w:cs="Arial"/>
              </w:rPr>
            </w:pPr>
            <w:r w:rsidRPr="000B5E96">
              <w:rPr>
                <w:rFonts w:ascii="Arial" w:hAnsi="Arial" w:cs="Arial"/>
              </w:rPr>
              <w:t>2</w:t>
            </w:r>
          </w:p>
        </w:tc>
        <w:tc>
          <w:tcPr>
            <w:tcW w:w="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4E38A4" w14:textId="77777777" w:rsidR="006C070F" w:rsidRPr="000B5E96" w:rsidRDefault="00350C7C">
            <w:pPr>
              <w:rPr>
                <w:rFonts w:ascii="Arial" w:hAnsi="Arial" w:cs="Arial"/>
              </w:rPr>
            </w:pPr>
            <w:r w:rsidRPr="000B5E96">
              <w:rPr>
                <w:rFonts w:ascii="Arial" w:hAnsi="Arial" w:cs="Arial"/>
              </w:rPr>
              <w:t>4</w:t>
            </w:r>
          </w:p>
        </w:tc>
        <w:tc>
          <w:tcPr>
            <w:tcW w:w="1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DFD8BF" w14:textId="77777777" w:rsidR="006C070F" w:rsidRPr="000B5E96" w:rsidRDefault="00350C7C">
            <w:pPr>
              <w:rPr>
                <w:rFonts w:ascii="Arial" w:hAnsi="Arial" w:cs="Arial"/>
              </w:rPr>
            </w:pPr>
            <w:r w:rsidRPr="000B5E96">
              <w:rPr>
                <w:rFonts w:ascii="Arial" w:hAnsi="Arial" w:cs="Arial"/>
              </w:rPr>
              <w:t>4</w:t>
            </w:r>
          </w:p>
        </w:tc>
        <w:tc>
          <w:tcPr>
            <w:tcW w:w="1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8B0A40" w14:textId="77777777" w:rsidR="006C070F" w:rsidRPr="000B5E96" w:rsidRDefault="00350C7C">
            <w:pPr>
              <w:rPr>
                <w:rFonts w:ascii="Arial" w:hAnsi="Arial" w:cs="Arial"/>
              </w:rPr>
            </w:pPr>
            <w:r w:rsidRPr="000B5E96">
              <w:rPr>
                <w:rFonts w:ascii="Arial" w:hAnsi="Arial" w:cs="Arial"/>
              </w:rPr>
              <w:t>5</w:t>
            </w:r>
          </w:p>
        </w:tc>
      </w:tr>
      <w:tr w:rsidR="006C070F" w:rsidRPr="000B5E96" w14:paraId="1A62E74D" w14:textId="77777777">
        <w:trPr>
          <w:trHeight w:val="500"/>
        </w:trPr>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2ACCC4" w14:textId="77777777" w:rsidR="006C070F" w:rsidRPr="000B5E96" w:rsidRDefault="00350C7C">
            <w:pPr>
              <w:rPr>
                <w:rFonts w:ascii="Arial" w:hAnsi="Arial" w:cs="Arial"/>
              </w:rPr>
            </w:pPr>
            <w:r w:rsidRPr="000B5E96">
              <w:rPr>
                <w:rFonts w:ascii="Arial" w:hAnsi="Arial" w:cs="Arial"/>
              </w:rPr>
              <w:t>Local knowledge</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FE4F5A" w14:textId="77777777" w:rsidR="006C070F" w:rsidRPr="000B5E96" w:rsidRDefault="00350C7C">
            <w:pPr>
              <w:rPr>
                <w:rFonts w:ascii="Arial" w:hAnsi="Arial" w:cs="Arial"/>
              </w:rPr>
            </w:pPr>
            <w:r w:rsidRPr="000B5E96">
              <w:rPr>
                <w:rFonts w:ascii="Arial" w:hAnsi="Arial" w:cs="Arial"/>
              </w:rPr>
              <w:t>15%</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36E27F" w14:textId="77777777" w:rsidR="006C070F" w:rsidRPr="000B5E96" w:rsidRDefault="00350C7C">
            <w:pPr>
              <w:rPr>
                <w:rFonts w:ascii="Arial" w:hAnsi="Arial" w:cs="Arial"/>
              </w:rPr>
            </w:pPr>
            <w:r w:rsidRPr="000B5E96">
              <w:rPr>
                <w:rFonts w:ascii="Arial" w:hAnsi="Arial" w:cs="Arial"/>
              </w:rPr>
              <w:t>1</w:t>
            </w:r>
          </w:p>
        </w:tc>
        <w:tc>
          <w:tcPr>
            <w:tcW w:w="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9C01D2" w14:textId="77777777" w:rsidR="006C070F" w:rsidRPr="000B5E96" w:rsidRDefault="00350C7C">
            <w:pPr>
              <w:rPr>
                <w:rFonts w:ascii="Arial" w:hAnsi="Arial" w:cs="Arial"/>
              </w:rPr>
            </w:pPr>
            <w:r w:rsidRPr="000B5E96">
              <w:rPr>
                <w:rFonts w:ascii="Arial" w:hAnsi="Arial" w:cs="Arial"/>
              </w:rPr>
              <w:t>5</w:t>
            </w:r>
          </w:p>
        </w:tc>
        <w:tc>
          <w:tcPr>
            <w:tcW w:w="1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FEAD68" w14:textId="77777777" w:rsidR="006C070F" w:rsidRPr="000B5E96" w:rsidRDefault="00350C7C">
            <w:pPr>
              <w:rPr>
                <w:rFonts w:ascii="Arial" w:hAnsi="Arial" w:cs="Arial"/>
              </w:rPr>
            </w:pPr>
            <w:r w:rsidRPr="000B5E96">
              <w:rPr>
                <w:rFonts w:ascii="Arial" w:hAnsi="Arial" w:cs="Arial"/>
              </w:rPr>
              <w:t>4</w:t>
            </w:r>
          </w:p>
        </w:tc>
        <w:tc>
          <w:tcPr>
            <w:tcW w:w="1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4F39A3" w14:textId="77777777" w:rsidR="006C070F" w:rsidRPr="000B5E96" w:rsidRDefault="00350C7C">
            <w:pPr>
              <w:rPr>
                <w:rFonts w:ascii="Arial" w:hAnsi="Arial" w:cs="Arial"/>
              </w:rPr>
            </w:pPr>
            <w:r w:rsidRPr="000B5E96">
              <w:rPr>
                <w:rFonts w:ascii="Arial" w:hAnsi="Arial" w:cs="Arial"/>
              </w:rPr>
              <w:t>3</w:t>
            </w:r>
          </w:p>
        </w:tc>
      </w:tr>
      <w:tr w:rsidR="006C070F" w:rsidRPr="000B5E96" w14:paraId="1CE110DB" w14:textId="77777777">
        <w:trPr>
          <w:trHeight w:val="500"/>
        </w:trPr>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503A94" w14:textId="77777777" w:rsidR="006C070F" w:rsidRPr="000B5E96" w:rsidRDefault="00350C7C">
            <w:pPr>
              <w:rPr>
                <w:rFonts w:ascii="Arial" w:hAnsi="Arial" w:cs="Arial"/>
              </w:rPr>
            </w:pPr>
            <w:r w:rsidRPr="000B5E96">
              <w:rPr>
                <w:rFonts w:ascii="Arial" w:hAnsi="Arial" w:cs="Arial"/>
              </w:rPr>
              <w:t>Speed</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E43628" w14:textId="77777777" w:rsidR="006C070F" w:rsidRPr="000B5E96" w:rsidRDefault="00350C7C">
            <w:pPr>
              <w:rPr>
                <w:rFonts w:ascii="Arial" w:hAnsi="Arial" w:cs="Arial"/>
              </w:rPr>
            </w:pPr>
            <w:r w:rsidRPr="000B5E96">
              <w:rPr>
                <w:rFonts w:ascii="Arial" w:hAnsi="Arial" w:cs="Arial"/>
              </w:rPr>
              <w:t>10%</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FE4FB6" w14:textId="77777777" w:rsidR="006C070F" w:rsidRPr="000B5E96" w:rsidRDefault="00350C7C">
            <w:pPr>
              <w:rPr>
                <w:rFonts w:ascii="Arial" w:hAnsi="Arial" w:cs="Arial"/>
              </w:rPr>
            </w:pPr>
            <w:r w:rsidRPr="000B5E96">
              <w:rPr>
                <w:rFonts w:ascii="Arial" w:hAnsi="Arial" w:cs="Arial"/>
              </w:rPr>
              <w:t>5</w:t>
            </w:r>
          </w:p>
        </w:tc>
        <w:tc>
          <w:tcPr>
            <w:tcW w:w="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44AEEB" w14:textId="77777777" w:rsidR="006C070F" w:rsidRPr="000B5E96" w:rsidRDefault="00350C7C">
            <w:pPr>
              <w:rPr>
                <w:rFonts w:ascii="Arial" w:hAnsi="Arial" w:cs="Arial"/>
              </w:rPr>
            </w:pPr>
            <w:r w:rsidRPr="000B5E96">
              <w:rPr>
                <w:rFonts w:ascii="Arial" w:hAnsi="Arial" w:cs="Arial"/>
              </w:rPr>
              <w:t>4</w:t>
            </w:r>
          </w:p>
        </w:tc>
        <w:tc>
          <w:tcPr>
            <w:tcW w:w="1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F730E3" w14:textId="77777777" w:rsidR="006C070F" w:rsidRPr="000B5E96" w:rsidRDefault="00350C7C">
            <w:pPr>
              <w:rPr>
                <w:rFonts w:ascii="Arial" w:hAnsi="Arial" w:cs="Arial"/>
              </w:rPr>
            </w:pPr>
            <w:r w:rsidRPr="000B5E96">
              <w:rPr>
                <w:rFonts w:ascii="Arial" w:hAnsi="Arial" w:cs="Arial"/>
              </w:rPr>
              <w:t>5</w:t>
            </w:r>
          </w:p>
        </w:tc>
        <w:tc>
          <w:tcPr>
            <w:tcW w:w="1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1B1AD5" w14:textId="77777777" w:rsidR="006C070F" w:rsidRPr="000B5E96" w:rsidRDefault="00350C7C">
            <w:pPr>
              <w:rPr>
                <w:rFonts w:ascii="Arial" w:hAnsi="Arial" w:cs="Arial"/>
              </w:rPr>
            </w:pPr>
            <w:r w:rsidRPr="000B5E96">
              <w:rPr>
                <w:rFonts w:ascii="Arial" w:hAnsi="Arial" w:cs="Arial"/>
              </w:rPr>
              <w:t>2</w:t>
            </w:r>
          </w:p>
        </w:tc>
      </w:tr>
      <w:tr w:rsidR="006C070F" w:rsidRPr="000B5E96" w14:paraId="219D77A7" w14:textId="77777777">
        <w:trPr>
          <w:trHeight w:val="500"/>
        </w:trPr>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50733C" w14:textId="77777777" w:rsidR="006C070F" w:rsidRPr="000B5E96" w:rsidRDefault="00350C7C">
            <w:pPr>
              <w:rPr>
                <w:rFonts w:ascii="Arial" w:hAnsi="Arial" w:cs="Arial"/>
              </w:rPr>
            </w:pPr>
            <w:r w:rsidRPr="000B5E96">
              <w:rPr>
                <w:rFonts w:ascii="Arial" w:hAnsi="Arial" w:cs="Arial"/>
              </w:rPr>
              <w:t>Capital-risk profile</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6177D4" w14:textId="77777777" w:rsidR="006C070F" w:rsidRPr="000B5E96" w:rsidRDefault="00350C7C">
            <w:pPr>
              <w:rPr>
                <w:rFonts w:ascii="Arial" w:hAnsi="Arial" w:cs="Arial"/>
              </w:rPr>
            </w:pPr>
            <w:r w:rsidRPr="000B5E96">
              <w:rPr>
                <w:rFonts w:ascii="Arial" w:hAnsi="Arial" w:cs="Arial"/>
              </w:rPr>
              <w:t>15%</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3EA7E0" w14:textId="77777777" w:rsidR="006C070F" w:rsidRPr="000B5E96" w:rsidRDefault="00350C7C">
            <w:pPr>
              <w:rPr>
                <w:rFonts w:ascii="Arial" w:hAnsi="Arial" w:cs="Arial"/>
              </w:rPr>
            </w:pPr>
            <w:r w:rsidRPr="000B5E96">
              <w:rPr>
                <w:rFonts w:ascii="Arial" w:hAnsi="Arial" w:cs="Arial"/>
              </w:rPr>
              <w:t>5</w:t>
            </w:r>
          </w:p>
        </w:tc>
        <w:tc>
          <w:tcPr>
            <w:tcW w:w="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BB39FD" w14:textId="77777777" w:rsidR="006C070F" w:rsidRPr="000B5E96" w:rsidRDefault="00350C7C">
            <w:pPr>
              <w:rPr>
                <w:rFonts w:ascii="Arial" w:hAnsi="Arial" w:cs="Arial"/>
              </w:rPr>
            </w:pPr>
            <w:r w:rsidRPr="000B5E96">
              <w:rPr>
                <w:rFonts w:ascii="Arial" w:hAnsi="Arial" w:cs="Arial"/>
              </w:rPr>
              <w:t>3</w:t>
            </w:r>
          </w:p>
        </w:tc>
        <w:tc>
          <w:tcPr>
            <w:tcW w:w="1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C71EE" w14:textId="77777777" w:rsidR="006C070F" w:rsidRPr="000B5E96" w:rsidRDefault="00350C7C">
            <w:pPr>
              <w:rPr>
                <w:rFonts w:ascii="Arial" w:hAnsi="Arial" w:cs="Arial"/>
              </w:rPr>
            </w:pPr>
            <w:r w:rsidRPr="000B5E96">
              <w:rPr>
                <w:rFonts w:ascii="Arial" w:hAnsi="Arial" w:cs="Arial"/>
              </w:rPr>
              <w:t>1</w:t>
            </w:r>
          </w:p>
        </w:tc>
        <w:tc>
          <w:tcPr>
            <w:tcW w:w="1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9B9B31" w14:textId="77777777" w:rsidR="006C070F" w:rsidRPr="000B5E96" w:rsidRDefault="00350C7C">
            <w:pPr>
              <w:rPr>
                <w:rFonts w:ascii="Arial" w:hAnsi="Arial" w:cs="Arial"/>
              </w:rPr>
            </w:pPr>
            <w:r w:rsidRPr="000B5E96">
              <w:rPr>
                <w:rFonts w:ascii="Arial" w:hAnsi="Arial" w:cs="Arial"/>
              </w:rPr>
              <w:t>2</w:t>
            </w:r>
          </w:p>
        </w:tc>
      </w:tr>
      <w:tr w:rsidR="006C070F" w:rsidRPr="000B5E96" w14:paraId="1D354817" w14:textId="77777777">
        <w:trPr>
          <w:trHeight w:val="500"/>
        </w:trPr>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03F4C5" w14:textId="77777777" w:rsidR="006C070F" w:rsidRPr="000B5E96" w:rsidRDefault="00350C7C">
            <w:pPr>
              <w:rPr>
                <w:rFonts w:ascii="Arial" w:hAnsi="Arial" w:cs="Arial"/>
              </w:rPr>
            </w:pPr>
            <w:r w:rsidRPr="000B5E96">
              <w:rPr>
                <w:rFonts w:ascii="Arial" w:hAnsi="Arial" w:cs="Arial"/>
              </w:rPr>
              <w:t>Scalability</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D1FEC2" w14:textId="77777777" w:rsidR="006C070F" w:rsidRPr="000B5E96" w:rsidRDefault="00350C7C">
            <w:pPr>
              <w:rPr>
                <w:rFonts w:ascii="Arial" w:hAnsi="Arial" w:cs="Arial"/>
              </w:rPr>
            </w:pPr>
            <w:r w:rsidRPr="000B5E96">
              <w:rPr>
                <w:rFonts w:ascii="Arial" w:hAnsi="Arial" w:cs="Arial"/>
              </w:rPr>
              <w:t>15%</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274679" w14:textId="77777777" w:rsidR="006C070F" w:rsidRPr="000B5E96" w:rsidRDefault="00350C7C">
            <w:pPr>
              <w:rPr>
                <w:rFonts w:ascii="Arial" w:hAnsi="Arial" w:cs="Arial"/>
              </w:rPr>
            </w:pPr>
            <w:r w:rsidRPr="000B5E96">
              <w:rPr>
                <w:rFonts w:ascii="Arial" w:hAnsi="Arial" w:cs="Arial"/>
              </w:rPr>
              <w:t>2</w:t>
            </w:r>
          </w:p>
        </w:tc>
        <w:tc>
          <w:tcPr>
            <w:tcW w:w="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C75C50" w14:textId="77777777" w:rsidR="006C070F" w:rsidRPr="000B5E96" w:rsidRDefault="00350C7C">
            <w:pPr>
              <w:rPr>
                <w:rFonts w:ascii="Arial" w:hAnsi="Arial" w:cs="Arial"/>
              </w:rPr>
            </w:pPr>
            <w:r w:rsidRPr="000B5E96">
              <w:rPr>
                <w:rFonts w:ascii="Arial" w:hAnsi="Arial" w:cs="Arial"/>
              </w:rPr>
              <w:t>3</w:t>
            </w:r>
          </w:p>
        </w:tc>
        <w:tc>
          <w:tcPr>
            <w:tcW w:w="1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2D200F" w14:textId="77777777" w:rsidR="006C070F" w:rsidRPr="000B5E96" w:rsidRDefault="00350C7C">
            <w:pPr>
              <w:rPr>
                <w:rFonts w:ascii="Arial" w:hAnsi="Arial" w:cs="Arial"/>
              </w:rPr>
            </w:pPr>
            <w:r w:rsidRPr="000B5E96">
              <w:rPr>
                <w:rFonts w:ascii="Arial" w:hAnsi="Arial" w:cs="Arial"/>
              </w:rPr>
              <w:t>4</w:t>
            </w:r>
          </w:p>
        </w:tc>
        <w:tc>
          <w:tcPr>
            <w:tcW w:w="1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33C5BA" w14:textId="77777777" w:rsidR="006C070F" w:rsidRPr="000B5E96" w:rsidRDefault="00350C7C">
            <w:pPr>
              <w:rPr>
                <w:rFonts w:ascii="Arial" w:hAnsi="Arial" w:cs="Arial"/>
              </w:rPr>
            </w:pPr>
            <w:r w:rsidRPr="000B5E96">
              <w:rPr>
                <w:rFonts w:ascii="Arial" w:hAnsi="Arial" w:cs="Arial"/>
              </w:rPr>
              <w:t>5</w:t>
            </w:r>
          </w:p>
        </w:tc>
      </w:tr>
      <w:tr w:rsidR="006C070F" w:rsidRPr="000B5E96" w14:paraId="1FE29E47" w14:textId="77777777">
        <w:trPr>
          <w:trHeight w:val="500"/>
        </w:trPr>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1B53D4" w14:textId="77777777" w:rsidR="006C070F" w:rsidRPr="000B5E96" w:rsidRDefault="00350C7C">
            <w:pPr>
              <w:rPr>
                <w:rFonts w:ascii="Arial" w:hAnsi="Arial" w:cs="Arial"/>
              </w:rPr>
            </w:pPr>
            <w:r w:rsidRPr="000B5E96">
              <w:rPr>
                <w:rFonts w:ascii="Arial" w:hAnsi="Arial" w:cs="Arial"/>
                <w:b/>
                <w:bCs/>
              </w:rPr>
              <w:t>Weighted score / 5</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6BABB4" w14:textId="77777777" w:rsidR="006C070F" w:rsidRPr="000B5E96" w:rsidRDefault="00350C7C">
            <w:pPr>
              <w:rPr>
                <w:rFonts w:ascii="Arial" w:hAnsi="Arial" w:cs="Arial"/>
              </w:rPr>
            </w:pPr>
            <w:r w:rsidRPr="000B5E96">
              <w:rPr>
                <w:rFonts w:ascii="Arial" w:hAnsi="Arial" w:cs="Arial"/>
                <w:b/>
                <w:bCs/>
              </w:rPr>
              <w:t>100%</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A7015D" w14:textId="77777777" w:rsidR="006C070F" w:rsidRPr="000B5E96" w:rsidRDefault="00350C7C">
            <w:pPr>
              <w:rPr>
                <w:rFonts w:ascii="Arial" w:hAnsi="Arial" w:cs="Arial"/>
              </w:rPr>
            </w:pPr>
            <w:r w:rsidRPr="000B5E96">
              <w:rPr>
                <w:rFonts w:ascii="Arial" w:hAnsi="Arial" w:cs="Arial"/>
                <w:b/>
                <w:bCs/>
              </w:rPr>
              <w:t>2.85</w:t>
            </w:r>
          </w:p>
        </w:tc>
        <w:tc>
          <w:tcPr>
            <w:tcW w:w="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EC38FB" w14:textId="77777777" w:rsidR="006C070F" w:rsidRPr="000B5E96" w:rsidRDefault="00350C7C">
            <w:pPr>
              <w:rPr>
                <w:rFonts w:ascii="Arial" w:hAnsi="Arial" w:cs="Arial"/>
              </w:rPr>
            </w:pPr>
            <w:r w:rsidRPr="000B5E96">
              <w:rPr>
                <w:rFonts w:ascii="Arial" w:hAnsi="Arial" w:cs="Arial"/>
                <w:b/>
                <w:bCs/>
              </w:rPr>
              <w:t>3.35</w:t>
            </w:r>
          </w:p>
        </w:tc>
        <w:tc>
          <w:tcPr>
            <w:tcW w:w="1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52DA1E" w14:textId="77777777" w:rsidR="006C070F" w:rsidRPr="000B5E96" w:rsidRDefault="00350C7C">
            <w:pPr>
              <w:rPr>
                <w:rFonts w:ascii="Arial" w:hAnsi="Arial" w:cs="Arial"/>
              </w:rPr>
            </w:pPr>
            <w:r w:rsidRPr="000B5E96">
              <w:rPr>
                <w:rFonts w:ascii="Arial" w:hAnsi="Arial" w:cs="Arial"/>
                <w:b/>
                <w:bCs/>
              </w:rPr>
              <w:t>3.65</w:t>
            </w:r>
          </w:p>
        </w:tc>
        <w:tc>
          <w:tcPr>
            <w:tcW w:w="1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657C9" w14:textId="77777777" w:rsidR="006C070F" w:rsidRPr="000B5E96" w:rsidRDefault="00350C7C">
            <w:pPr>
              <w:rPr>
                <w:rFonts w:ascii="Arial" w:hAnsi="Arial" w:cs="Arial"/>
              </w:rPr>
            </w:pPr>
            <w:r w:rsidRPr="000B5E96">
              <w:rPr>
                <w:rFonts w:ascii="Arial" w:hAnsi="Arial" w:cs="Arial"/>
                <w:b/>
                <w:bCs/>
              </w:rPr>
              <w:t>3.95</w:t>
            </w:r>
          </w:p>
        </w:tc>
      </w:tr>
    </w:tbl>
    <w:p w14:paraId="53DED59F" w14:textId="77777777" w:rsidR="006C070F" w:rsidRPr="000B5E96" w:rsidRDefault="00350C7C">
      <w:pPr>
        <w:rPr>
          <w:rFonts w:ascii="Arial" w:hAnsi="Arial" w:cs="Arial"/>
        </w:rPr>
      </w:pPr>
      <w:r w:rsidRPr="000B5E96">
        <w:rPr>
          <w:rFonts w:ascii="Arial" w:hAnsi="Arial" w:cs="Arial"/>
        </w:rPr>
        <w:t>The matrix is not the recommendation in itself, but it shows why the greenfield investment is better, when such factors as data governance, intellectual-property protection, scalability and control have more weight than levels of speed.</w:t>
      </w:r>
    </w:p>
    <w:p w14:paraId="26B607B6" w14:textId="77777777" w:rsidR="006C070F" w:rsidRDefault="00350C7C">
      <w:pPr>
        <w:pStyle w:val="Heading2"/>
        <w:keepNext w:val="0"/>
        <w:keepLines w:val="0"/>
        <w:rPr>
          <w:rFonts w:ascii="Arial" w:hAnsi="Arial" w:cs="Arial"/>
          <w:sz w:val="24"/>
          <w:szCs w:val="24"/>
        </w:rPr>
      </w:pPr>
      <w:bookmarkStart w:id="18" w:name="_Toc237568562"/>
      <w:r w:rsidRPr="000B5E96">
        <w:rPr>
          <w:rFonts w:ascii="Arial" w:hAnsi="Arial" w:cs="Arial"/>
          <w:sz w:val="24"/>
          <w:szCs w:val="24"/>
        </w:rPr>
        <w:t>3.2 Recommended Entry Strategy</w:t>
      </w:r>
      <w:bookmarkEnd w:id="18"/>
    </w:p>
    <w:p w14:paraId="24FFA89E" w14:textId="2EE6F393" w:rsidR="00D554D2" w:rsidRPr="00D554D2" w:rsidRDefault="00D554D2" w:rsidP="00D554D2">
      <w:pPr>
        <w:rPr>
          <w:lang w:val="en-IN"/>
        </w:rPr>
      </w:pPr>
      <w:r w:rsidRPr="00D554D2">
        <w:rPr>
          <w:noProof/>
          <w:lang w:val="en-IN"/>
        </w:rPr>
        <w:drawing>
          <wp:inline distT="0" distB="0" distL="0" distR="0" wp14:anchorId="0B1AFA44" wp14:editId="5180082B">
            <wp:extent cx="5733415" cy="3317240"/>
            <wp:effectExtent l="0" t="0" r="635" b="0"/>
            <wp:docPr id="58788595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7974" b="5234"/>
                    <a:stretch>
                      <a:fillRect/>
                    </a:stretch>
                  </pic:blipFill>
                  <pic:spPr bwMode="auto">
                    <a:xfrm>
                      <a:off x="0" y="0"/>
                      <a:ext cx="5733415" cy="3317240"/>
                    </a:xfrm>
                    <a:prstGeom prst="rect">
                      <a:avLst/>
                    </a:prstGeom>
                    <a:noFill/>
                    <a:ln>
                      <a:noFill/>
                    </a:ln>
                    <a:extLst>
                      <a:ext uri="{53640926-AAD7-44D8-BBD7-CCE9431645EC}">
                        <a14:shadowObscured xmlns:a14="http://schemas.microsoft.com/office/drawing/2010/main"/>
                      </a:ext>
                    </a:extLst>
                  </pic:spPr>
                </pic:pic>
              </a:graphicData>
            </a:graphic>
          </wp:inline>
        </w:drawing>
      </w:r>
    </w:p>
    <w:p w14:paraId="06A130C2" w14:textId="2E7117B7" w:rsidR="00D554D2" w:rsidRPr="00D554D2" w:rsidRDefault="00D554D2" w:rsidP="00D554D2">
      <w:pPr>
        <w:jc w:val="center"/>
        <w:rPr>
          <w:rFonts w:ascii="Arial" w:hAnsi="Arial" w:cs="Arial"/>
          <w:b/>
          <w:bCs/>
          <w:lang w:val="en-IN"/>
        </w:rPr>
      </w:pPr>
      <w:r w:rsidRPr="000B5E96">
        <w:rPr>
          <w:rFonts w:ascii="Arial" w:hAnsi="Arial" w:cs="Arial"/>
          <w:b/>
          <w:bCs/>
        </w:rPr>
        <w:t xml:space="preserve">Figure </w:t>
      </w:r>
      <w:r>
        <w:rPr>
          <w:rFonts w:ascii="Arial" w:hAnsi="Arial" w:cs="Arial"/>
          <w:b/>
          <w:bCs/>
        </w:rPr>
        <w:t>9</w:t>
      </w:r>
      <w:r w:rsidRPr="000B5E96">
        <w:rPr>
          <w:rFonts w:ascii="Arial" w:hAnsi="Arial" w:cs="Arial"/>
          <w:b/>
          <w:bCs/>
        </w:rPr>
        <w:t xml:space="preserve">: </w:t>
      </w:r>
      <w:r w:rsidRPr="00D554D2">
        <w:rPr>
          <w:rFonts w:ascii="Arial" w:hAnsi="Arial" w:cs="Arial"/>
          <w:b/>
          <w:bCs/>
        </w:rPr>
        <w:t>TCS Vietnam Market Entry Roadmap (Phased Approach)</w:t>
      </w:r>
    </w:p>
    <w:p w14:paraId="4F818226" w14:textId="353C3654" w:rsidR="00D554D2" w:rsidRPr="00D554D2" w:rsidRDefault="00D554D2" w:rsidP="00D554D2">
      <w:pPr>
        <w:jc w:val="center"/>
        <w:rPr>
          <w:rFonts w:ascii="Arial" w:hAnsi="Arial" w:cs="Arial"/>
        </w:rPr>
      </w:pPr>
      <w:r w:rsidRPr="000B5E96">
        <w:rPr>
          <w:rFonts w:ascii="Arial" w:hAnsi="Arial" w:cs="Arial"/>
        </w:rPr>
        <w:t>(Source:</w:t>
      </w:r>
      <w:r>
        <w:rPr>
          <w:rFonts w:ascii="Arial" w:hAnsi="Arial" w:cs="Arial"/>
        </w:rPr>
        <w:t xml:space="preserve"> </w:t>
      </w:r>
      <w:r w:rsidRPr="00D554D2">
        <w:rPr>
          <w:rFonts w:ascii="Arial" w:hAnsi="Arial" w:cs="Arial"/>
        </w:rPr>
        <w:t>Author-developed based on analysis in Section 3.2 and Tata Consultancy Services (2025; 2026).</w:t>
      </w:r>
      <w:r>
        <w:rPr>
          <w:rFonts w:ascii="Arial" w:hAnsi="Arial" w:cs="Arial"/>
        </w:rPr>
        <w:t>)</w:t>
      </w:r>
    </w:p>
    <w:p w14:paraId="30528784" w14:textId="77777777" w:rsidR="006C070F" w:rsidRPr="000B5E96" w:rsidRDefault="00350C7C">
      <w:pPr>
        <w:rPr>
          <w:rFonts w:ascii="Arial" w:hAnsi="Arial" w:cs="Arial"/>
        </w:rPr>
      </w:pPr>
      <w:r w:rsidRPr="000B5E96">
        <w:rPr>
          <w:rFonts w:ascii="Arial" w:hAnsi="Arial" w:cs="Arial"/>
        </w:rPr>
        <w:t>It is a phased wholly owned subsidiary that is suggested thereof to start with a client facing consulting and digital-delivery centre in either of the Hanoi or Ho Chi Minh City. Phase one must be comparatively light on assets and comprise the local sales, consulting, solution architecture, cybersecurity /privacy capability and a delivery team that is linked to TCS centres in other regions in India and Asia. This establishes institutional learning and presence in the market, without necessarily investing in physical delivery campus of large scale. The phase two must be an expansion of the domestic delivery, when the anchored customers, utilisation and talent pipelines have been proven.</w:t>
      </w:r>
    </w:p>
    <w:p w14:paraId="6925A7D8" w14:textId="77777777" w:rsidR="006C070F" w:rsidRPr="000B5E96" w:rsidRDefault="00350C7C">
      <w:pPr>
        <w:rPr>
          <w:rFonts w:ascii="Arial" w:hAnsi="Arial" w:cs="Arial"/>
        </w:rPr>
      </w:pPr>
      <w:r w:rsidRPr="000B5E96">
        <w:rPr>
          <w:rFonts w:ascii="Arial" w:hAnsi="Arial" w:cs="Arial"/>
        </w:rPr>
        <w:t>There are three risk reduction mechanisms.</w:t>
      </w:r>
    </w:p>
    <w:p w14:paraId="64A501F4" w14:textId="77777777" w:rsidR="006C070F" w:rsidRPr="000B5E96" w:rsidRDefault="00350C7C">
      <w:pPr>
        <w:rPr>
          <w:rFonts w:ascii="Arial" w:hAnsi="Arial" w:cs="Arial"/>
        </w:rPr>
      </w:pPr>
      <w:r w:rsidRPr="000B5E96">
        <w:rPr>
          <w:rFonts w:ascii="Arial" w:hAnsi="Arial" w:cs="Arial"/>
        </w:rPr>
        <w:t>To start with, TCS must develop university and professional collaborations on AI, cloud computing, cybersecurity, project leadership and business English. Nguyen and Nguyen (2024) stack the variable skills needs introduced by Industry 4.0 and Huyen et al. (2024) present the significance of the correlation between digitalisation and human capital. The role of developing local skills is thus considered a part of the investment, and not a social-responsibility measure on the side.</w:t>
      </w:r>
    </w:p>
    <w:p w14:paraId="2948CA7A" w14:textId="77777777" w:rsidR="006C070F" w:rsidRPr="000B5E96" w:rsidRDefault="00350C7C">
      <w:pPr>
        <w:rPr>
          <w:rFonts w:ascii="Arial" w:hAnsi="Arial" w:cs="Arial"/>
        </w:rPr>
      </w:pPr>
      <w:r w:rsidRPr="000B5E96">
        <w:rPr>
          <w:rFonts w:ascii="Arial" w:hAnsi="Arial" w:cs="Arial"/>
        </w:rPr>
        <w:t xml:space="preserve">Second, TCS ought to come up with privacy-by-design operations. Data-protection expertise in Vietnam, committed records of data flows and controlled cross-national transfers would lessen </w:t>
      </w:r>
      <w:proofErr w:type="gramStart"/>
      <w:r w:rsidRPr="000B5E96">
        <w:rPr>
          <w:rFonts w:ascii="Arial" w:hAnsi="Arial" w:cs="Arial"/>
        </w:rPr>
        <w:t>authorities</w:t>
      </w:r>
      <w:proofErr w:type="gramEnd"/>
      <w:r w:rsidRPr="000B5E96">
        <w:rPr>
          <w:rFonts w:ascii="Arial" w:hAnsi="Arial" w:cs="Arial"/>
        </w:rPr>
        <w:t xml:space="preserve"> hazards (Government of Vietnam, 2023; National Assembly of Vietnam, 2024).</w:t>
      </w:r>
    </w:p>
    <w:p w14:paraId="688C862E" w14:textId="77777777" w:rsidR="006C070F" w:rsidRPr="000B5E96" w:rsidRDefault="00350C7C">
      <w:pPr>
        <w:rPr>
          <w:rFonts w:ascii="Arial" w:hAnsi="Arial" w:cs="Arial"/>
        </w:rPr>
      </w:pPr>
      <w:r w:rsidRPr="000B5E96">
        <w:rPr>
          <w:rFonts w:ascii="Arial" w:hAnsi="Arial" w:cs="Arial"/>
        </w:rPr>
        <w:t>Third, leadership must be now blatantly bicultural. The client relationships and cultural knowledge would be offered by a Vietnamese country-management team which would be assisted, not controlled, by Indian expatriates and be part of global systems of TCS. Duy and Hieu (2025) advocate the role of adaptive leadership and communication within the multinational landscape that is multicultural.</w:t>
      </w:r>
    </w:p>
    <w:p w14:paraId="72048712" w14:textId="77777777" w:rsidR="006C070F" w:rsidRPr="000B5E96" w:rsidRDefault="00350C7C">
      <w:pPr>
        <w:rPr>
          <w:rFonts w:ascii="Arial" w:hAnsi="Arial" w:cs="Arial"/>
        </w:rPr>
      </w:pPr>
      <w:r w:rsidRPr="000B5E96">
        <w:rPr>
          <w:rFonts w:ascii="Arial" w:hAnsi="Arial" w:cs="Arial"/>
        </w:rPr>
        <w:t>Host country benefits may also be created as a result of direct investment. Vu, Nguyen and Le (2026) prove that foreign investment can enable them to engage with Industry 4.0 and Phi et al. (2024) report positive effects of technology development but discover the limitations of absorptive capacity. Huynh and Tran (2026) also show that productivity spillovers are enhanced by backward firms and among competent domestic firms. TCS was thus able to distinguish its investment in graduate development, supplier capability as well as collaborative innovation.</w:t>
      </w:r>
    </w:p>
    <w:p w14:paraId="32BEC11D" w14:textId="77777777" w:rsidR="006C070F" w:rsidRPr="000B5E96" w:rsidRDefault="00350C7C">
      <w:pPr>
        <w:rPr>
          <w:rFonts w:ascii="Arial" w:hAnsi="Arial" w:cs="Arial"/>
        </w:rPr>
      </w:pPr>
      <w:r w:rsidRPr="000B5E96">
        <w:rPr>
          <w:rFonts w:ascii="Arial" w:hAnsi="Arial" w:cs="Arial"/>
        </w:rPr>
        <w:t>The last suggestion is a fully owned subsidiary where there is a gradual capital investment, instead of an instant relatively big Vietnamese delivery centre. The management should set up official scale-up metrics that pertain to anchor clients, utilisation of employees, staff retention and regulatory preparedness. Should these thresholds get missed, TCS can decelerate recruitment and at the same time serve its clients in its regional delivery network. This model provides the level of control that is necessary to safeguard the brand, IP, data security and service quality of TCS as well as maintaining strategic flexibility.</w:t>
      </w:r>
    </w:p>
    <w:p w14:paraId="5B034DE0" w14:textId="2302E0D8" w:rsidR="006C070F" w:rsidRPr="00C40F0A" w:rsidRDefault="00350C7C">
      <w:pPr>
        <w:pStyle w:val="Heading1"/>
        <w:keepNext w:val="0"/>
        <w:keepLines w:val="0"/>
        <w:rPr>
          <w:rFonts w:ascii="Arial" w:hAnsi="Arial" w:cs="Arial"/>
        </w:rPr>
      </w:pPr>
      <w:bookmarkStart w:id="19" w:name="_Toc237568563"/>
      <w:r w:rsidRPr="00C40F0A">
        <w:rPr>
          <w:rFonts w:ascii="Arial" w:hAnsi="Arial" w:cs="Arial"/>
        </w:rPr>
        <w:t xml:space="preserve">Section </w:t>
      </w:r>
      <w:r w:rsidR="00C40F0A" w:rsidRPr="00C40F0A">
        <w:rPr>
          <w:rFonts w:ascii="Arial" w:hAnsi="Arial" w:cs="Arial"/>
        </w:rPr>
        <w:t>2</w:t>
      </w:r>
      <w:r w:rsidRPr="00C40F0A">
        <w:rPr>
          <w:rFonts w:ascii="Arial" w:hAnsi="Arial" w:cs="Arial"/>
        </w:rPr>
        <w:t>: Reflective Account Using Gibbs' Reflective Cycle</w:t>
      </w:r>
      <w:bookmarkEnd w:id="19"/>
    </w:p>
    <w:p w14:paraId="28CF6A23" w14:textId="71CB6C46" w:rsidR="006C070F" w:rsidRPr="000B5E96" w:rsidRDefault="00350C7C">
      <w:pPr>
        <w:pStyle w:val="Heading2"/>
        <w:keepNext w:val="0"/>
        <w:keepLines w:val="0"/>
        <w:rPr>
          <w:rFonts w:ascii="Arial" w:hAnsi="Arial" w:cs="Arial"/>
          <w:sz w:val="24"/>
          <w:szCs w:val="24"/>
        </w:rPr>
      </w:pPr>
      <w:bookmarkStart w:id="20" w:name="_Toc237568564"/>
      <w:r w:rsidRPr="000B5E96">
        <w:rPr>
          <w:rFonts w:ascii="Arial" w:hAnsi="Arial" w:cs="Arial"/>
          <w:sz w:val="24"/>
          <w:szCs w:val="24"/>
        </w:rPr>
        <w:t>Description</w:t>
      </w:r>
      <w:bookmarkEnd w:id="20"/>
    </w:p>
    <w:p w14:paraId="38277970" w14:textId="77777777" w:rsidR="006C070F" w:rsidRPr="000B5E96" w:rsidRDefault="00350C7C">
      <w:pPr>
        <w:rPr>
          <w:rFonts w:ascii="Arial" w:hAnsi="Arial" w:cs="Arial"/>
        </w:rPr>
      </w:pPr>
      <w:r w:rsidRPr="000B5E96">
        <w:rPr>
          <w:rFonts w:ascii="Arial" w:hAnsi="Arial" w:cs="Arial"/>
        </w:rPr>
        <w:t>The research process was initiated by transforming the assignment into three related decisions on how TCS is currently competing in the international market, if Vietnam has market attractiveness that can support the company or not and what is the best mode of entry in the market considering the company and the location. Firstly, the study laid significant emphasis on economic indicators due to the fact that the high growth of Vietnam seemed to be the strongest case to make in relation to entry. Nevertheless, the analysis of the literature proved that data security, institutional factors, such as cultural adaptation and high skills also play critical roles since TCS is not a manufacturer exporting a homogenised physical product but a knowledge-based service company.</w:t>
      </w:r>
    </w:p>
    <w:p w14:paraId="5D6A846B" w14:textId="77777777" w:rsidR="006C070F" w:rsidRPr="000B5E96" w:rsidRDefault="00350C7C">
      <w:pPr>
        <w:jc w:val="center"/>
        <w:rPr>
          <w:rFonts w:ascii="Arial" w:hAnsi="Arial" w:cs="Arial"/>
          <w:b/>
          <w:bCs/>
        </w:rPr>
      </w:pPr>
      <w:r w:rsidRPr="000B5E96">
        <w:rPr>
          <w:rFonts w:ascii="Arial" w:hAnsi="Arial" w:cs="Arial"/>
          <w:b/>
          <w:bCs/>
          <w:noProof/>
        </w:rPr>
        <w:drawing>
          <wp:inline distT="114300" distB="114300" distL="114300" distR="114300" wp14:anchorId="0F017CC0" wp14:editId="471B8C6B">
            <wp:extent cx="4876800" cy="34861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4876800" cy="3486150"/>
                    </a:xfrm>
                    <a:prstGeom prst="rect">
                      <a:avLst/>
                    </a:prstGeom>
                    <a:ln/>
                  </pic:spPr>
                </pic:pic>
              </a:graphicData>
            </a:graphic>
          </wp:inline>
        </w:drawing>
      </w:r>
    </w:p>
    <w:p w14:paraId="5A66E8B1" w14:textId="62FB5D45" w:rsidR="006C070F" w:rsidRPr="000B5E96" w:rsidRDefault="00350C7C">
      <w:pPr>
        <w:jc w:val="center"/>
        <w:rPr>
          <w:rFonts w:ascii="Arial" w:hAnsi="Arial" w:cs="Arial"/>
          <w:b/>
          <w:bCs/>
        </w:rPr>
      </w:pPr>
      <w:r w:rsidRPr="000B5E96">
        <w:rPr>
          <w:rFonts w:ascii="Arial" w:hAnsi="Arial" w:cs="Arial"/>
          <w:b/>
          <w:bCs/>
        </w:rPr>
        <w:t xml:space="preserve">Figure </w:t>
      </w:r>
      <w:r w:rsidR="00D554D2">
        <w:rPr>
          <w:rFonts w:ascii="Arial" w:hAnsi="Arial" w:cs="Arial"/>
          <w:b/>
          <w:bCs/>
        </w:rPr>
        <w:t>10</w:t>
      </w:r>
      <w:r w:rsidRPr="000B5E96">
        <w:rPr>
          <w:rFonts w:ascii="Arial" w:hAnsi="Arial" w:cs="Arial"/>
          <w:b/>
          <w:bCs/>
        </w:rPr>
        <w:t>: Gibbs' Reflective Cycle</w:t>
      </w:r>
    </w:p>
    <w:p w14:paraId="38F9B6C0" w14:textId="77777777" w:rsidR="006C070F" w:rsidRPr="000B5E96" w:rsidRDefault="00350C7C">
      <w:pPr>
        <w:jc w:val="center"/>
        <w:rPr>
          <w:rFonts w:ascii="Arial" w:hAnsi="Arial" w:cs="Arial"/>
        </w:rPr>
      </w:pPr>
      <w:r w:rsidRPr="000B5E96">
        <w:rPr>
          <w:rFonts w:ascii="Arial" w:hAnsi="Arial" w:cs="Arial"/>
        </w:rPr>
        <w:t xml:space="preserve">(Source: </w:t>
      </w:r>
      <w:proofErr w:type="spellStart"/>
      <w:r w:rsidRPr="000B5E96">
        <w:rPr>
          <w:rFonts w:ascii="Arial" w:hAnsi="Arial" w:cs="Arial"/>
        </w:rPr>
        <w:t>OpenLearn</w:t>
      </w:r>
      <w:proofErr w:type="spellEnd"/>
      <w:r w:rsidRPr="000B5E96">
        <w:rPr>
          <w:rFonts w:ascii="Arial" w:hAnsi="Arial" w:cs="Arial"/>
        </w:rPr>
        <w:t>, 2026)</w:t>
      </w:r>
    </w:p>
    <w:p w14:paraId="5EE4C588" w14:textId="5C201633" w:rsidR="006C070F" w:rsidRPr="000B5E96" w:rsidRDefault="00350C7C">
      <w:pPr>
        <w:pStyle w:val="Heading2"/>
        <w:keepNext w:val="0"/>
        <w:keepLines w:val="0"/>
        <w:rPr>
          <w:rFonts w:ascii="Arial" w:hAnsi="Arial" w:cs="Arial"/>
          <w:sz w:val="24"/>
          <w:szCs w:val="24"/>
        </w:rPr>
      </w:pPr>
      <w:bookmarkStart w:id="21" w:name="_Toc237568565"/>
      <w:r w:rsidRPr="000B5E96">
        <w:rPr>
          <w:rFonts w:ascii="Arial" w:hAnsi="Arial" w:cs="Arial"/>
          <w:sz w:val="24"/>
          <w:szCs w:val="24"/>
        </w:rPr>
        <w:t>Feelings</w:t>
      </w:r>
      <w:bookmarkEnd w:id="21"/>
    </w:p>
    <w:p w14:paraId="097ACDD3" w14:textId="77777777" w:rsidR="006C070F" w:rsidRPr="000B5E96" w:rsidRDefault="00350C7C">
      <w:pPr>
        <w:rPr>
          <w:rFonts w:ascii="Arial" w:hAnsi="Arial" w:cs="Arial"/>
        </w:rPr>
      </w:pPr>
      <w:r w:rsidRPr="000B5E96">
        <w:rPr>
          <w:rFonts w:ascii="Arial" w:hAnsi="Arial" w:cs="Arial"/>
        </w:rPr>
        <w:t>The evidence that was first presented seemed to be rather contradictory than expected. All the World Bank (2026), Asian Development Bank (2026), and International Monetary Fund (2025) show Vietnam as being relatively resilient yet indicating varying economic growth projections. The research process has also shown that disagreement should result in the reliability of the scenario planning as opposed to choosing the most favourable estimate. The same problem existed with respect to FDI benefits. Phil and Nguyen and Le (2026) find positive technological influence of FDI, but Huynh and Tran (2026) show that the productivity spillovers are highly contingent on linkages, and the absorptive capacity. This complicated the argument at first but helped to enhance the quality of the argument in the end.</w:t>
      </w:r>
    </w:p>
    <w:p w14:paraId="4736BBD8" w14:textId="253376C5" w:rsidR="006C070F" w:rsidRPr="000B5E96" w:rsidRDefault="00350C7C">
      <w:pPr>
        <w:pStyle w:val="Heading2"/>
        <w:keepNext w:val="0"/>
        <w:keepLines w:val="0"/>
        <w:rPr>
          <w:rFonts w:ascii="Arial" w:hAnsi="Arial" w:cs="Arial"/>
          <w:sz w:val="24"/>
          <w:szCs w:val="24"/>
        </w:rPr>
      </w:pPr>
      <w:bookmarkStart w:id="22" w:name="_Toc237568566"/>
      <w:r w:rsidRPr="000B5E96">
        <w:rPr>
          <w:rFonts w:ascii="Arial" w:hAnsi="Arial" w:cs="Arial"/>
          <w:sz w:val="24"/>
          <w:szCs w:val="24"/>
        </w:rPr>
        <w:t>Evaluation</w:t>
      </w:r>
      <w:bookmarkEnd w:id="22"/>
    </w:p>
    <w:p w14:paraId="19D11D0C" w14:textId="77777777" w:rsidR="006C070F" w:rsidRPr="000B5E96" w:rsidRDefault="00350C7C">
      <w:pPr>
        <w:rPr>
          <w:rFonts w:ascii="Arial" w:hAnsi="Arial" w:cs="Arial"/>
        </w:rPr>
      </w:pPr>
      <w:r w:rsidRPr="000B5E96">
        <w:rPr>
          <w:rFonts w:ascii="Arial" w:hAnsi="Arial" w:cs="Arial"/>
        </w:rPr>
        <w:t xml:space="preserve">One of the strengths of the studies was that there was a triangulation of various types of evidence. The reports of TCS gave company specific details about scale, capabilities and international constitution (Tata Consultancy Services, 2025; Tata Consultancy Services, 2026). Macroeconomic evidence and investment evidence was furnished by international institutions, journal research elucidated digitalisation, institutions, skills, cybersecurity and organisational behaviour. This mix mitigated the risks of basing it on promotional corporate information and a generic national PEST analysis. The interpretation of market opportunity was transformed especially in the economic literature. According to Duc et al. (2024), the digital economy of Vietnam is gaining significance, and Minh et al. (2024), and Trieu, Nguyen and </w:t>
      </w:r>
      <w:proofErr w:type="spellStart"/>
      <w:r w:rsidRPr="000B5E96">
        <w:rPr>
          <w:rFonts w:ascii="Arial" w:hAnsi="Arial" w:cs="Arial"/>
        </w:rPr>
        <w:t>Vrontis</w:t>
      </w:r>
      <w:proofErr w:type="spellEnd"/>
      <w:r w:rsidRPr="000B5E96">
        <w:rPr>
          <w:rFonts w:ascii="Arial" w:hAnsi="Arial" w:cs="Arial"/>
        </w:rPr>
        <w:t xml:space="preserve"> (2025) proved that organisational intention, innovation, resilience and institutional support determined three factors influencing the transformation in SME. Cao and Nguyen (2025) also showed that the adoption of AI is based on the government of the perceived value and preparedness. This means that an important lesson was that increasing spending on digital would not necessarily translate into income to TCS. Consulting value lies in assisting the clients to bypass technological and organisational hurdles.</w:t>
      </w:r>
    </w:p>
    <w:p w14:paraId="06540518" w14:textId="3A6DCC17" w:rsidR="006C070F" w:rsidRPr="000B5E96" w:rsidRDefault="00350C7C">
      <w:pPr>
        <w:pStyle w:val="Heading2"/>
        <w:keepNext w:val="0"/>
        <w:keepLines w:val="0"/>
        <w:rPr>
          <w:rFonts w:ascii="Arial" w:hAnsi="Arial" w:cs="Arial"/>
          <w:sz w:val="24"/>
          <w:szCs w:val="24"/>
        </w:rPr>
      </w:pPr>
      <w:bookmarkStart w:id="23" w:name="_Toc237568567"/>
      <w:r w:rsidRPr="000B5E96">
        <w:rPr>
          <w:rFonts w:ascii="Arial" w:hAnsi="Arial" w:cs="Arial"/>
          <w:sz w:val="24"/>
          <w:szCs w:val="24"/>
        </w:rPr>
        <w:t>Analysis</w:t>
      </w:r>
      <w:bookmarkEnd w:id="23"/>
    </w:p>
    <w:p w14:paraId="605411E1" w14:textId="77777777" w:rsidR="006C070F" w:rsidRPr="000B5E96" w:rsidRDefault="00350C7C">
      <w:pPr>
        <w:rPr>
          <w:rFonts w:ascii="Arial" w:hAnsi="Arial" w:cs="Arial"/>
        </w:rPr>
      </w:pPr>
      <w:r w:rsidRPr="000B5E96">
        <w:rPr>
          <w:rFonts w:ascii="Arial" w:hAnsi="Arial" w:cs="Arial"/>
        </w:rPr>
        <w:t>Another analysis was the institutional research. Ho and Nguyen (2024) show that the improvement of Vietnamese internationalisation of businesses is affected by such aspects as transparency, labour policy, access to land and informal charges, and Ha et al. (2024) correlate productivity with institutional quality. This prompted the analysis to go beyond the crude assumption that Vietnam is politically stable and realise the fact that the practical implementation on provincial level influences the success of the entry. The most significant change of concept was related to culture. The emphasis of culture initially covered the national dimensions. Nonetheless, Duy and Hieu (2025) prove that leadership in the context of multinational environments requires proactive communication, decision-making and conflict resolution adjustment. The connotation is that culture influences concrete business performances: the increase of technical risk by junior employees, the trust in consultants by customers, the acceptance of feedback and the retention of local talent by expatriate managers. Cultural intelligence thus was made to be a functional capability and not a descriptive factor.</w:t>
      </w:r>
    </w:p>
    <w:p w14:paraId="143ECC5E" w14:textId="77777777" w:rsidR="006C070F" w:rsidRPr="000B5E96" w:rsidRDefault="00350C7C">
      <w:pPr>
        <w:rPr>
          <w:rFonts w:ascii="Arial" w:hAnsi="Arial" w:cs="Arial"/>
        </w:rPr>
      </w:pPr>
      <w:r w:rsidRPr="000B5E96">
        <w:rPr>
          <w:rFonts w:ascii="Arial" w:hAnsi="Arial" w:cs="Arial"/>
        </w:rPr>
        <w:t>Research in law led to such shift in view. Initial implementation of Decree 13 and Data Law was in the form of regulatory barriers. Additional examination revealed that they are also able to establish the privacy, cloud-governance and cybersecurity customer demand (Government of Vietnam, 2023; National Assembly of Vietnam, 2024). Tran et al. (2025) further show that cybersecurity is based on employee awareness and compliance behaviour, which means that technology is not sufficient to ensure satisfactory protection. Using OLI was especially beneficial, as it had to put the disaggregated evidence into a single decision regarding investments. Garg, Garg and Mittal (2026) show within the borders of ASEAN that market size, human capital and openness to the trade enhances the future FDI location benefits, and institutional quality lowers the risk of investment. Nguyen and Bui (2024) and Huyen et al. (2024) confirm the topicality of digitalisation and human capital, and Nguyen and Nguyen (2024) find ongoing shortages of Industry 4.0 skills. Vietnam would then not be just a simple term that one can call attractive, more appropriate would have been that it is attractive to the TCS so long as the company works towards making sure that it is investing in skills, compliance and relationship.</w:t>
      </w:r>
    </w:p>
    <w:p w14:paraId="4832EDA4" w14:textId="778ACAE1" w:rsidR="006C070F" w:rsidRPr="000B5E96" w:rsidRDefault="00350C7C">
      <w:pPr>
        <w:pStyle w:val="Heading2"/>
        <w:keepNext w:val="0"/>
        <w:keepLines w:val="0"/>
        <w:rPr>
          <w:rFonts w:ascii="Arial" w:hAnsi="Arial" w:cs="Arial"/>
          <w:sz w:val="24"/>
          <w:szCs w:val="24"/>
        </w:rPr>
      </w:pPr>
      <w:bookmarkStart w:id="24" w:name="_Toc237568568"/>
      <w:r w:rsidRPr="000B5E96">
        <w:rPr>
          <w:rFonts w:ascii="Arial" w:hAnsi="Arial" w:cs="Arial"/>
          <w:sz w:val="24"/>
          <w:szCs w:val="24"/>
        </w:rPr>
        <w:t>Conclusion</w:t>
      </w:r>
      <w:bookmarkEnd w:id="24"/>
    </w:p>
    <w:p w14:paraId="64D38EF5" w14:textId="77777777" w:rsidR="006C070F" w:rsidRPr="000B5E96" w:rsidRDefault="00350C7C">
      <w:pPr>
        <w:rPr>
          <w:rFonts w:ascii="Arial" w:hAnsi="Arial" w:cs="Arial"/>
        </w:rPr>
      </w:pPr>
      <w:r w:rsidRPr="000B5E96">
        <w:rPr>
          <w:rFonts w:ascii="Arial" w:hAnsi="Arial" w:cs="Arial"/>
        </w:rPr>
        <w:t>The key insight gained throughout the process is that global-market choices need to be synthesized not to apply business models in isolation. Political, Economic, Legal and Cultural conditions deal with one another with OLI and entry-mode decision. Evidence of data control reinforces the thesis of internal control; insufficient skills enhance greenfield entry by increasing weight but at the same time, raise the strategic importance of local training; hierarchical cultural peculiarities may help to facilitate clarity of roles and to introduce intentional experiences of upward-escalations. Repeating the analysis, an evidence matrix should be made in the very beginning, which would contain all the sources, dates of publication, methodology, variables and relevance. Information that can be gathered prior to the assignment dead-line would also be differentiated with that information that can be gathered subsequently in the analysis of historical data. Vietnam would also be systematically benchmarked with a minimum of 2 other locations in ASEAN.</w:t>
      </w:r>
    </w:p>
    <w:p w14:paraId="232039CD" w14:textId="0087ACA7" w:rsidR="006C070F" w:rsidRPr="000B5E96" w:rsidRDefault="00350C7C">
      <w:pPr>
        <w:pStyle w:val="Heading2"/>
        <w:keepNext w:val="0"/>
        <w:keepLines w:val="0"/>
        <w:rPr>
          <w:rFonts w:ascii="Arial" w:hAnsi="Arial" w:cs="Arial"/>
          <w:sz w:val="24"/>
          <w:szCs w:val="24"/>
        </w:rPr>
      </w:pPr>
      <w:bookmarkStart w:id="25" w:name="_Toc237568569"/>
      <w:r w:rsidRPr="000B5E96">
        <w:rPr>
          <w:rFonts w:ascii="Arial" w:hAnsi="Arial" w:cs="Arial"/>
          <w:sz w:val="24"/>
          <w:szCs w:val="24"/>
        </w:rPr>
        <w:t>Action Plan</w:t>
      </w:r>
      <w:bookmarkEnd w:id="25"/>
    </w:p>
    <w:p w14:paraId="26563D6C" w14:textId="77777777" w:rsidR="006C070F" w:rsidRPr="000B5E96" w:rsidRDefault="00350C7C">
      <w:pPr>
        <w:rPr>
          <w:rFonts w:ascii="Arial" w:hAnsi="Arial" w:cs="Arial"/>
        </w:rPr>
      </w:pPr>
      <w:r w:rsidRPr="000B5E96">
        <w:rPr>
          <w:rFonts w:ascii="Arial" w:hAnsi="Arial" w:cs="Arial"/>
        </w:rPr>
        <w:t xml:space="preserve">The analysis of international business in the future ought to enhance quantitative comparison, triangulation of sources and cross-cultural analysis. Evidence based at the national level should also be separated as compared to evidence that is specifically predictive of TCS. An increase in the national GDP (high), in turn, does not directly indicate the need in TCS, but studies on digitalisation of SMEs, its use of AI, and cybersecurity are much more likely to be associated with its actual product range. Prior to making the actual investment decision, additional primary data would be needed by conducting interviews with the potential Vietnamese clients and the workforce, competitive research, benchmarking of salaries and city-wide evaluation of technological </w:t>
      </w:r>
      <w:proofErr w:type="spellStart"/>
      <w:r w:rsidRPr="000B5E96">
        <w:rPr>
          <w:rFonts w:ascii="Arial" w:hAnsi="Arial" w:cs="Arial"/>
        </w:rPr>
        <w:t>skillism</w:t>
      </w:r>
      <w:proofErr w:type="spellEnd"/>
      <w:r w:rsidRPr="000B5E96">
        <w:rPr>
          <w:rFonts w:ascii="Arial" w:hAnsi="Arial" w:cs="Arial"/>
        </w:rPr>
        <w:t>. The suggested entry mode must also be put through stress-testing in the case of downside scenarios, which entail slower economic growth, reduced client acquisition pace, increased staff turnover or increased compliance expenses.</w:t>
      </w:r>
    </w:p>
    <w:p w14:paraId="557F2ACE" w14:textId="77777777" w:rsidR="006C070F" w:rsidRPr="000B5E96" w:rsidRDefault="00350C7C">
      <w:pPr>
        <w:rPr>
          <w:rFonts w:ascii="Arial" w:hAnsi="Arial" w:cs="Arial"/>
        </w:rPr>
      </w:pPr>
      <w:r w:rsidRPr="000B5E96">
        <w:rPr>
          <w:rFonts w:ascii="Arial" w:hAnsi="Arial" w:cs="Arial"/>
        </w:rPr>
        <w:br w:type="page"/>
      </w:r>
    </w:p>
    <w:p w14:paraId="0A9A011F" w14:textId="77777777" w:rsidR="006C070F" w:rsidRPr="000B5E96" w:rsidRDefault="00350C7C">
      <w:pPr>
        <w:pStyle w:val="Heading1"/>
        <w:rPr>
          <w:rFonts w:ascii="Arial" w:hAnsi="Arial" w:cs="Arial"/>
        </w:rPr>
      </w:pPr>
      <w:bookmarkStart w:id="26" w:name="_Toc237568570"/>
      <w:r w:rsidRPr="000B5E96">
        <w:rPr>
          <w:rFonts w:ascii="Arial" w:hAnsi="Arial" w:cs="Arial"/>
        </w:rPr>
        <w:t>References</w:t>
      </w:r>
      <w:bookmarkEnd w:id="26"/>
    </w:p>
    <w:p w14:paraId="5129C566" w14:textId="77777777" w:rsidR="0038402F" w:rsidRPr="000B5E96" w:rsidRDefault="0038402F">
      <w:pPr>
        <w:rPr>
          <w:rFonts w:ascii="Arial" w:hAnsi="Arial" w:cs="Arial"/>
        </w:rPr>
      </w:pPr>
      <w:r w:rsidRPr="000B5E96">
        <w:rPr>
          <w:rFonts w:ascii="Arial" w:hAnsi="Arial" w:cs="Arial"/>
        </w:rPr>
        <w:t xml:space="preserve">Asian Development Bank (2026) </w:t>
      </w:r>
      <w:r w:rsidRPr="000B5E96">
        <w:rPr>
          <w:rFonts w:ascii="Arial" w:hAnsi="Arial" w:cs="Arial"/>
          <w:i/>
          <w:iCs/>
        </w:rPr>
        <w:t>Asian Development Outlook April 2026: Viet Nam</w:t>
      </w:r>
      <w:r w:rsidRPr="000B5E96">
        <w:rPr>
          <w:rFonts w:ascii="Arial" w:hAnsi="Arial" w:cs="Arial"/>
        </w:rPr>
        <w:t xml:space="preserve">. Manila: Asian Development </w:t>
      </w:r>
      <w:proofErr w:type="spellStart"/>
      <w:r w:rsidRPr="000B5E96">
        <w:rPr>
          <w:rFonts w:ascii="Arial" w:hAnsi="Arial" w:cs="Arial"/>
        </w:rPr>
        <w:t>Bank.</w:t>
      </w:r>
      <w:hyperlink r:id="rId23">
        <w:r w:rsidRPr="000B5E96">
          <w:rPr>
            <w:rFonts w:ascii="Arial" w:hAnsi="Arial" w:cs="Arial"/>
            <w:color w:val="1155CC"/>
            <w:u w:val="single"/>
          </w:rPr>
          <w:t>https</w:t>
        </w:r>
        <w:proofErr w:type="spellEnd"/>
        <w:r w:rsidRPr="000B5E96">
          <w:rPr>
            <w:rFonts w:ascii="Arial" w:hAnsi="Arial" w:cs="Arial"/>
            <w:color w:val="1155CC"/>
            <w:u w:val="single"/>
          </w:rPr>
          <w:t>://www.adb.org/outlook/editions/april-2026</w:t>
        </w:r>
      </w:hyperlink>
      <w:r w:rsidRPr="000B5E96">
        <w:rPr>
          <w:rFonts w:ascii="Arial" w:hAnsi="Arial" w:cs="Arial"/>
        </w:rPr>
        <w:t xml:space="preserve"> </w:t>
      </w:r>
    </w:p>
    <w:p w14:paraId="4A86AA4D" w14:textId="77777777" w:rsidR="0038402F" w:rsidRPr="000B5E96" w:rsidRDefault="0038402F">
      <w:pPr>
        <w:rPr>
          <w:rFonts w:ascii="Arial" w:hAnsi="Arial" w:cs="Arial"/>
        </w:rPr>
      </w:pPr>
      <w:r w:rsidRPr="000B5E96">
        <w:rPr>
          <w:rFonts w:ascii="Arial" w:hAnsi="Arial" w:cs="Arial"/>
        </w:rPr>
        <w:t xml:space="preserve">Cao, T.M. and Nguyen, L.T.V., 2025. Factors affecting artificial intelligence (AI) adoption in the talent acquisition process: the case of Vietnam’s medium-sized firms. </w:t>
      </w:r>
      <w:r w:rsidRPr="000B5E96">
        <w:rPr>
          <w:rFonts w:ascii="Arial" w:hAnsi="Arial" w:cs="Arial"/>
          <w:i/>
          <w:iCs/>
        </w:rPr>
        <w:t>Journal of Asia Business Studies</w:t>
      </w:r>
      <w:r w:rsidRPr="000B5E96">
        <w:rPr>
          <w:rFonts w:ascii="Arial" w:hAnsi="Arial" w:cs="Arial"/>
        </w:rPr>
        <w:t xml:space="preserve">, </w:t>
      </w:r>
      <w:r w:rsidRPr="000B5E96">
        <w:rPr>
          <w:rFonts w:ascii="Arial" w:hAnsi="Arial" w:cs="Arial"/>
          <w:i/>
          <w:iCs/>
        </w:rPr>
        <w:t>19</w:t>
      </w:r>
      <w:r w:rsidRPr="000B5E96">
        <w:rPr>
          <w:rFonts w:ascii="Arial" w:hAnsi="Arial" w:cs="Arial"/>
        </w:rPr>
        <w:t>(3), pp.748-768.</w:t>
      </w:r>
      <w:hyperlink r:id="rId24">
        <w:r w:rsidRPr="000B5E96">
          <w:rPr>
            <w:rFonts w:ascii="Arial" w:hAnsi="Arial" w:cs="Arial"/>
            <w:color w:val="1155CC"/>
            <w:u w:val="single"/>
          </w:rPr>
          <w:t>https://www.emerald.com/jabs/article/19/3/748/1263797</w:t>
        </w:r>
      </w:hyperlink>
      <w:r w:rsidRPr="000B5E96">
        <w:rPr>
          <w:rFonts w:ascii="Arial" w:hAnsi="Arial" w:cs="Arial"/>
        </w:rPr>
        <w:t xml:space="preserve"> </w:t>
      </w:r>
    </w:p>
    <w:p w14:paraId="2B403A6B" w14:textId="77777777" w:rsidR="0038402F" w:rsidRPr="000B5E96" w:rsidRDefault="0038402F">
      <w:pPr>
        <w:rPr>
          <w:rFonts w:ascii="Arial" w:hAnsi="Arial" w:cs="Arial"/>
        </w:rPr>
      </w:pPr>
      <w:r w:rsidRPr="000B5E96">
        <w:rPr>
          <w:rFonts w:ascii="Arial" w:hAnsi="Arial" w:cs="Arial"/>
        </w:rPr>
        <w:t xml:space="preserve">Dang, H.B., Vu, T.P., Pham, T.T.Q. and Van Nguyen, P., 2024. Implications of critical success factors for digital transformation in Vietnam using a hybrid </w:t>
      </w:r>
      <w:proofErr w:type="spellStart"/>
      <w:r w:rsidRPr="000B5E96">
        <w:rPr>
          <w:rFonts w:ascii="Arial" w:hAnsi="Arial" w:cs="Arial"/>
        </w:rPr>
        <w:t>neutrosophic</w:t>
      </w:r>
      <w:proofErr w:type="spellEnd"/>
      <w:r w:rsidRPr="000B5E96">
        <w:rPr>
          <w:rFonts w:ascii="Arial" w:hAnsi="Arial" w:cs="Arial"/>
        </w:rPr>
        <w:t xml:space="preserve"> analytic hierarchy process. </w:t>
      </w:r>
      <w:r w:rsidRPr="000B5E96">
        <w:rPr>
          <w:rFonts w:ascii="Arial" w:hAnsi="Arial" w:cs="Arial"/>
          <w:i/>
          <w:iCs/>
        </w:rPr>
        <w:t>International Journal of Sustainable Engineering</w:t>
      </w:r>
      <w:r w:rsidRPr="000B5E96">
        <w:rPr>
          <w:rFonts w:ascii="Arial" w:hAnsi="Arial" w:cs="Arial"/>
        </w:rPr>
        <w:t xml:space="preserve">, </w:t>
      </w:r>
      <w:r w:rsidRPr="000B5E96">
        <w:rPr>
          <w:rFonts w:ascii="Arial" w:hAnsi="Arial" w:cs="Arial"/>
          <w:i/>
          <w:iCs/>
        </w:rPr>
        <w:t>17</w:t>
      </w:r>
      <w:r w:rsidRPr="000B5E96">
        <w:rPr>
          <w:rFonts w:ascii="Arial" w:hAnsi="Arial" w:cs="Arial"/>
        </w:rPr>
        <w:t>(1), pp.699-717.</w:t>
      </w:r>
      <w:hyperlink r:id="rId25">
        <w:r w:rsidRPr="000B5E96">
          <w:rPr>
            <w:rFonts w:ascii="Arial" w:hAnsi="Arial" w:cs="Arial"/>
            <w:color w:val="1155CC"/>
            <w:u w:val="single"/>
          </w:rPr>
          <w:t>https://www.tandfonline.com/doi/pdf/10.1080/19397038.2024.2397775</w:t>
        </w:r>
      </w:hyperlink>
      <w:r w:rsidRPr="000B5E96">
        <w:rPr>
          <w:rFonts w:ascii="Arial" w:hAnsi="Arial" w:cs="Arial"/>
        </w:rPr>
        <w:t xml:space="preserve"> </w:t>
      </w:r>
    </w:p>
    <w:p w14:paraId="5A0DEAAB" w14:textId="77777777" w:rsidR="0038402F" w:rsidRPr="000B5E96" w:rsidRDefault="0038402F">
      <w:pPr>
        <w:rPr>
          <w:rFonts w:ascii="Arial" w:hAnsi="Arial" w:cs="Arial"/>
        </w:rPr>
      </w:pPr>
      <w:r w:rsidRPr="000B5E96">
        <w:rPr>
          <w:rFonts w:ascii="Arial" w:hAnsi="Arial" w:cs="Arial"/>
        </w:rPr>
        <w:t xml:space="preserve">Duc, D.T.V., Dat, T.T., Linh, D.H. and Phong, B.X., 2024. Measuring the digital economy in Vietnam. </w:t>
      </w:r>
      <w:r w:rsidRPr="000B5E96">
        <w:rPr>
          <w:rFonts w:ascii="Arial" w:hAnsi="Arial" w:cs="Arial"/>
          <w:i/>
          <w:iCs/>
        </w:rPr>
        <w:t>Telecommunications Policy</w:t>
      </w:r>
      <w:r w:rsidRPr="000B5E96">
        <w:rPr>
          <w:rFonts w:ascii="Arial" w:hAnsi="Arial" w:cs="Arial"/>
        </w:rPr>
        <w:t xml:space="preserve">, </w:t>
      </w:r>
      <w:r w:rsidRPr="000B5E96">
        <w:rPr>
          <w:rFonts w:ascii="Arial" w:hAnsi="Arial" w:cs="Arial"/>
          <w:i/>
          <w:iCs/>
        </w:rPr>
        <w:t>48</w:t>
      </w:r>
      <w:r w:rsidRPr="000B5E96">
        <w:rPr>
          <w:rFonts w:ascii="Arial" w:hAnsi="Arial" w:cs="Arial"/>
        </w:rPr>
        <w:t>(3), p.102683.</w:t>
      </w:r>
      <w:hyperlink r:id="rId26">
        <w:r w:rsidRPr="000B5E96">
          <w:rPr>
            <w:rFonts w:ascii="Arial" w:hAnsi="Arial" w:cs="Arial"/>
            <w:color w:val="1155CC"/>
            <w:u w:val="single"/>
          </w:rPr>
          <w:t>https://www.sciencedirect.com/science/article/pii/S0308596123001945</w:t>
        </w:r>
      </w:hyperlink>
      <w:r w:rsidRPr="000B5E96">
        <w:rPr>
          <w:rFonts w:ascii="Arial" w:hAnsi="Arial" w:cs="Arial"/>
        </w:rPr>
        <w:t xml:space="preserve"> </w:t>
      </w:r>
    </w:p>
    <w:p w14:paraId="62F08D1E" w14:textId="77777777" w:rsidR="0038402F" w:rsidRPr="000B5E96" w:rsidRDefault="0038402F">
      <w:pPr>
        <w:rPr>
          <w:rFonts w:ascii="Arial" w:hAnsi="Arial" w:cs="Arial"/>
        </w:rPr>
      </w:pPr>
      <w:r w:rsidRPr="000B5E96">
        <w:rPr>
          <w:rFonts w:ascii="Arial" w:hAnsi="Arial" w:cs="Arial"/>
        </w:rPr>
        <w:t xml:space="preserve">Duy, P.K. and Hieu, C.V., 2025. Navigating cultural dynamics: an ethnographic study of leadership practices in multinational corporations. </w:t>
      </w:r>
      <w:r w:rsidRPr="000B5E96">
        <w:rPr>
          <w:rFonts w:ascii="Arial" w:hAnsi="Arial" w:cs="Arial"/>
          <w:i/>
          <w:iCs/>
        </w:rPr>
        <w:t>Journal of Organizational Ethnography</w:t>
      </w:r>
      <w:r w:rsidRPr="000B5E96">
        <w:rPr>
          <w:rFonts w:ascii="Arial" w:hAnsi="Arial" w:cs="Arial"/>
        </w:rPr>
        <w:t xml:space="preserve">, </w:t>
      </w:r>
      <w:r w:rsidRPr="000B5E96">
        <w:rPr>
          <w:rFonts w:ascii="Arial" w:hAnsi="Arial" w:cs="Arial"/>
          <w:i/>
          <w:iCs/>
        </w:rPr>
        <w:t>14</w:t>
      </w:r>
      <w:r w:rsidRPr="000B5E96">
        <w:rPr>
          <w:rFonts w:ascii="Arial" w:hAnsi="Arial" w:cs="Arial"/>
        </w:rPr>
        <w:t>(3), pp.425-440.</w:t>
      </w:r>
      <w:hyperlink r:id="rId27">
        <w:r w:rsidRPr="000B5E96">
          <w:rPr>
            <w:rFonts w:ascii="Arial" w:hAnsi="Arial" w:cs="Arial"/>
            <w:color w:val="1155CC"/>
            <w:u w:val="single"/>
          </w:rPr>
          <w:t>https://www.emerald.com/joe/article/14/3/425/1301170</w:t>
        </w:r>
      </w:hyperlink>
      <w:r w:rsidRPr="000B5E96">
        <w:rPr>
          <w:rFonts w:ascii="Arial" w:hAnsi="Arial" w:cs="Arial"/>
        </w:rPr>
        <w:t xml:space="preserve"> </w:t>
      </w:r>
    </w:p>
    <w:p w14:paraId="4162A06C" w14:textId="77777777" w:rsidR="0038402F" w:rsidRPr="000B5E96" w:rsidRDefault="0038402F">
      <w:pPr>
        <w:rPr>
          <w:rFonts w:ascii="Arial" w:hAnsi="Arial" w:cs="Arial"/>
        </w:rPr>
      </w:pPr>
      <w:r w:rsidRPr="000B5E96">
        <w:rPr>
          <w:rFonts w:ascii="Arial" w:hAnsi="Arial" w:cs="Arial"/>
        </w:rPr>
        <w:t xml:space="preserve">Garg, S., Garg, A. and Mittal, S., 2026. Unveiling the enigmas on determinants of sustainable foreign direct investment dynamics: empirical insight from ASEAN economies. </w:t>
      </w:r>
      <w:r w:rsidRPr="000B5E96">
        <w:rPr>
          <w:rFonts w:ascii="Arial" w:hAnsi="Arial" w:cs="Arial"/>
          <w:i/>
          <w:iCs/>
        </w:rPr>
        <w:t>Competitiveness Review: An International Business Journal</w:t>
      </w:r>
      <w:r w:rsidRPr="000B5E96">
        <w:rPr>
          <w:rFonts w:ascii="Arial" w:hAnsi="Arial" w:cs="Arial"/>
        </w:rPr>
        <w:t xml:space="preserve">, </w:t>
      </w:r>
      <w:r w:rsidRPr="000B5E96">
        <w:rPr>
          <w:rFonts w:ascii="Arial" w:hAnsi="Arial" w:cs="Arial"/>
          <w:i/>
          <w:iCs/>
        </w:rPr>
        <w:t>36</w:t>
      </w:r>
      <w:r w:rsidRPr="000B5E96">
        <w:rPr>
          <w:rFonts w:ascii="Arial" w:hAnsi="Arial" w:cs="Arial"/>
        </w:rPr>
        <w:t>(1), pp.218-239.</w:t>
      </w:r>
      <w:hyperlink r:id="rId28">
        <w:r w:rsidRPr="000B5E96">
          <w:rPr>
            <w:rFonts w:ascii="Arial" w:hAnsi="Arial" w:cs="Arial"/>
            <w:color w:val="1155CC"/>
            <w:u w:val="single"/>
          </w:rPr>
          <w:t>https://www.researchgate.net/profile/Aman-Garg-26/publication/390239133_Unveiling_the_enigmas_on_determinants_of_sustainable_foreign_direct_investment_dynamics_empirical_insight_from_ASEAN_economies/links/688b642bd26c2f6f56d714d1/Unveiling-the-enigmas-on-determinants-of-sustainable-foreign-direct-investment-dynamics-empirical-insight-from-ASEAN-economies.pdf</w:t>
        </w:r>
      </w:hyperlink>
      <w:r w:rsidRPr="000B5E96">
        <w:rPr>
          <w:rFonts w:ascii="Arial" w:hAnsi="Arial" w:cs="Arial"/>
        </w:rPr>
        <w:t xml:space="preserve"> </w:t>
      </w:r>
    </w:p>
    <w:p w14:paraId="7FB137FB" w14:textId="77777777" w:rsidR="0038402F" w:rsidRPr="000B5E96" w:rsidRDefault="0038402F">
      <w:pPr>
        <w:rPr>
          <w:rFonts w:ascii="Arial" w:hAnsi="Arial" w:cs="Arial"/>
        </w:rPr>
      </w:pPr>
      <w:r w:rsidRPr="000B5E96">
        <w:rPr>
          <w:rFonts w:ascii="Arial" w:hAnsi="Arial" w:cs="Arial"/>
        </w:rPr>
        <w:t xml:space="preserve">Government of Vietnam (2023) </w:t>
      </w:r>
      <w:r w:rsidRPr="000B5E96">
        <w:rPr>
          <w:rFonts w:ascii="Arial" w:hAnsi="Arial" w:cs="Arial"/>
          <w:i/>
          <w:iCs/>
        </w:rPr>
        <w:t>Decree No. 13/2023/ND-CP on Personal Data Protection</w:t>
      </w:r>
      <w:r w:rsidRPr="000B5E96">
        <w:rPr>
          <w:rFonts w:ascii="Arial" w:hAnsi="Arial" w:cs="Arial"/>
        </w:rPr>
        <w:t>. Hanoi: Government of Vietnam.</w:t>
      </w:r>
      <w:hyperlink r:id="rId29">
        <w:r w:rsidRPr="000B5E96">
          <w:rPr>
            <w:rFonts w:ascii="Arial" w:hAnsi="Arial" w:cs="Arial"/>
            <w:color w:val="1155CC"/>
            <w:u w:val="single"/>
          </w:rPr>
          <w:t>https://resources.finalsite.net/images/v1710749328/saigon/l5cqb4izgsc1uwugo98e/Decree13_2023_ND-CPPersonalDataProtectionENGLISH.pdf</w:t>
        </w:r>
      </w:hyperlink>
      <w:r w:rsidRPr="000B5E96">
        <w:rPr>
          <w:rFonts w:ascii="Arial" w:hAnsi="Arial" w:cs="Arial"/>
        </w:rPr>
        <w:t xml:space="preserve"> </w:t>
      </w:r>
    </w:p>
    <w:p w14:paraId="4CBD95D7" w14:textId="77777777" w:rsidR="0038402F" w:rsidRPr="000B5E96" w:rsidRDefault="0038402F">
      <w:pPr>
        <w:rPr>
          <w:rFonts w:ascii="Arial" w:hAnsi="Arial" w:cs="Arial"/>
        </w:rPr>
      </w:pPr>
      <w:r w:rsidRPr="000B5E96">
        <w:rPr>
          <w:rFonts w:ascii="Arial" w:hAnsi="Arial" w:cs="Arial"/>
        </w:rPr>
        <w:t xml:space="preserve">Ha, V., Andre, J., Kim, A.T. and Thu, H.N.T., 2024. Total factor productivity and institutional quality in Vietnam: which institutions matter </w:t>
      </w:r>
      <w:proofErr w:type="gramStart"/>
      <w:r w:rsidRPr="000B5E96">
        <w:rPr>
          <w:rFonts w:ascii="Arial" w:hAnsi="Arial" w:cs="Arial"/>
        </w:rPr>
        <w:t>most?.</w:t>
      </w:r>
      <w:proofErr w:type="gramEnd"/>
      <w:r w:rsidRPr="000B5E96">
        <w:rPr>
          <w:rFonts w:ascii="Arial" w:hAnsi="Arial" w:cs="Arial"/>
        </w:rPr>
        <w:t xml:space="preserve"> </w:t>
      </w:r>
      <w:r w:rsidRPr="000B5E96">
        <w:rPr>
          <w:rFonts w:ascii="Arial" w:hAnsi="Arial" w:cs="Arial"/>
          <w:i/>
          <w:iCs/>
        </w:rPr>
        <w:t>Asia-Pacific Journal of Regional Science</w:t>
      </w:r>
      <w:r w:rsidRPr="000B5E96">
        <w:rPr>
          <w:rFonts w:ascii="Arial" w:hAnsi="Arial" w:cs="Arial"/>
        </w:rPr>
        <w:t xml:space="preserve">, </w:t>
      </w:r>
      <w:r w:rsidRPr="000B5E96">
        <w:rPr>
          <w:rFonts w:ascii="Arial" w:hAnsi="Arial" w:cs="Arial"/>
          <w:i/>
          <w:iCs/>
        </w:rPr>
        <w:t>8</w:t>
      </w:r>
      <w:r w:rsidRPr="000B5E96">
        <w:rPr>
          <w:rFonts w:ascii="Arial" w:hAnsi="Arial" w:cs="Arial"/>
        </w:rPr>
        <w:t>(2), pp.705-736.</w:t>
      </w:r>
      <w:hyperlink r:id="rId30">
        <w:r w:rsidRPr="000B5E96">
          <w:rPr>
            <w:rFonts w:ascii="Arial" w:hAnsi="Arial" w:cs="Arial"/>
            <w:color w:val="1155CC"/>
            <w:u w:val="single"/>
          </w:rPr>
          <w:t>https://link.springer.com/content/pdf/10.1007/s41685-024-00343-9.pdf</w:t>
        </w:r>
      </w:hyperlink>
      <w:r w:rsidRPr="000B5E96">
        <w:rPr>
          <w:rFonts w:ascii="Arial" w:hAnsi="Arial" w:cs="Arial"/>
        </w:rPr>
        <w:t xml:space="preserve"> </w:t>
      </w:r>
    </w:p>
    <w:p w14:paraId="202A241C" w14:textId="77777777" w:rsidR="0038402F" w:rsidRPr="000B5E96" w:rsidRDefault="0038402F">
      <w:pPr>
        <w:rPr>
          <w:rFonts w:ascii="Arial" w:hAnsi="Arial" w:cs="Arial"/>
        </w:rPr>
      </w:pPr>
      <w:r w:rsidRPr="000B5E96">
        <w:rPr>
          <w:rFonts w:ascii="Arial" w:hAnsi="Arial" w:cs="Arial"/>
        </w:rPr>
        <w:t xml:space="preserve">Ho, B.D. and Nguyen, T., 2024. Institutional quality and internationalization: Empirical evidence from manufacturing SMEs in Vietnam. </w:t>
      </w:r>
      <w:r w:rsidRPr="000B5E96">
        <w:rPr>
          <w:rFonts w:ascii="Arial" w:hAnsi="Arial" w:cs="Arial"/>
          <w:i/>
          <w:iCs/>
        </w:rPr>
        <w:t>Economies</w:t>
      </w:r>
      <w:r w:rsidRPr="000B5E96">
        <w:rPr>
          <w:rFonts w:ascii="Arial" w:hAnsi="Arial" w:cs="Arial"/>
        </w:rPr>
        <w:t xml:space="preserve">, </w:t>
      </w:r>
      <w:r w:rsidRPr="000B5E96">
        <w:rPr>
          <w:rFonts w:ascii="Arial" w:hAnsi="Arial" w:cs="Arial"/>
          <w:i/>
          <w:iCs/>
        </w:rPr>
        <w:t>12</w:t>
      </w:r>
      <w:r w:rsidRPr="000B5E96">
        <w:rPr>
          <w:rFonts w:ascii="Arial" w:hAnsi="Arial" w:cs="Arial"/>
        </w:rPr>
        <w:t>(6), p.144.</w:t>
      </w:r>
      <w:hyperlink r:id="rId31">
        <w:r w:rsidRPr="000B5E96">
          <w:rPr>
            <w:rFonts w:ascii="Arial" w:hAnsi="Arial" w:cs="Arial"/>
            <w:color w:val="1155CC"/>
            <w:u w:val="single"/>
          </w:rPr>
          <w:t>https://www.mdpi.com/2227-7099/12/6/144</w:t>
        </w:r>
      </w:hyperlink>
      <w:r w:rsidRPr="000B5E96">
        <w:rPr>
          <w:rFonts w:ascii="Arial" w:hAnsi="Arial" w:cs="Arial"/>
        </w:rPr>
        <w:t xml:space="preserve"> </w:t>
      </w:r>
    </w:p>
    <w:p w14:paraId="0BB81932" w14:textId="77777777" w:rsidR="0038402F" w:rsidRPr="000B5E96" w:rsidRDefault="0038402F">
      <w:pPr>
        <w:rPr>
          <w:rFonts w:ascii="Arial" w:hAnsi="Arial" w:cs="Arial"/>
        </w:rPr>
      </w:pPr>
      <w:r w:rsidRPr="000B5E96">
        <w:rPr>
          <w:rFonts w:ascii="Arial" w:hAnsi="Arial" w:cs="Arial"/>
        </w:rPr>
        <w:t xml:space="preserve">Huyen, N.T.T., Chuong, P.H., Ha, N.T.T., Thanh, T.T. and Ha, L.T., 2024. Time-varying interrelations between digitalization and human capital in Vietnam. </w:t>
      </w:r>
      <w:r w:rsidRPr="000B5E96">
        <w:rPr>
          <w:rFonts w:ascii="Arial" w:hAnsi="Arial" w:cs="Arial"/>
          <w:i/>
          <w:iCs/>
        </w:rPr>
        <w:t>Humanities and Social Sciences Communications</w:t>
      </w:r>
      <w:r w:rsidRPr="000B5E96">
        <w:rPr>
          <w:rFonts w:ascii="Arial" w:hAnsi="Arial" w:cs="Arial"/>
        </w:rPr>
        <w:t xml:space="preserve">, </w:t>
      </w:r>
      <w:r w:rsidRPr="000B5E96">
        <w:rPr>
          <w:rFonts w:ascii="Arial" w:hAnsi="Arial" w:cs="Arial"/>
          <w:i/>
          <w:iCs/>
        </w:rPr>
        <w:t>11</w:t>
      </w:r>
      <w:r w:rsidRPr="000B5E96">
        <w:rPr>
          <w:rFonts w:ascii="Arial" w:hAnsi="Arial" w:cs="Arial"/>
        </w:rPr>
        <w:t>(1), p.752.</w:t>
      </w:r>
      <w:hyperlink r:id="rId32">
        <w:r w:rsidRPr="000B5E96">
          <w:rPr>
            <w:rFonts w:ascii="Arial" w:hAnsi="Arial" w:cs="Arial"/>
            <w:color w:val="1155CC"/>
            <w:u w:val="single"/>
          </w:rPr>
          <w:t>https://www.nature.com/articles/s41599-024-02990-x.pdf</w:t>
        </w:r>
      </w:hyperlink>
      <w:r w:rsidRPr="000B5E96">
        <w:rPr>
          <w:rFonts w:ascii="Arial" w:hAnsi="Arial" w:cs="Arial"/>
        </w:rPr>
        <w:t xml:space="preserve"> </w:t>
      </w:r>
    </w:p>
    <w:p w14:paraId="30AB5088" w14:textId="77777777" w:rsidR="0038402F" w:rsidRPr="000B5E96" w:rsidRDefault="0038402F">
      <w:pPr>
        <w:rPr>
          <w:rFonts w:ascii="Arial" w:hAnsi="Arial" w:cs="Arial"/>
        </w:rPr>
      </w:pPr>
      <w:r w:rsidRPr="000B5E96">
        <w:rPr>
          <w:rFonts w:ascii="Arial" w:hAnsi="Arial" w:cs="Arial"/>
        </w:rPr>
        <w:t xml:space="preserve">Huynh, V.Q. and Tran, N.P., 2026. Foreign Direct Investment Origin and Productivity Spillovers in Viet Nam. </w:t>
      </w:r>
      <w:r w:rsidRPr="000B5E96">
        <w:rPr>
          <w:rFonts w:ascii="Arial" w:hAnsi="Arial" w:cs="Arial"/>
          <w:i/>
          <w:iCs/>
        </w:rPr>
        <w:t>Asian Development Review</w:t>
      </w:r>
      <w:r w:rsidRPr="000B5E96">
        <w:rPr>
          <w:rFonts w:ascii="Arial" w:hAnsi="Arial" w:cs="Arial"/>
        </w:rPr>
        <w:t xml:space="preserve">, </w:t>
      </w:r>
      <w:r w:rsidRPr="000B5E96">
        <w:rPr>
          <w:rFonts w:ascii="Arial" w:hAnsi="Arial" w:cs="Arial"/>
          <w:i/>
          <w:iCs/>
        </w:rPr>
        <w:t>43</w:t>
      </w:r>
      <w:r w:rsidRPr="000B5E96">
        <w:rPr>
          <w:rFonts w:ascii="Arial" w:hAnsi="Arial" w:cs="Arial"/>
        </w:rPr>
        <w:t>(02), pp.197-229.</w:t>
      </w:r>
      <w:hyperlink r:id="rId33">
        <w:r w:rsidRPr="000B5E96">
          <w:rPr>
            <w:rFonts w:ascii="Arial" w:hAnsi="Arial" w:cs="Arial"/>
            <w:color w:val="1155CC"/>
            <w:u w:val="single"/>
          </w:rPr>
          <w:t>https://www.worldscientific.com/doi/pdf/10.1142/S011611052650006X</w:t>
        </w:r>
      </w:hyperlink>
      <w:r w:rsidRPr="000B5E96">
        <w:rPr>
          <w:rFonts w:ascii="Arial" w:hAnsi="Arial" w:cs="Arial"/>
        </w:rPr>
        <w:t xml:space="preserve"> </w:t>
      </w:r>
    </w:p>
    <w:p w14:paraId="373D422E" w14:textId="77777777" w:rsidR="0038402F" w:rsidRPr="000B5E96" w:rsidRDefault="0038402F">
      <w:pPr>
        <w:rPr>
          <w:rFonts w:ascii="Arial" w:hAnsi="Arial" w:cs="Arial"/>
        </w:rPr>
      </w:pPr>
      <w:r w:rsidRPr="000B5E96">
        <w:rPr>
          <w:rFonts w:ascii="Arial" w:hAnsi="Arial" w:cs="Arial"/>
        </w:rPr>
        <w:t xml:space="preserve">International Monetary Fund (2025) </w:t>
      </w:r>
      <w:r w:rsidRPr="000B5E96">
        <w:rPr>
          <w:rFonts w:ascii="Arial" w:hAnsi="Arial" w:cs="Arial"/>
          <w:i/>
          <w:iCs/>
        </w:rPr>
        <w:t>Vietnam: 2025 Article IV Consultation—Press Release; Staff Report; and Statement by the Executive Director for Vietnam</w:t>
      </w:r>
      <w:r w:rsidRPr="000B5E96">
        <w:rPr>
          <w:rFonts w:ascii="Arial" w:hAnsi="Arial" w:cs="Arial"/>
        </w:rPr>
        <w:t>. IMF Country Report No. 25/283. Washington, DC: IMF.</w:t>
      </w:r>
      <w:hyperlink r:id="rId34">
        <w:r w:rsidRPr="000B5E96">
          <w:rPr>
            <w:rFonts w:ascii="Arial" w:hAnsi="Arial" w:cs="Arial"/>
            <w:color w:val="1155CC"/>
            <w:u w:val="single"/>
          </w:rPr>
          <w:t>https://www.elibrary.imf.org/view/journals/002/2025/283/002.2025.issue-283-en.pdf</w:t>
        </w:r>
      </w:hyperlink>
      <w:r w:rsidRPr="000B5E96">
        <w:rPr>
          <w:rFonts w:ascii="Arial" w:hAnsi="Arial" w:cs="Arial"/>
        </w:rPr>
        <w:t xml:space="preserve"> </w:t>
      </w:r>
    </w:p>
    <w:p w14:paraId="4420B135" w14:textId="77777777" w:rsidR="0038402F" w:rsidRPr="000B5E96" w:rsidRDefault="0038402F">
      <w:pPr>
        <w:rPr>
          <w:rFonts w:ascii="Arial" w:hAnsi="Arial" w:cs="Arial"/>
        </w:rPr>
      </w:pPr>
      <w:r w:rsidRPr="000B5E96">
        <w:rPr>
          <w:rFonts w:ascii="Arial" w:hAnsi="Arial" w:cs="Arial"/>
        </w:rPr>
        <w:t xml:space="preserve">Minh, L. N., Tan, N. N., Van Toan, D., Thao, T. D., Huyen, N. T., &amp; Hoài, N. T. (2024). Digital transformation in Vietnam: A case study of Hanoi SMEs. </w:t>
      </w:r>
      <w:r w:rsidRPr="000B5E96">
        <w:rPr>
          <w:rFonts w:ascii="Arial" w:hAnsi="Arial" w:cs="Arial"/>
          <w:i/>
          <w:iCs/>
        </w:rPr>
        <w:t>International Journal of advanced and applied sciences</w:t>
      </w:r>
      <w:r w:rsidRPr="000B5E96">
        <w:rPr>
          <w:rFonts w:ascii="Arial" w:hAnsi="Arial" w:cs="Arial"/>
        </w:rPr>
        <w:t xml:space="preserve">, </w:t>
      </w:r>
      <w:r w:rsidRPr="000B5E96">
        <w:rPr>
          <w:rFonts w:ascii="Arial" w:hAnsi="Arial" w:cs="Arial"/>
          <w:i/>
          <w:iCs/>
        </w:rPr>
        <w:t>11</w:t>
      </w:r>
      <w:r w:rsidRPr="000B5E96">
        <w:rPr>
          <w:rFonts w:ascii="Arial" w:hAnsi="Arial" w:cs="Arial"/>
        </w:rPr>
        <w:t>(4), 207-215.</w:t>
      </w:r>
      <w:hyperlink r:id="rId35">
        <w:r w:rsidRPr="000B5E96">
          <w:rPr>
            <w:rFonts w:ascii="Arial" w:hAnsi="Arial" w:cs="Arial"/>
            <w:color w:val="1155CC"/>
            <w:u w:val="single"/>
          </w:rPr>
          <w:t>https://www.researchgate.net/publication/381215857_Digital_transformation_in_Vietnam_A_case_study_of_Hanoi_SMEs</w:t>
        </w:r>
      </w:hyperlink>
      <w:r w:rsidRPr="000B5E96">
        <w:rPr>
          <w:rFonts w:ascii="Arial" w:hAnsi="Arial" w:cs="Arial"/>
        </w:rPr>
        <w:t xml:space="preserve"> </w:t>
      </w:r>
    </w:p>
    <w:p w14:paraId="353B1792" w14:textId="77777777" w:rsidR="0038402F" w:rsidRPr="000B5E96" w:rsidRDefault="0038402F">
      <w:pPr>
        <w:rPr>
          <w:rFonts w:ascii="Arial" w:hAnsi="Arial" w:cs="Arial"/>
        </w:rPr>
      </w:pPr>
      <w:r w:rsidRPr="000B5E96">
        <w:rPr>
          <w:rFonts w:ascii="Arial" w:hAnsi="Arial" w:cs="Arial"/>
        </w:rPr>
        <w:t xml:space="preserve">National Assembly of Vietnam (2024) </w:t>
      </w:r>
      <w:r w:rsidRPr="000B5E96">
        <w:rPr>
          <w:rFonts w:ascii="Arial" w:hAnsi="Arial" w:cs="Arial"/>
          <w:i/>
          <w:iCs/>
        </w:rPr>
        <w:t>Law No. 60/2024/QH15 on Data</w:t>
      </w:r>
      <w:r w:rsidRPr="000B5E96">
        <w:rPr>
          <w:rFonts w:ascii="Arial" w:hAnsi="Arial" w:cs="Arial"/>
        </w:rPr>
        <w:t>. Hanoi: National Assembly of the Socialist Republic of Vietnam.</w:t>
      </w:r>
      <w:hyperlink r:id="rId36">
        <w:r w:rsidRPr="000B5E96">
          <w:rPr>
            <w:rFonts w:ascii="Arial" w:hAnsi="Arial" w:cs="Arial"/>
            <w:color w:val="1155CC"/>
            <w:u w:val="single"/>
          </w:rPr>
          <w:t>https://vnlawfirm.vn/van-ban/law-on-data-of-vietnam-2024/</w:t>
        </w:r>
      </w:hyperlink>
      <w:r w:rsidRPr="000B5E96">
        <w:rPr>
          <w:rFonts w:ascii="Arial" w:hAnsi="Arial" w:cs="Arial"/>
        </w:rPr>
        <w:t xml:space="preserve"> </w:t>
      </w:r>
    </w:p>
    <w:p w14:paraId="3704034C" w14:textId="77777777" w:rsidR="0038402F" w:rsidRPr="000B5E96" w:rsidRDefault="0038402F">
      <w:pPr>
        <w:rPr>
          <w:rFonts w:ascii="Arial" w:hAnsi="Arial" w:cs="Arial"/>
        </w:rPr>
      </w:pPr>
      <w:r w:rsidRPr="000B5E96">
        <w:rPr>
          <w:rFonts w:ascii="Arial" w:hAnsi="Arial" w:cs="Arial"/>
        </w:rPr>
        <w:t xml:space="preserve">Nguyen, H.M. and Bui, N.H., 2024. The heterogeneity impacts of digital transformation, human capital, and trade openness on income and labour productivity in Vietnam. </w:t>
      </w:r>
      <w:r w:rsidRPr="000B5E96">
        <w:rPr>
          <w:rFonts w:ascii="Arial" w:hAnsi="Arial" w:cs="Arial"/>
          <w:i/>
          <w:iCs/>
        </w:rPr>
        <w:t>HO CHI MINH CITY OPEN UNIVERSITY JOURNAL OF SCIENCE-ECONOMICS AND BUSINESS ADMINISTRATION</w:t>
      </w:r>
      <w:r w:rsidRPr="000B5E96">
        <w:rPr>
          <w:rFonts w:ascii="Arial" w:hAnsi="Arial" w:cs="Arial"/>
        </w:rPr>
        <w:t>, pp.157-171.</w:t>
      </w:r>
      <w:hyperlink r:id="rId37">
        <w:r w:rsidRPr="000B5E96">
          <w:rPr>
            <w:rFonts w:ascii="Arial" w:hAnsi="Arial" w:cs="Arial"/>
            <w:color w:val="1155CC"/>
            <w:u w:val="single"/>
          </w:rPr>
          <w:t>https://journalofscience.ou.edu.vn/index.php/econ-en/article/download/3484/2185</w:t>
        </w:r>
      </w:hyperlink>
      <w:r w:rsidRPr="000B5E96">
        <w:rPr>
          <w:rFonts w:ascii="Arial" w:hAnsi="Arial" w:cs="Arial"/>
        </w:rPr>
        <w:t xml:space="preserve"> </w:t>
      </w:r>
    </w:p>
    <w:p w14:paraId="2FFF4A7C" w14:textId="77777777" w:rsidR="0038402F" w:rsidRPr="000B5E96" w:rsidRDefault="0038402F">
      <w:pPr>
        <w:rPr>
          <w:rFonts w:ascii="Arial" w:hAnsi="Arial" w:cs="Arial"/>
        </w:rPr>
      </w:pPr>
      <w:r w:rsidRPr="000B5E96">
        <w:rPr>
          <w:rFonts w:ascii="Arial" w:hAnsi="Arial" w:cs="Arial"/>
        </w:rPr>
        <w:t xml:space="preserve">Nguyen, T.Q.A. and Nguyen, T.T., 2024. The 4.0 skills gap of workers in Vietnam's industrial parks in the context of the Fourth Industrial Revolution: Some initial thoughts. </w:t>
      </w:r>
      <w:r w:rsidRPr="000B5E96">
        <w:rPr>
          <w:rFonts w:ascii="Arial" w:hAnsi="Arial" w:cs="Arial"/>
          <w:i/>
          <w:iCs/>
        </w:rPr>
        <w:t>VNU Journal of Science: Policy and Management Studies</w:t>
      </w:r>
      <w:r w:rsidRPr="000B5E96">
        <w:rPr>
          <w:rFonts w:ascii="Arial" w:hAnsi="Arial" w:cs="Arial"/>
        </w:rPr>
        <w:t xml:space="preserve">, </w:t>
      </w:r>
      <w:r w:rsidRPr="000B5E96">
        <w:rPr>
          <w:rFonts w:ascii="Arial" w:hAnsi="Arial" w:cs="Arial"/>
          <w:i/>
          <w:iCs/>
        </w:rPr>
        <w:t>40</w:t>
      </w:r>
      <w:r w:rsidRPr="000B5E96">
        <w:rPr>
          <w:rFonts w:ascii="Arial" w:hAnsi="Arial" w:cs="Arial"/>
        </w:rPr>
        <w:t>(2).</w:t>
      </w:r>
      <w:hyperlink r:id="rId38">
        <w:r w:rsidRPr="000B5E96">
          <w:rPr>
            <w:rFonts w:ascii="Arial" w:hAnsi="Arial" w:cs="Arial"/>
            <w:color w:val="1155CC"/>
            <w:u w:val="single"/>
          </w:rPr>
          <w:t>https://js.vnu.edu.vn/</w:t>
        </w:r>
        <w:proofErr w:type="spellStart"/>
        <w:r w:rsidRPr="000B5E96">
          <w:rPr>
            <w:rFonts w:ascii="Arial" w:hAnsi="Arial" w:cs="Arial"/>
            <w:color w:val="1155CC"/>
            <w:u w:val="single"/>
          </w:rPr>
          <w:t>PaM</w:t>
        </w:r>
        <w:proofErr w:type="spellEnd"/>
        <w:r w:rsidRPr="000B5E96">
          <w:rPr>
            <w:rFonts w:ascii="Arial" w:hAnsi="Arial" w:cs="Arial"/>
            <w:color w:val="1155CC"/>
            <w:u w:val="single"/>
          </w:rPr>
          <w:t>/article/view/4457/4068</w:t>
        </w:r>
      </w:hyperlink>
      <w:r w:rsidRPr="000B5E96">
        <w:rPr>
          <w:rFonts w:ascii="Arial" w:hAnsi="Arial" w:cs="Arial"/>
        </w:rPr>
        <w:t xml:space="preserve"> </w:t>
      </w:r>
    </w:p>
    <w:p w14:paraId="6FD942A6" w14:textId="77777777" w:rsidR="0038402F" w:rsidRPr="000B5E96" w:rsidRDefault="0038402F">
      <w:pPr>
        <w:rPr>
          <w:rFonts w:ascii="Arial" w:hAnsi="Arial" w:cs="Arial"/>
        </w:rPr>
      </w:pPr>
      <w:r w:rsidRPr="000B5E96">
        <w:rPr>
          <w:rFonts w:ascii="Arial" w:hAnsi="Arial" w:cs="Arial"/>
        </w:rPr>
        <w:t xml:space="preserve">OECD (2026) </w:t>
      </w:r>
      <w:r w:rsidRPr="000B5E96">
        <w:rPr>
          <w:rFonts w:ascii="Arial" w:hAnsi="Arial" w:cs="Arial"/>
          <w:i/>
          <w:iCs/>
        </w:rPr>
        <w:t>FDI Qualities Review of Viet Nam: Powering the Next Growth Phase</w:t>
      </w:r>
      <w:r w:rsidRPr="000B5E96">
        <w:rPr>
          <w:rFonts w:ascii="Arial" w:hAnsi="Arial" w:cs="Arial"/>
        </w:rPr>
        <w:t>. Paris: OECD Publishing.</w:t>
      </w:r>
      <w:hyperlink r:id="rId39">
        <w:r w:rsidRPr="000B5E96">
          <w:rPr>
            <w:rFonts w:ascii="Arial" w:hAnsi="Arial" w:cs="Arial"/>
            <w:color w:val="1155CC"/>
            <w:u w:val="single"/>
          </w:rPr>
          <w:t>https://www.oecd.org/content/dam/oecd/en/publications/reports/2026/04/fdi-qualities-review-of-viet-nam_5bbad050/a3c78dac-en.pdf</w:t>
        </w:r>
      </w:hyperlink>
      <w:r w:rsidRPr="000B5E96">
        <w:rPr>
          <w:rFonts w:ascii="Arial" w:hAnsi="Arial" w:cs="Arial"/>
        </w:rPr>
        <w:t xml:space="preserve"> </w:t>
      </w:r>
    </w:p>
    <w:p w14:paraId="7CDEBEB5" w14:textId="77777777" w:rsidR="0038402F" w:rsidRPr="000B5E96" w:rsidRDefault="0038402F">
      <w:pPr>
        <w:rPr>
          <w:rFonts w:ascii="Arial" w:hAnsi="Arial" w:cs="Arial"/>
        </w:rPr>
      </w:pPr>
      <w:proofErr w:type="spellStart"/>
      <w:r w:rsidRPr="000B5E96">
        <w:rPr>
          <w:rFonts w:ascii="Arial" w:hAnsi="Arial" w:cs="Arial"/>
        </w:rPr>
        <w:t>OpenLearn</w:t>
      </w:r>
      <w:proofErr w:type="spellEnd"/>
      <w:r w:rsidRPr="000B5E96">
        <w:rPr>
          <w:rFonts w:ascii="Arial" w:hAnsi="Arial" w:cs="Arial"/>
        </w:rPr>
        <w:t xml:space="preserve">. 2026. </w:t>
      </w:r>
      <w:r w:rsidRPr="000B5E96">
        <w:rPr>
          <w:rFonts w:ascii="Arial" w:hAnsi="Arial" w:cs="Arial"/>
          <w:i/>
          <w:iCs/>
        </w:rPr>
        <w:t>Gibbs’ Reflective Cycle</w:t>
      </w:r>
      <w:r w:rsidRPr="000B5E96">
        <w:rPr>
          <w:rFonts w:ascii="Arial" w:hAnsi="Arial" w:cs="Arial"/>
        </w:rPr>
        <w:t xml:space="preserve">. </w:t>
      </w:r>
      <w:hyperlink r:id="rId40">
        <w:r w:rsidRPr="000B5E96">
          <w:rPr>
            <w:rFonts w:ascii="Arial" w:hAnsi="Arial" w:cs="Arial"/>
            <w:color w:val="1155CC"/>
            <w:u w:val="single"/>
          </w:rPr>
          <w:t>https://www.open.edu/openlearn/mod/oucontent/view.php?id=166863&amp;section=_unit3.7.1</w:t>
        </w:r>
      </w:hyperlink>
      <w:r w:rsidRPr="000B5E96">
        <w:rPr>
          <w:rFonts w:ascii="Arial" w:hAnsi="Arial" w:cs="Arial"/>
        </w:rPr>
        <w:t xml:space="preserve"> </w:t>
      </w:r>
    </w:p>
    <w:p w14:paraId="08470EE2" w14:textId="77777777" w:rsidR="0038402F" w:rsidRPr="000B5E96" w:rsidRDefault="0038402F">
      <w:pPr>
        <w:rPr>
          <w:rFonts w:ascii="Arial" w:hAnsi="Arial" w:cs="Arial"/>
        </w:rPr>
      </w:pPr>
      <w:r w:rsidRPr="000B5E96">
        <w:rPr>
          <w:rFonts w:ascii="Arial" w:hAnsi="Arial" w:cs="Arial"/>
        </w:rPr>
        <w:t xml:space="preserve">Phi, V.T., Tran, K.H., Hoang, V.H. and Dong, V.C., 2024. The role of foreign direct investment in technology development in Vietnam. </w:t>
      </w:r>
      <w:r w:rsidRPr="000B5E96">
        <w:rPr>
          <w:rFonts w:ascii="Arial" w:hAnsi="Arial" w:cs="Arial"/>
          <w:i/>
          <w:iCs/>
        </w:rPr>
        <w:t>Cogent Social Sciences</w:t>
      </w:r>
      <w:r w:rsidRPr="000B5E96">
        <w:rPr>
          <w:rFonts w:ascii="Arial" w:hAnsi="Arial" w:cs="Arial"/>
        </w:rPr>
        <w:t xml:space="preserve">, </w:t>
      </w:r>
      <w:r w:rsidRPr="000B5E96">
        <w:rPr>
          <w:rFonts w:ascii="Arial" w:hAnsi="Arial" w:cs="Arial"/>
          <w:i/>
          <w:iCs/>
        </w:rPr>
        <w:t>10</w:t>
      </w:r>
      <w:r w:rsidRPr="000B5E96">
        <w:rPr>
          <w:rFonts w:ascii="Arial" w:hAnsi="Arial" w:cs="Arial"/>
        </w:rPr>
        <w:t>(1), p.2300514.</w:t>
      </w:r>
      <w:hyperlink r:id="rId41">
        <w:r w:rsidRPr="000B5E96">
          <w:rPr>
            <w:rFonts w:ascii="Arial" w:hAnsi="Arial" w:cs="Arial"/>
            <w:color w:val="1155CC"/>
            <w:u w:val="single"/>
          </w:rPr>
          <w:t>https://www.tandfonline.com/doi/pdf/10.1080/23311886.2023.2300514</w:t>
        </w:r>
      </w:hyperlink>
      <w:r w:rsidRPr="000B5E96">
        <w:rPr>
          <w:rFonts w:ascii="Arial" w:hAnsi="Arial" w:cs="Arial"/>
        </w:rPr>
        <w:t xml:space="preserve"> </w:t>
      </w:r>
    </w:p>
    <w:p w14:paraId="2912A196" w14:textId="77777777" w:rsidR="0038402F" w:rsidRPr="000B5E96" w:rsidRDefault="0038402F">
      <w:pPr>
        <w:rPr>
          <w:rFonts w:ascii="Arial" w:hAnsi="Arial" w:cs="Arial"/>
        </w:rPr>
      </w:pPr>
      <w:r w:rsidRPr="000B5E96">
        <w:rPr>
          <w:rFonts w:ascii="Arial" w:hAnsi="Arial" w:cs="Arial"/>
        </w:rPr>
        <w:t xml:space="preserve">Tata Consultancy Services (2025) </w:t>
      </w:r>
      <w:r w:rsidRPr="000B5E96">
        <w:rPr>
          <w:rFonts w:ascii="Arial" w:hAnsi="Arial" w:cs="Arial"/>
          <w:i/>
          <w:iCs/>
        </w:rPr>
        <w:t>Integrated Annual Report 2024–25</w:t>
      </w:r>
      <w:r w:rsidRPr="000B5E96">
        <w:rPr>
          <w:rFonts w:ascii="Arial" w:hAnsi="Arial" w:cs="Arial"/>
        </w:rPr>
        <w:t>. Mumbai: Tata Consultancy Services Limited.</w:t>
      </w:r>
      <w:hyperlink r:id="rId42">
        <w:r w:rsidRPr="000B5E96">
          <w:rPr>
            <w:rFonts w:ascii="Arial" w:hAnsi="Arial" w:cs="Arial"/>
            <w:color w:val="1155CC"/>
            <w:u w:val="single"/>
          </w:rPr>
          <w:t>https://www.tcs.com/content/dam/tcs/investor-relations/financial-statements/2025-26/ar/annual-report-2025-2026.pdf</w:t>
        </w:r>
      </w:hyperlink>
      <w:r w:rsidRPr="000B5E96">
        <w:rPr>
          <w:rFonts w:ascii="Arial" w:hAnsi="Arial" w:cs="Arial"/>
        </w:rPr>
        <w:t xml:space="preserve"> </w:t>
      </w:r>
    </w:p>
    <w:p w14:paraId="4ACDB4C8" w14:textId="77777777" w:rsidR="0038402F" w:rsidRPr="000B5E96" w:rsidRDefault="0038402F">
      <w:pPr>
        <w:rPr>
          <w:rFonts w:ascii="Arial" w:hAnsi="Arial" w:cs="Arial"/>
        </w:rPr>
      </w:pPr>
      <w:r w:rsidRPr="000B5E96">
        <w:rPr>
          <w:rFonts w:ascii="Arial" w:hAnsi="Arial" w:cs="Arial"/>
        </w:rPr>
        <w:t xml:space="preserve">Tata Consultancy Services (2026) </w:t>
      </w:r>
      <w:r w:rsidRPr="000B5E96">
        <w:rPr>
          <w:rFonts w:ascii="Arial" w:hAnsi="Arial" w:cs="Arial"/>
          <w:i/>
          <w:iCs/>
        </w:rPr>
        <w:t>Integrated Annual Report 2025–26</w:t>
      </w:r>
      <w:r w:rsidRPr="000B5E96">
        <w:rPr>
          <w:rFonts w:ascii="Arial" w:hAnsi="Arial" w:cs="Arial"/>
        </w:rPr>
        <w:t>. Mumbai: Tata Consultancy Services Limited.</w:t>
      </w:r>
      <w:hyperlink r:id="rId43">
        <w:r w:rsidRPr="000B5E96">
          <w:rPr>
            <w:rFonts w:ascii="Arial" w:hAnsi="Arial" w:cs="Arial"/>
            <w:color w:val="1155CC"/>
            <w:u w:val="single"/>
          </w:rPr>
          <w:t>https://www.tcs.com/content/dam/tcs/investor-relations/financial-statements/2025-26/ar/annual-report-2025-2026.pdf</w:t>
        </w:r>
      </w:hyperlink>
      <w:r w:rsidRPr="000B5E96">
        <w:rPr>
          <w:rFonts w:ascii="Arial" w:hAnsi="Arial" w:cs="Arial"/>
        </w:rPr>
        <w:t xml:space="preserve"> </w:t>
      </w:r>
    </w:p>
    <w:p w14:paraId="509D4CD3" w14:textId="77777777" w:rsidR="0038402F" w:rsidRPr="000B5E96" w:rsidRDefault="0038402F">
      <w:pPr>
        <w:rPr>
          <w:rFonts w:ascii="Arial" w:hAnsi="Arial" w:cs="Arial"/>
        </w:rPr>
      </w:pPr>
      <w:r w:rsidRPr="000B5E96">
        <w:rPr>
          <w:rFonts w:ascii="Arial" w:hAnsi="Arial" w:cs="Arial"/>
        </w:rPr>
        <w:t xml:space="preserve">TCS. 2025. </w:t>
      </w:r>
      <w:r w:rsidRPr="000B5E96">
        <w:rPr>
          <w:rFonts w:ascii="Arial" w:hAnsi="Arial" w:cs="Arial"/>
          <w:i/>
          <w:iCs/>
        </w:rPr>
        <w:t>TCS Annual Report 2025-26</w:t>
      </w:r>
      <w:r w:rsidRPr="000B5E96">
        <w:rPr>
          <w:rFonts w:ascii="Arial" w:hAnsi="Arial" w:cs="Arial"/>
        </w:rPr>
        <w:t xml:space="preserve">. </w:t>
      </w:r>
      <w:hyperlink r:id="rId44">
        <w:r w:rsidRPr="000B5E96">
          <w:rPr>
            <w:rFonts w:ascii="Arial" w:hAnsi="Arial" w:cs="Arial"/>
            <w:color w:val="1155CC"/>
            <w:u w:val="single"/>
          </w:rPr>
          <w:t>https://www.tcs.com/content/dam/tcs/investor-relations/financial-statements/2025-26/ar/annual-report-2025-2026.pdf</w:t>
        </w:r>
      </w:hyperlink>
      <w:r w:rsidRPr="000B5E96">
        <w:rPr>
          <w:rFonts w:ascii="Arial" w:hAnsi="Arial" w:cs="Arial"/>
        </w:rPr>
        <w:t xml:space="preserve"> </w:t>
      </w:r>
    </w:p>
    <w:p w14:paraId="3D991145" w14:textId="77777777" w:rsidR="0038402F" w:rsidRPr="000B5E96" w:rsidRDefault="0038402F">
      <w:pPr>
        <w:rPr>
          <w:rFonts w:ascii="Arial" w:hAnsi="Arial" w:cs="Arial"/>
        </w:rPr>
      </w:pPr>
      <w:r w:rsidRPr="000B5E96">
        <w:rPr>
          <w:rFonts w:ascii="Arial" w:hAnsi="Arial" w:cs="Arial"/>
        </w:rPr>
        <w:t xml:space="preserve">Tran, D.V., Nguyen, P.V., Le, L.P. and Nguyen, S.T.N., 2025. From awareness to behaviour: understanding cybersecurity compliance in Vietnam. </w:t>
      </w:r>
      <w:r w:rsidRPr="000B5E96">
        <w:rPr>
          <w:rFonts w:ascii="Arial" w:hAnsi="Arial" w:cs="Arial"/>
          <w:i/>
          <w:iCs/>
        </w:rPr>
        <w:t>International Journal of Organizational Analysis</w:t>
      </w:r>
      <w:r w:rsidRPr="000B5E96">
        <w:rPr>
          <w:rFonts w:ascii="Arial" w:hAnsi="Arial" w:cs="Arial"/>
        </w:rPr>
        <w:t xml:space="preserve">, </w:t>
      </w:r>
      <w:r w:rsidRPr="000B5E96">
        <w:rPr>
          <w:rFonts w:ascii="Arial" w:hAnsi="Arial" w:cs="Arial"/>
          <w:i/>
          <w:iCs/>
        </w:rPr>
        <w:t>33</w:t>
      </w:r>
      <w:r w:rsidRPr="000B5E96">
        <w:rPr>
          <w:rFonts w:ascii="Arial" w:hAnsi="Arial" w:cs="Arial"/>
        </w:rPr>
        <w:t>(1), pp.209-229.</w:t>
      </w:r>
      <w:hyperlink r:id="rId45">
        <w:r w:rsidRPr="000B5E96">
          <w:rPr>
            <w:rFonts w:ascii="Arial" w:hAnsi="Arial" w:cs="Arial"/>
            <w:color w:val="1155CC"/>
            <w:u w:val="single"/>
          </w:rPr>
          <w:t>https://www.emerald.com/ijoa/article/33/1/209/1239101</w:t>
        </w:r>
      </w:hyperlink>
      <w:r w:rsidRPr="000B5E96">
        <w:rPr>
          <w:rFonts w:ascii="Arial" w:hAnsi="Arial" w:cs="Arial"/>
        </w:rPr>
        <w:t xml:space="preserve"> </w:t>
      </w:r>
    </w:p>
    <w:p w14:paraId="34385D02" w14:textId="77777777" w:rsidR="0038402F" w:rsidRPr="000B5E96" w:rsidRDefault="0038402F">
      <w:pPr>
        <w:rPr>
          <w:rFonts w:ascii="Arial" w:hAnsi="Arial" w:cs="Arial"/>
        </w:rPr>
      </w:pPr>
      <w:r w:rsidRPr="000B5E96">
        <w:rPr>
          <w:rFonts w:ascii="Arial" w:hAnsi="Arial" w:cs="Arial"/>
        </w:rPr>
        <w:t xml:space="preserve">Trieu, H.D., Nguyen, P.V. and </w:t>
      </w:r>
      <w:proofErr w:type="spellStart"/>
      <w:r w:rsidRPr="000B5E96">
        <w:rPr>
          <w:rFonts w:ascii="Arial" w:hAnsi="Arial" w:cs="Arial"/>
        </w:rPr>
        <w:t>Vrontis</w:t>
      </w:r>
      <w:proofErr w:type="spellEnd"/>
      <w:r w:rsidRPr="000B5E96">
        <w:rPr>
          <w:rFonts w:ascii="Arial" w:hAnsi="Arial" w:cs="Arial"/>
        </w:rPr>
        <w:t xml:space="preserve">, D., 2025. The interplay of IT adoption, government support and firm performance: mediating roles of innovation and resilience in Vietnamese SMEs. </w:t>
      </w:r>
      <w:r w:rsidRPr="000B5E96">
        <w:rPr>
          <w:rFonts w:ascii="Arial" w:hAnsi="Arial" w:cs="Arial"/>
          <w:i/>
          <w:iCs/>
        </w:rPr>
        <w:t>Journal of Asia Business Studies</w:t>
      </w:r>
      <w:r w:rsidRPr="000B5E96">
        <w:rPr>
          <w:rFonts w:ascii="Arial" w:hAnsi="Arial" w:cs="Arial"/>
        </w:rPr>
        <w:t xml:space="preserve">, </w:t>
      </w:r>
      <w:r w:rsidRPr="000B5E96">
        <w:rPr>
          <w:rFonts w:ascii="Arial" w:hAnsi="Arial" w:cs="Arial"/>
          <w:i/>
          <w:iCs/>
        </w:rPr>
        <w:t>19</w:t>
      </w:r>
      <w:r w:rsidRPr="000B5E96">
        <w:rPr>
          <w:rFonts w:ascii="Arial" w:hAnsi="Arial" w:cs="Arial"/>
        </w:rPr>
        <w:t>(4), pp.935-953.</w:t>
      </w:r>
      <w:hyperlink r:id="rId46">
        <w:r w:rsidRPr="000B5E96">
          <w:rPr>
            <w:rFonts w:ascii="Arial" w:hAnsi="Arial" w:cs="Arial"/>
            <w:color w:val="1155CC"/>
            <w:u w:val="single"/>
          </w:rPr>
          <w:t>https://www.emerald.com/jabs/article/doi/10.1108/JABS-12-2024-0690/1251561</w:t>
        </w:r>
      </w:hyperlink>
      <w:r w:rsidRPr="000B5E96">
        <w:rPr>
          <w:rFonts w:ascii="Arial" w:hAnsi="Arial" w:cs="Arial"/>
        </w:rPr>
        <w:t xml:space="preserve"> </w:t>
      </w:r>
    </w:p>
    <w:p w14:paraId="7154E081" w14:textId="77777777" w:rsidR="0038402F" w:rsidRPr="000B5E96" w:rsidRDefault="0038402F">
      <w:pPr>
        <w:rPr>
          <w:rFonts w:ascii="Arial" w:hAnsi="Arial" w:cs="Arial"/>
        </w:rPr>
      </w:pPr>
      <w:r w:rsidRPr="000B5E96">
        <w:rPr>
          <w:rFonts w:ascii="Arial" w:hAnsi="Arial" w:cs="Arial"/>
        </w:rPr>
        <w:t xml:space="preserve">Vu, M., Nguyen, G., &amp; Le, T. (2026). Does FDI facilitate digital transformation in developing countries? Evidence from Vietnamese firms. </w:t>
      </w:r>
      <w:r w:rsidRPr="000B5E96">
        <w:rPr>
          <w:rFonts w:ascii="Arial" w:hAnsi="Arial" w:cs="Arial"/>
          <w:i/>
          <w:iCs/>
        </w:rPr>
        <w:t>Industrial and Corporate Change</w:t>
      </w:r>
      <w:r w:rsidRPr="000B5E96">
        <w:rPr>
          <w:rFonts w:ascii="Arial" w:hAnsi="Arial" w:cs="Arial"/>
        </w:rPr>
        <w:t>, dtag001.</w:t>
      </w:r>
      <w:hyperlink r:id="rId47">
        <w:r w:rsidRPr="000B5E96">
          <w:rPr>
            <w:rFonts w:ascii="Arial" w:hAnsi="Arial" w:cs="Arial"/>
            <w:color w:val="1155CC"/>
            <w:u w:val="single"/>
          </w:rPr>
          <w:t>https://academic.oup.com/icc/advance-article-pdf/doi/10.1093/icc/dtag001/66963212/dtag001.pdf</w:t>
        </w:r>
      </w:hyperlink>
      <w:r w:rsidRPr="000B5E96">
        <w:rPr>
          <w:rFonts w:ascii="Arial" w:hAnsi="Arial" w:cs="Arial"/>
        </w:rPr>
        <w:t xml:space="preserve"> </w:t>
      </w:r>
    </w:p>
    <w:p w14:paraId="60359957" w14:textId="77777777" w:rsidR="0038402F" w:rsidRPr="000B5E96" w:rsidRDefault="0038402F">
      <w:pPr>
        <w:rPr>
          <w:rFonts w:ascii="Arial" w:hAnsi="Arial" w:cs="Arial"/>
        </w:rPr>
      </w:pPr>
      <w:r w:rsidRPr="000B5E96">
        <w:rPr>
          <w:rFonts w:ascii="Arial" w:hAnsi="Arial" w:cs="Arial"/>
        </w:rPr>
        <w:t xml:space="preserve">World Bank (2026) </w:t>
      </w:r>
      <w:r w:rsidRPr="000B5E96">
        <w:rPr>
          <w:rFonts w:ascii="Arial" w:hAnsi="Arial" w:cs="Arial"/>
          <w:i/>
          <w:iCs/>
        </w:rPr>
        <w:t>Viet Nam Economic Update, May 2026</w:t>
      </w:r>
      <w:r w:rsidRPr="000B5E96">
        <w:rPr>
          <w:rFonts w:ascii="Arial" w:hAnsi="Arial" w:cs="Arial"/>
        </w:rPr>
        <w:t>. Washington, DC: World Bank.</w:t>
      </w:r>
      <w:hyperlink r:id="rId48">
        <w:r w:rsidRPr="000B5E96">
          <w:rPr>
            <w:rFonts w:ascii="Arial" w:hAnsi="Arial" w:cs="Arial"/>
            <w:color w:val="1155CC"/>
            <w:u w:val="single"/>
          </w:rPr>
          <w:t>https://openknowledge.worldbank.org/entities/publication/3eaf9e51-8f55-4906-87d4-a60f85256daf</w:t>
        </w:r>
      </w:hyperlink>
      <w:r w:rsidRPr="000B5E96">
        <w:rPr>
          <w:rFonts w:ascii="Arial" w:hAnsi="Arial" w:cs="Arial"/>
        </w:rPr>
        <w:t xml:space="preserve"> </w:t>
      </w:r>
    </w:p>
    <w:p w14:paraId="03488EC7" w14:textId="77777777" w:rsidR="006C070F" w:rsidRPr="000B5E96" w:rsidRDefault="00350C7C">
      <w:pPr>
        <w:rPr>
          <w:rFonts w:ascii="Arial" w:hAnsi="Arial" w:cs="Arial"/>
        </w:rPr>
      </w:pPr>
      <w:r w:rsidRPr="000B5E96">
        <w:rPr>
          <w:rFonts w:ascii="Arial" w:hAnsi="Arial" w:cs="Arial"/>
        </w:rPr>
        <w:br w:type="page"/>
      </w:r>
    </w:p>
    <w:p w14:paraId="119A188D" w14:textId="77777777" w:rsidR="006C070F" w:rsidRPr="000B5E96" w:rsidRDefault="00350C7C">
      <w:pPr>
        <w:pStyle w:val="Heading1"/>
        <w:rPr>
          <w:rFonts w:ascii="Arial" w:hAnsi="Arial" w:cs="Arial"/>
        </w:rPr>
      </w:pPr>
      <w:bookmarkStart w:id="27" w:name="_Toc237568571"/>
      <w:r w:rsidRPr="000B5E96">
        <w:rPr>
          <w:rFonts w:ascii="Arial" w:hAnsi="Arial" w:cs="Arial"/>
        </w:rPr>
        <w:t>Appendices</w:t>
      </w:r>
      <w:bookmarkEnd w:id="27"/>
    </w:p>
    <w:p w14:paraId="5FAC8BCD" w14:textId="77777777" w:rsidR="006C070F" w:rsidRPr="000B5E96" w:rsidRDefault="00350C7C">
      <w:pPr>
        <w:pStyle w:val="Heading2"/>
        <w:rPr>
          <w:rFonts w:ascii="Arial" w:hAnsi="Arial" w:cs="Arial"/>
        </w:rPr>
      </w:pPr>
      <w:bookmarkStart w:id="28" w:name="_Toc237568572"/>
      <w:r w:rsidRPr="000B5E96">
        <w:rPr>
          <w:rFonts w:ascii="Arial" w:hAnsi="Arial" w:cs="Arial"/>
        </w:rPr>
        <w:t>Appendix A: Vietnam Macro-Environmental Evidence Table</w:t>
      </w:r>
      <w:bookmarkEnd w:id="28"/>
    </w:p>
    <w:tbl>
      <w:tblPr>
        <w:tblStyle w:val="a3"/>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1"/>
        <w:gridCol w:w="2315"/>
        <w:gridCol w:w="1785"/>
        <w:gridCol w:w="1827"/>
        <w:gridCol w:w="1507"/>
      </w:tblGrid>
      <w:tr w:rsidR="006C070F" w:rsidRPr="000B5E96" w14:paraId="00AC2FE5" w14:textId="77777777">
        <w:trPr>
          <w:trHeight w:val="770"/>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7C1940" w14:textId="77777777" w:rsidR="006C070F" w:rsidRPr="000B5E96" w:rsidRDefault="00350C7C">
            <w:pPr>
              <w:jc w:val="center"/>
              <w:rPr>
                <w:rFonts w:ascii="Arial" w:hAnsi="Arial" w:cs="Arial"/>
              </w:rPr>
            </w:pPr>
            <w:r w:rsidRPr="000B5E96">
              <w:rPr>
                <w:rFonts w:ascii="Arial" w:hAnsi="Arial" w:cs="Arial"/>
                <w:b/>
                <w:bCs/>
              </w:rPr>
              <w:t>Dimension</w:t>
            </w:r>
          </w:p>
        </w:tc>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1AE07" w14:textId="77777777" w:rsidR="006C070F" w:rsidRPr="000B5E96" w:rsidRDefault="00350C7C">
            <w:pPr>
              <w:jc w:val="center"/>
              <w:rPr>
                <w:rFonts w:ascii="Arial" w:hAnsi="Arial" w:cs="Arial"/>
              </w:rPr>
            </w:pPr>
            <w:r w:rsidRPr="000B5E96">
              <w:rPr>
                <w:rFonts w:ascii="Arial" w:hAnsi="Arial" w:cs="Arial"/>
                <w:b/>
                <w:bCs/>
              </w:rPr>
              <w:t>Key evidence for Vietnam</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DE0D18" w14:textId="77777777" w:rsidR="006C070F" w:rsidRPr="000B5E96" w:rsidRDefault="00350C7C">
            <w:pPr>
              <w:jc w:val="center"/>
              <w:rPr>
                <w:rFonts w:ascii="Arial" w:hAnsi="Arial" w:cs="Arial"/>
              </w:rPr>
            </w:pPr>
            <w:r w:rsidRPr="000B5E96">
              <w:rPr>
                <w:rFonts w:ascii="Arial" w:hAnsi="Arial" w:cs="Arial"/>
                <w:b/>
                <w:bCs/>
              </w:rPr>
              <w:t>Opportunity for TCS</w:t>
            </w:r>
          </w:p>
        </w:tc>
        <w:tc>
          <w:tcPr>
            <w:tcW w:w="1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A947A9" w14:textId="77777777" w:rsidR="006C070F" w:rsidRPr="000B5E96" w:rsidRDefault="00350C7C">
            <w:pPr>
              <w:jc w:val="center"/>
              <w:rPr>
                <w:rFonts w:ascii="Arial" w:hAnsi="Arial" w:cs="Arial"/>
              </w:rPr>
            </w:pPr>
            <w:r w:rsidRPr="000B5E96">
              <w:rPr>
                <w:rFonts w:ascii="Arial" w:hAnsi="Arial" w:cs="Arial"/>
                <w:b/>
                <w:bCs/>
              </w:rPr>
              <w:t>Risk / Critical implication</w:t>
            </w:r>
          </w:p>
        </w:tc>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2ECE46" w14:textId="77777777" w:rsidR="006C070F" w:rsidRPr="000B5E96" w:rsidRDefault="00350C7C">
            <w:pPr>
              <w:jc w:val="center"/>
              <w:rPr>
                <w:rFonts w:ascii="Arial" w:hAnsi="Arial" w:cs="Arial"/>
              </w:rPr>
            </w:pPr>
            <w:r w:rsidRPr="000B5E96">
              <w:rPr>
                <w:rFonts w:ascii="Arial" w:hAnsi="Arial" w:cs="Arial"/>
                <w:b/>
                <w:bCs/>
              </w:rPr>
              <w:t>Relevant sources</w:t>
            </w:r>
          </w:p>
        </w:tc>
      </w:tr>
      <w:tr w:rsidR="006C070F" w:rsidRPr="000B5E96" w14:paraId="6EB6B869" w14:textId="77777777">
        <w:trPr>
          <w:trHeight w:val="3770"/>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B61D36" w14:textId="77777777" w:rsidR="006C070F" w:rsidRPr="000B5E96" w:rsidRDefault="00350C7C">
            <w:pPr>
              <w:rPr>
                <w:rFonts w:ascii="Arial" w:hAnsi="Arial" w:cs="Arial"/>
              </w:rPr>
            </w:pPr>
            <w:r w:rsidRPr="000B5E96">
              <w:rPr>
                <w:rFonts w:ascii="Arial" w:hAnsi="Arial" w:cs="Arial"/>
                <w:b/>
                <w:bCs/>
              </w:rPr>
              <w:t>Political / Institutional</w:t>
            </w:r>
          </w:p>
        </w:tc>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8B833A" w14:textId="77777777" w:rsidR="006C070F" w:rsidRPr="000B5E96" w:rsidRDefault="00350C7C">
            <w:pPr>
              <w:rPr>
                <w:rFonts w:ascii="Arial" w:hAnsi="Arial" w:cs="Arial"/>
              </w:rPr>
            </w:pPr>
            <w:r w:rsidRPr="000B5E96">
              <w:rPr>
                <w:rFonts w:ascii="Arial" w:hAnsi="Arial" w:cs="Arial"/>
              </w:rPr>
              <w:t>Vietnam continues to promote economic reform, digital transformation and higher-quality foreign investment. Institutional quality, transparency, labour policy and administrative efficiency influence firm productivity and internationalisation.</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360882" w14:textId="77777777" w:rsidR="006C070F" w:rsidRPr="000B5E96" w:rsidRDefault="00350C7C">
            <w:pPr>
              <w:rPr>
                <w:rFonts w:ascii="Arial" w:hAnsi="Arial" w:cs="Arial"/>
              </w:rPr>
            </w:pPr>
            <w:r w:rsidRPr="000B5E96">
              <w:rPr>
                <w:rFonts w:ascii="Arial" w:hAnsi="Arial" w:cs="Arial"/>
              </w:rPr>
              <w:t>Government emphasis on technology upgrading and digitalisation supports demand for TCS consulting, cloud, AI and digital-transformation services.</w:t>
            </w:r>
          </w:p>
        </w:tc>
        <w:tc>
          <w:tcPr>
            <w:tcW w:w="1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F14529" w14:textId="77777777" w:rsidR="006C070F" w:rsidRPr="000B5E96" w:rsidRDefault="00350C7C">
            <w:pPr>
              <w:rPr>
                <w:rFonts w:ascii="Arial" w:hAnsi="Arial" w:cs="Arial"/>
              </w:rPr>
            </w:pPr>
            <w:r w:rsidRPr="000B5E96">
              <w:rPr>
                <w:rFonts w:ascii="Arial" w:hAnsi="Arial" w:cs="Arial"/>
              </w:rPr>
              <w:t>National stability does not remove implementation risk. Provincial differences, administrative procedures and regulatory interpretation can affect foreign investors.</w:t>
            </w:r>
          </w:p>
        </w:tc>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F6F8E2" w14:textId="77777777" w:rsidR="006C070F" w:rsidRPr="000B5E96" w:rsidRDefault="00350C7C">
            <w:pPr>
              <w:rPr>
                <w:rFonts w:ascii="Arial" w:hAnsi="Arial" w:cs="Arial"/>
              </w:rPr>
            </w:pPr>
            <w:r w:rsidRPr="000B5E96">
              <w:rPr>
                <w:rFonts w:ascii="Arial" w:hAnsi="Arial" w:cs="Arial"/>
              </w:rPr>
              <w:t>World Bank (2026); OECD (2026); Ho and Nguyen (2024); Ha et al. (2024)</w:t>
            </w:r>
          </w:p>
        </w:tc>
      </w:tr>
      <w:tr w:rsidR="006C070F" w:rsidRPr="000B5E96" w14:paraId="24B4864D" w14:textId="77777777">
        <w:trPr>
          <w:trHeight w:val="3215"/>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CD8AD4" w14:textId="77777777" w:rsidR="006C070F" w:rsidRPr="000B5E96" w:rsidRDefault="00350C7C">
            <w:pPr>
              <w:rPr>
                <w:rFonts w:ascii="Arial" w:hAnsi="Arial" w:cs="Arial"/>
              </w:rPr>
            </w:pPr>
            <w:r w:rsidRPr="000B5E96">
              <w:rPr>
                <w:rFonts w:ascii="Arial" w:hAnsi="Arial" w:cs="Arial"/>
                <w:b/>
                <w:bCs/>
              </w:rPr>
              <w:t>Economic Growth</w:t>
            </w:r>
          </w:p>
        </w:tc>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53DC6D" w14:textId="77777777" w:rsidR="006C070F" w:rsidRPr="000B5E96" w:rsidRDefault="00350C7C">
            <w:pPr>
              <w:rPr>
                <w:rFonts w:ascii="Arial" w:hAnsi="Arial" w:cs="Arial"/>
              </w:rPr>
            </w:pPr>
            <w:r w:rsidRPr="000B5E96">
              <w:rPr>
                <w:rFonts w:ascii="Arial" w:hAnsi="Arial" w:cs="Arial"/>
              </w:rPr>
              <w:t xml:space="preserve">Vietnam recorded strong recent growth. The World Bank estimated around </w:t>
            </w:r>
            <w:r w:rsidRPr="000B5E96">
              <w:rPr>
                <w:rFonts w:ascii="Arial" w:hAnsi="Arial" w:cs="Arial"/>
                <w:b/>
                <w:bCs/>
              </w:rPr>
              <w:t>8% growth in 2025</w:t>
            </w:r>
            <w:r w:rsidRPr="000B5E96">
              <w:rPr>
                <w:rFonts w:ascii="Arial" w:hAnsi="Arial" w:cs="Arial"/>
              </w:rPr>
              <w:t xml:space="preserve"> and projected approximately </w:t>
            </w:r>
            <w:r w:rsidRPr="000B5E96">
              <w:rPr>
                <w:rFonts w:ascii="Arial" w:hAnsi="Arial" w:cs="Arial"/>
                <w:b/>
                <w:bCs/>
              </w:rPr>
              <w:t>6.8% for 2026</w:t>
            </w:r>
            <w:r w:rsidRPr="000B5E96">
              <w:rPr>
                <w:rFonts w:ascii="Arial" w:hAnsi="Arial" w:cs="Arial"/>
              </w:rPr>
              <w:t>, while forecasts vary across international institutions.</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3C33B6" w14:textId="77777777" w:rsidR="006C070F" w:rsidRPr="000B5E96" w:rsidRDefault="00350C7C">
            <w:pPr>
              <w:rPr>
                <w:rFonts w:ascii="Arial" w:hAnsi="Arial" w:cs="Arial"/>
              </w:rPr>
            </w:pPr>
            <w:r w:rsidRPr="000B5E96">
              <w:rPr>
                <w:rFonts w:ascii="Arial" w:hAnsi="Arial" w:cs="Arial"/>
              </w:rPr>
              <w:t>Strong economic expansion increases corporate investment, technology expenditure and demand for enterprise digital services.</w:t>
            </w:r>
          </w:p>
        </w:tc>
        <w:tc>
          <w:tcPr>
            <w:tcW w:w="1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98BF74" w14:textId="77777777" w:rsidR="006C070F" w:rsidRPr="000B5E96" w:rsidRDefault="00350C7C">
            <w:pPr>
              <w:rPr>
                <w:rFonts w:ascii="Arial" w:hAnsi="Arial" w:cs="Arial"/>
              </w:rPr>
            </w:pPr>
            <w:r w:rsidRPr="000B5E96">
              <w:rPr>
                <w:rFonts w:ascii="Arial" w:hAnsi="Arial" w:cs="Arial"/>
              </w:rPr>
              <w:t>Forecast differences indicate uncertainty. TCS should avoid basing investment solely on optimistic GDP projections.</w:t>
            </w:r>
          </w:p>
        </w:tc>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F5CC89" w14:textId="77777777" w:rsidR="006C070F" w:rsidRPr="000B5E96" w:rsidRDefault="00350C7C">
            <w:pPr>
              <w:rPr>
                <w:rFonts w:ascii="Arial" w:hAnsi="Arial" w:cs="Arial"/>
              </w:rPr>
            </w:pPr>
            <w:r w:rsidRPr="000B5E96">
              <w:rPr>
                <w:rFonts w:ascii="Arial" w:hAnsi="Arial" w:cs="Arial"/>
              </w:rPr>
              <w:t>World Bank (2026); IMF (2025); Asian Development Bank (2026)</w:t>
            </w:r>
          </w:p>
        </w:tc>
      </w:tr>
      <w:tr w:rsidR="006C070F" w:rsidRPr="000B5E96" w14:paraId="3EF51E66" w14:textId="77777777">
        <w:trPr>
          <w:trHeight w:val="3215"/>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10C58" w14:textId="77777777" w:rsidR="006C070F" w:rsidRPr="000B5E96" w:rsidRDefault="00350C7C">
            <w:pPr>
              <w:rPr>
                <w:rFonts w:ascii="Arial" w:hAnsi="Arial" w:cs="Arial"/>
              </w:rPr>
            </w:pPr>
            <w:r w:rsidRPr="000B5E96">
              <w:rPr>
                <w:rFonts w:ascii="Arial" w:hAnsi="Arial" w:cs="Arial"/>
                <w:b/>
                <w:bCs/>
              </w:rPr>
              <w:t>Digital Economy</w:t>
            </w:r>
          </w:p>
        </w:tc>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9353AD" w14:textId="77777777" w:rsidR="006C070F" w:rsidRPr="000B5E96" w:rsidRDefault="00350C7C">
            <w:pPr>
              <w:rPr>
                <w:rFonts w:ascii="Arial" w:hAnsi="Arial" w:cs="Arial"/>
              </w:rPr>
            </w:pPr>
            <w:r w:rsidRPr="000B5E96">
              <w:rPr>
                <w:rFonts w:ascii="Arial" w:hAnsi="Arial" w:cs="Arial"/>
              </w:rPr>
              <w:t xml:space="preserve">Vietnam has targeted the digital economy to represent approximately </w:t>
            </w:r>
            <w:r w:rsidRPr="000B5E96">
              <w:rPr>
                <w:rFonts w:ascii="Arial" w:hAnsi="Arial" w:cs="Arial"/>
                <w:b/>
                <w:bCs/>
              </w:rPr>
              <w:t>20% of GDP by 2025 and 30% by 2030</w:t>
            </w:r>
            <w:r w:rsidRPr="000B5E96">
              <w:rPr>
                <w:rFonts w:ascii="Arial" w:hAnsi="Arial" w:cs="Arial"/>
              </w:rPr>
              <w:t>. Digitalisation is increasingly important to productivity and business transformation.</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DE72A" w14:textId="77777777" w:rsidR="006C070F" w:rsidRPr="000B5E96" w:rsidRDefault="00350C7C">
            <w:pPr>
              <w:rPr>
                <w:rFonts w:ascii="Arial" w:hAnsi="Arial" w:cs="Arial"/>
              </w:rPr>
            </w:pPr>
            <w:r w:rsidRPr="000B5E96">
              <w:rPr>
                <w:rFonts w:ascii="Arial" w:hAnsi="Arial" w:cs="Arial"/>
              </w:rPr>
              <w:t>Strong potential demand for TCS services in cloud, enterprise systems, AI, cybersecurity, data analytics and digital consulting.</w:t>
            </w:r>
          </w:p>
        </w:tc>
        <w:tc>
          <w:tcPr>
            <w:tcW w:w="1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9A35DC" w14:textId="77777777" w:rsidR="006C070F" w:rsidRPr="000B5E96" w:rsidRDefault="00350C7C">
            <w:pPr>
              <w:rPr>
                <w:rFonts w:ascii="Arial" w:hAnsi="Arial" w:cs="Arial"/>
              </w:rPr>
            </w:pPr>
            <w:r w:rsidRPr="000B5E96">
              <w:rPr>
                <w:rFonts w:ascii="Arial" w:hAnsi="Arial" w:cs="Arial"/>
              </w:rPr>
              <w:t>Digitalisation remains uneven across enterprises; adoption barriers include organisational readiness, leadership and technological capabilities.</w:t>
            </w:r>
          </w:p>
        </w:tc>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111F93" w14:textId="77777777" w:rsidR="006C070F" w:rsidRPr="000B5E96" w:rsidRDefault="00350C7C">
            <w:pPr>
              <w:rPr>
                <w:rFonts w:ascii="Arial" w:hAnsi="Arial" w:cs="Arial"/>
              </w:rPr>
            </w:pPr>
            <w:r w:rsidRPr="000B5E96">
              <w:rPr>
                <w:rFonts w:ascii="Arial" w:hAnsi="Arial" w:cs="Arial"/>
              </w:rPr>
              <w:t>Duc et al. (2024); Dang et al. (2024)</w:t>
            </w:r>
          </w:p>
        </w:tc>
      </w:tr>
      <w:tr w:rsidR="006C070F" w:rsidRPr="000B5E96" w14:paraId="3B196641" w14:textId="77777777">
        <w:trPr>
          <w:trHeight w:val="2675"/>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9BFA48" w14:textId="77777777" w:rsidR="006C070F" w:rsidRPr="000B5E96" w:rsidRDefault="00350C7C">
            <w:pPr>
              <w:rPr>
                <w:rFonts w:ascii="Arial" w:hAnsi="Arial" w:cs="Arial"/>
              </w:rPr>
            </w:pPr>
            <w:r w:rsidRPr="000B5E96">
              <w:rPr>
                <w:rFonts w:ascii="Arial" w:hAnsi="Arial" w:cs="Arial"/>
                <w:b/>
                <w:bCs/>
              </w:rPr>
              <w:t>SME Technology Adoption</w:t>
            </w:r>
          </w:p>
        </w:tc>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DD8414" w14:textId="77777777" w:rsidR="006C070F" w:rsidRPr="000B5E96" w:rsidRDefault="00350C7C">
            <w:pPr>
              <w:rPr>
                <w:rFonts w:ascii="Arial" w:hAnsi="Arial" w:cs="Arial"/>
              </w:rPr>
            </w:pPr>
            <w:r w:rsidRPr="000B5E96">
              <w:rPr>
                <w:rFonts w:ascii="Arial" w:hAnsi="Arial" w:cs="Arial"/>
              </w:rPr>
              <w:t>SMEs constitute the overwhelming majority of Vietnamese businesses. Research on Hanoi and southern Vietnamese SMEs shows increasing interest in IT and digital transformation.</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20F0FE" w14:textId="77777777" w:rsidR="006C070F" w:rsidRPr="000B5E96" w:rsidRDefault="00350C7C">
            <w:pPr>
              <w:rPr>
                <w:rFonts w:ascii="Arial" w:hAnsi="Arial" w:cs="Arial"/>
              </w:rPr>
            </w:pPr>
            <w:r w:rsidRPr="000B5E96">
              <w:rPr>
                <w:rFonts w:ascii="Arial" w:hAnsi="Arial" w:cs="Arial"/>
              </w:rPr>
              <w:t>Creates a broader customer base beyond major banks, manufacturers and multinational corporations.</w:t>
            </w:r>
          </w:p>
        </w:tc>
        <w:tc>
          <w:tcPr>
            <w:tcW w:w="1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CA3889" w14:textId="77777777" w:rsidR="006C070F" w:rsidRPr="000B5E96" w:rsidRDefault="00350C7C">
            <w:pPr>
              <w:rPr>
                <w:rFonts w:ascii="Arial" w:hAnsi="Arial" w:cs="Arial"/>
              </w:rPr>
            </w:pPr>
            <w:r w:rsidRPr="000B5E96">
              <w:rPr>
                <w:rFonts w:ascii="Arial" w:hAnsi="Arial" w:cs="Arial"/>
              </w:rPr>
              <w:t>SMEs can have limited budgets, technology maturity and managerial capabilities, requiring scalable and differentiated TCS offerings.</w:t>
            </w:r>
          </w:p>
        </w:tc>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E7A7B2" w14:textId="77777777" w:rsidR="006C070F" w:rsidRPr="000B5E96" w:rsidRDefault="00350C7C">
            <w:pPr>
              <w:rPr>
                <w:rFonts w:ascii="Arial" w:hAnsi="Arial" w:cs="Arial"/>
              </w:rPr>
            </w:pPr>
            <w:r w:rsidRPr="000B5E96">
              <w:rPr>
                <w:rFonts w:ascii="Arial" w:hAnsi="Arial" w:cs="Arial"/>
              </w:rPr>
              <w:t xml:space="preserve">Minh et al. (2024); Trieu, Nguyen and </w:t>
            </w:r>
            <w:proofErr w:type="spellStart"/>
            <w:r w:rsidRPr="000B5E96">
              <w:rPr>
                <w:rFonts w:ascii="Arial" w:hAnsi="Arial" w:cs="Arial"/>
              </w:rPr>
              <w:t>Vrontis</w:t>
            </w:r>
            <w:proofErr w:type="spellEnd"/>
            <w:r w:rsidRPr="000B5E96">
              <w:rPr>
                <w:rFonts w:ascii="Arial" w:hAnsi="Arial" w:cs="Arial"/>
              </w:rPr>
              <w:t xml:space="preserve"> (2025)</w:t>
            </w:r>
          </w:p>
        </w:tc>
      </w:tr>
      <w:tr w:rsidR="006C070F" w:rsidRPr="000B5E96" w14:paraId="2EFD5D7D" w14:textId="77777777">
        <w:trPr>
          <w:trHeight w:val="2405"/>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749890" w14:textId="77777777" w:rsidR="006C070F" w:rsidRPr="000B5E96" w:rsidRDefault="00350C7C">
            <w:pPr>
              <w:rPr>
                <w:rFonts w:ascii="Arial" w:hAnsi="Arial" w:cs="Arial"/>
              </w:rPr>
            </w:pPr>
            <w:r w:rsidRPr="000B5E96">
              <w:rPr>
                <w:rFonts w:ascii="Arial" w:hAnsi="Arial" w:cs="Arial"/>
                <w:b/>
                <w:bCs/>
              </w:rPr>
              <w:t>Artificial Intelligence</w:t>
            </w:r>
          </w:p>
        </w:tc>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0DBB0F" w14:textId="77777777" w:rsidR="006C070F" w:rsidRPr="000B5E96" w:rsidRDefault="00350C7C">
            <w:pPr>
              <w:rPr>
                <w:rFonts w:ascii="Arial" w:hAnsi="Arial" w:cs="Arial"/>
              </w:rPr>
            </w:pPr>
            <w:r w:rsidRPr="000B5E96">
              <w:rPr>
                <w:rFonts w:ascii="Arial" w:hAnsi="Arial" w:cs="Arial"/>
              </w:rPr>
              <w:t>Vietnamese medium-sized firms are increasingly examining AI adoption, with perceived value and organisational readiness affecting implementation.</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DF3C3" w14:textId="77777777" w:rsidR="006C070F" w:rsidRPr="000B5E96" w:rsidRDefault="00350C7C">
            <w:pPr>
              <w:rPr>
                <w:rFonts w:ascii="Arial" w:hAnsi="Arial" w:cs="Arial"/>
              </w:rPr>
            </w:pPr>
            <w:r w:rsidRPr="000B5E96">
              <w:rPr>
                <w:rFonts w:ascii="Arial" w:hAnsi="Arial" w:cs="Arial"/>
              </w:rPr>
              <w:t>Opportunity for TCS AI consulting, data readiness, automation, talent solutions and AI governance.</w:t>
            </w:r>
          </w:p>
        </w:tc>
        <w:tc>
          <w:tcPr>
            <w:tcW w:w="1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0D33FD" w14:textId="77777777" w:rsidR="006C070F" w:rsidRPr="000B5E96" w:rsidRDefault="00350C7C">
            <w:pPr>
              <w:rPr>
                <w:rFonts w:ascii="Arial" w:hAnsi="Arial" w:cs="Arial"/>
              </w:rPr>
            </w:pPr>
            <w:r w:rsidRPr="000B5E96">
              <w:rPr>
                <w:rFonts w:ascii="Arial" w:hAnsi="Arial" w:cs="Arial"/>
              </w:rPr>
              <w:t>Low organisational readiness could make advanced AI projects difficult to implement successfully.</w:t>
            </w:r>
          </w:p>
        </w:tc>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905AF0" w14:textId="77777777" w:rsidR="006C070F" w:rsidRPr="000B5E96" w:rsidRDefault="00350C7C">
            <w:pPr>
              <w:rPr>
                <w:rFonts w:ascii="Arial" w:hAnsi="Arial" w:cs="Arial"/>
              </w:rPr>
            </w:pPr>
            <w:r w:rsidRPr="000B5E96">
              <w:rPr>
                <w:rFonts w:ascii="Arial" w:hAnsi="Arial" w:cs="Arial"/>
              </w:rPr>
              <w:t>Cao and Nguyen (2025)</w:t>
            </w:r>
          </w:p>
        </w:tc>
      </w:tr>
      <w:tr w:rsidR="006C070F" w:rsidRPr="000B5E96" w14:paraId="7257E06F" w14:textId="77777777">
        <w:trPr>
          <w:trHeight w:val="2945"/>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F85602" w14:textId="77777777" w:rsidR="006C070F" w:rsidRPr="000B5E96" w:rsidRDefault="00350C7C">
            <w:pPr>
              <w:rPr>
                <w:rFonts w:ascii="Arial" w:hAnsi="Arial" w:cs="Arial"/>
              </w:rPr>
            </w:pPr>
            <w:r w:rsidRPr="000B5E96">
              <w:rPr>
                <w:rFonts w:ascii="Arial" w:hAnsi="Arial" w:cs="Arial"/>
                <w:b/>
                <w:bCs/>
              </w:rPr>
              <w:t>FDI Environment</w:t>
            </w:r>
          </w:p>
        </w:tc>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85D25" w14:textId="77777777" w:rsidR="006C070F" w:rsidRPr="000B5E96" w:rsidRDefault="00350C7C">
            <w:pPr>
              <w:rPr>
                <w:rFonts w:ascii="Arial" w:hAnsi="Arial" w:cs="Arial"/>
              </w:rPr>
            </w:pPr>
            <w:r w:rsidRPr="000B5E96">
              <w:rPr>
                <w:rFonts w:ascii="Arial" w:hAnsi="Arial" w:cs="Arial"/>
              </w:rPr>
              <w:t>Vietnam remains an important ASEAN FDI destination, with policy increasingly focused on technology, productivity and skills development.</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EA4D27" w14:textId="77777777" w:rsidR="006C070F" w:rsidRPr="000B5E96" w:rsidRDefault="00350C7C">
            <w:pPr>
              <w:rPr>
                <w:rFonts w:ascii="Arial" w:hAnsi="Arial" w:cs="Arial"/>
              </w:rPr>
            </w:pPr>
            <w:r w:rsidRPr="000B5E96">
              <w:rPr>
                <w:rFonts w:ascii="Arial" w:hAnsi="Arial" w:cs="Arial"/>
              </w:rPr>
              <w:t>TCS's technology-intensive investment would broadly align with Vietnam's move towards higher-value FDI.</w:t>
            </w:r>
          </w:p>
        </w:tc>
        <w:tc>
          <w:tcPr>
            <w:tcW w:w="1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9E9CA0" w14:textId="77777777" w:rsidR="006C070F" w:rsidRPr="000B5E96" w:rsidRDefault="00350C7C">
            <w:pPr>
              <w:rPr>
                <w:rFonts w:ascii="Arial" w:hAnsi="Arial" w:cs="Arial"/>
              </w:rPr>
            </w:pPr>
            <w:r w:rsidRPr="000B5E96">
              <w:rPr>
                <w:rFonts w:ascii="Arial" w:hAnsi="Arial" w:cs="Arial"/>
              </w:rPr>
              <w:t>FDI does not automatically create productivity spillovers; benefits depend on domestic absorptive capacity and linkages.</w:t>
            </w:r>
          </w:p>
        </w:tc>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B563B" w14:textId="77777777" w:rsidR="006C070F" w:rsidRPr="000B5E96" w:rsidRDefault="00350C7C">
            <w:pPr>
              <w:rPr>
                <w:rFonts w:ascii="Arial" w:hAnsi="Arial" w:cs="Arial"/>
              </w:rPr>
            </w:pPr>
            <w:r w:rsidRPr="000B5E96">
              <w:rPr>
                <w:rFonts w:ascii="Arial" w:hAnsi="Arial" w:cs="Arial"/>
              </w:rPr>
              <w:t>OECD (2026); Phi et al. (2024); Huynh and Tran (2026)</w:t>
            </w:r>
          </w:p>
        </w:tc>
      </w:tr>
      <w:tr w:rsidR="006C070F" w:rsidRPr="000B5E96" w14:paraId="2E23A780" w14:textId="77777777">
        <w:trPr>
          <w:trHeight w:val="3215"/>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49FBB6" w14:textId="77777777" w:rsidR="006C070F" w:rsidRPr="000B5E96" w:rsidRDefault="00350C7C">
            <w:pPr>
              <w:rPr>
                <w:rFonts w:ascii="Arial" w:hAnsi="Arial" w:cs="Arial"/>
              </w:rPr>
            </w:pPr>
            <w:r w:rsidRPr="000B5E96">
              <w:rPr>
                <w:rFonts w:ascii="Arial" w:hAnsi="Arial" w:cs="Arial"/>
                <w:b/>
                <w:bCs/>
              </w:rPr>
              <w:t>Human Capital</w:t>
            </w:r>
          </w:p>
        </w:tc>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A327C" w14:textId="77777777" w:rsidR="006C070F" w:rsidRPr="000B5E96" w:rsidRDefault="00350C7C">
            <w:pPr>
              <w:rPr>
                <w:rFonts w:ascii="Arial" w:hAnsi="Arial" w:cs="Arial"/>
              </w:rPr>
            </w:pPr>
            <w:r w:rsidRPr="000B5E96">
              <w:rPr>
                <w:rFonts w:ascii="Arial" w:hAnsi="Arial" w:cs="Arial"/>
              </w:rPr>
              <w:t>Vietnam has a young workforce and increasing digital capability, while digitalisation and human capital positively interact with productivity.</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7F8FD2" w14:textId="77777777" w:rsidR="006C070F" w:rsidRPr="000B5E96" w:rsidRDefault="00350C7C">
            <w:pPr>
              <w:rPr>
                <w:rFonts w:ascii="Arial" w:hAnsi="Arial" w:cs="Arial"/>
              </w:rPr>
            </w:pPr>
            <w:r w:rsidRPr="000B5E96">
              <w:rPr>
                <w:rFonts w:ascii="Arial" w:hAnsi="Arial" w:cs="Arial"/>
              </w:rPr>
              <w:t>Potential to create a cost-competitive local technology and delivery workforce.</w:t>
            </w:r>
          </w:p>
        </w:tc>
        <w:tc>
          <w:tcPr>
            <w:tcW w:w="1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D3DC9" w14:textId="77777777" w:rsidR="006C070F" w:rsidRPr="000B5E96" w:rsidRDefault="00350C7C">
            <w:pPr>
              <w:rPr>
                <w:rFonts w:ascii="Arial" w:hAnsi="Arial" w:cs="Arial"/>
              </w:rPr>
            </w:pPr>
            <w:r w:rsidRPr="000B5E96">
              <w:rPr>
                <w:rFonts w:ascii="Arial" w:hAnsi="Arial" w:cs="Arial"/>
              </w:rPr>
              <w:t>Significant Industry 4.0 skills gaps remain, particularly in advanced technical capabilities. TCS may need substantial training investment.</w:t>
            </w:r>
          </w:p>
        </w:tc>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F82156" w14:textId="77777777" w:rsidR="006C070F" w:rsidRPr="000B5E96" w:rsidRDefault="00350C7C">
            <w:pPr>
              <w:rPr>
                <w:rFonts w:ascii="Arial" w:hAnsi="Arial" w:cs="Arial"/>
              </w:rPr>
            </w:pPr>
            <w:r w:rsidRPr="000B5E96">
              <w:rPr>
                <w:rFonts w:ascii="Arial" w:hAnsi="Arial" w:cs="Arial"/>
              </w:rPr>
              <w:t>Huyen et al. (2024); Nguyen and Bui (2024); Nguyen and Nguyen (2024)</w:t>
            </w:r>
          </w:p>
        </w:tc>
      </w:tr>
      <w:tr w:rsidR="006C070F" w:rsidRPr="000B5E96" w14:paraId="61501DFD" w14:textId="77777777">
        <w:trPr>
          <w:trHeight w:val="2675"/>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DDA960" w14:textId="77777777" w:rsidR="006C070F" w:rsidRPr="000B5E96" w:rsidRDefault="00350C7C">
            <w:pPr>
              <w:rPr>
                <w:rFonts w:ascii="Arial" w:hAnsi="Arial" w:cs="Arial"/>
              </w:rPr>
            </w:pPr>
            <w:r w:rsidRPr="000B5E96">
              <w:rPr>
                <w:rFonts w:ascii="Arial" w:hAnsi="Arial" w:cs="Arial"/>
                <w:b/>
                <w:bCs/>
              </w:rPr>
              <w:t>Legal – Personal Data</w:t>
            </w:r>
          </w:p>
        </w:tc>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B7937A" w14:textId="77777777" w:rsidR="006C070F" w:rsidRPr="000B5E96" w:rsidRDefault="00350C7C">
            <w:pPr>
              <w:rPr>
                <w:rFonts w:ascii="Arial" w:hAnsi="Arial" w:cs="Arial"/>
              </w:rPr>
            </w:pPr>
            <w:r w:rsidRPr="000B5E96">
              <w:rPr>
                <w:rFonts w:ascii="Arial" w:hAnsi="Arial" w:cs="Arial"/>
                <w:b/>
                <w:bCs/>
              </w:rPr>
              <w:t>Decree No. 13/2023/ND-CP</w:t>
            </w:r>
            <w:r w:rsidRPr="000B5E96">
              <w:rPr>
                <w:rFonts w:ascii="Arial" w:hAnsi="Arial" w:cs="Arial"/>
              </w:rPr>
              <w:t xml:space="preserve"> establishes personal-data protection requirements and obligations concerning data processing.</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A193B9" w14:textId="77777777" w:rsidR="006C070F" w:rsidRPr="000B5E96" w:rsidRDefault="00350C7C">
            <w:pPr>
              <w:rPr>
                <w:rFonts w:ascii="Arial" w:hAnsi="Arial" w:cs="Arial"/>
              </w:rPr>
            </w:pPr>
            <w:r w:rsidRPr="000B5E96">
              <w:rPr>
                <w:rFonts w:ascii="Arial" w:hAnsi="Arial" w:cs="Arial"/>
              </w:rPr>
              <w:t>Rising compliance requirements can create demand for TCS privacy, cybersecurity and data-governance services.</w:t>
            </w:r>
          </w:p>
        </w:tc>
        <w:tc>
          <w:tcPr>
            <w:tcW w:w="1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D0956" w14:textId="77777777" w:rsidR="006C070F" w:rsidRPr="000B5E96" w:rsidRDefault="00350C7C">
            <w:pPr>
              <w:rPr>
                <w:rFonts w:ascii="Arial" w:hAnsi="Arial" w:cs="Arial"/>
              </w:rPr>
            </w:pPr>
            <w:r w:rsidRPr="000B5E96">
              <w:rPr>
                <w:rFonts w:ascii="Arial" w:hAnsi="Arial" w:cs="Arial"/>
              </w:rPr>
              <w:t>TCS must ensure lawful processing, documentation and appropriate controls over Vietnamese personal information.</w:t>
            </w:r>
          </w:p>
        </w:tc>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4BD5A5" w14:textId="77777777" w:rsidR="006C070F" w:rsidRPr="000B5E96" w:rsidRDefault="00350C7C">
            <w:pPr>
              <w:rPr>
                <w:rFonts w:ascii="Arial" w:hAnsi="Arial" w:cs="Arial"/>
              </w:rPr>
            </w:pPr>
            <w:r w:rsidRPr="000B5E96">
              <w:rPr>
                <w:rFonts w:ascii="Arial" w:hAnsi="Arial" w:cs="Arial"/>
              </w:rPr>
              <w:t>Government of Vietnam (2023)</w:t>
            </w:r>
          </w:p>
        </w:tc>
      </w:tr>
      <w:tr w:rsidR="006C070F" w:rsidRPr="000B5E96" w14:paraId="666787A2" w14:textId="77777777">
        <w:trPr>
          <w:trHeight w:val="2675"/>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9B6746" w14:textId="77777777" w:rsidR="006C070F" w:rsidRPr="000B5E96" w:rsidRDefault="00350C7C">
            <w:pPr>
              <w:rPr>
                <w:rFonts w:ascii="Arial" w:hAnsi="Arial" w:cs="Arial"/>
              </w:rPr>
            </w:pPr>
            <w:r w:rsidRPr="000B5E96">
              <w:rPr>
                <w:rFonts w:ascii="Arial" w:hAnsi="Arial" w:cs="Arial"/>
                <w:b/>
                <w:bCs/>
              </w:rPr>
              <w:t>Legal – Data Governance</w:t>
            </w:r>
          </w:p>
        </w:tc>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D5C5A4" w14:textId="77777777" w:rsidR="006C070F" w:rsidRPr="000B5E96" w:rsidRDefault="00350C7C">
            <w:pPr>
              <w:rPr>
                <w:rFonts w:ascii="Arial" w:hAnsi="Arial" w:cs="Arial"/>
              </w:rPr>
            </w:pPr>
            <w:r w:rsidRPr="000B5E96">
              <w:rPr>
                <w:rFonts w:ascii="Arial" w:hAnsi="Arial" w:cs="Arial"/>
                <w:b/>
                <w:bCs/>
              </w:rPr>
              <w:t>Law No. 60/2024/QH15 on Data</w:t>
            </w:r>
            <w:r w:rsidRPr="000B5E96">
              <w:rPr>
                <w:rFonts w:ascii="Arial" w:hAnsi="Arial" w:cs="Arial"/>
              </w:rPr>
              <w:t>, effective from July 2025, strengthens Vietnam's regulatory framework for data management, processing and services.</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0BFCEB" w14:textId="77777777" w:rsidR="006C070F" w:rsidRPr="000B5E96" w:rsidRDefault="00350C7C">
            <w:pPr>
              <w:rPr>
                <w:rFonts w:ascii="Arial" w:hAnsi="Arial" w:cs="Arial"/>
              </w:rPr>
            </w:pPr>
            <w:r w:rsidRPr="000B5E96">
              <w:rPr>
                <w:rFonts w:ascii="Arial" w:hAnsi="Arial" w:cs="Arial"/>
              </w:rPr>
              <w:t>A more formal digital regulatory environment can increase demand for secure enterprise transformation.</w:t>
            </w:r>
          </w:p>
        </w:tc>
        <w:tc>
          <w:tcPr>
            <w:tcW w:w="1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F2A321" w14:textId="77777777" w:rsidR="006C070F" w:rsidRPr="000B5E96" w:rsidRDefault="00350C7C">
            <w:pPr>
              <w:rPr>
                <w:rFonts w:ascii="Arial" w:hAnsi="Arial" w:cs="Arial"/>
              </w:rPr>
            </w:pPr>
            <w:r w:rsidRPr="000B5E96">
              <w:rPr>
                <w:rFonts w:ascii="Arial" w:hAnsi="Arial" w:cs="Arial"/>
              </w:rPr>
              <w:t>Cross-border delivery and cloud architectures may require greater legal and technical scrutiny.</w:t>
            </w:r>
          </w:p>
        </w:tc>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90812" w14:textId="77777777" w:rsidR="006C070F" w:rsidRPr="000B5E96" w:rsidRDefault="00350C7C">
            <w:pPr>
              <w:rPr>
                <w:rFonts w:ascii="Arial" w:hAnsi="Arial" w:cs="Arial"/>
              </w:rPr>
            </w:pPr>
            <w:r w:rsidRPr="000B5E96">
              <w:rPr>
                <w:rFonts w:ascii="Arial" w:hAnsi="Arial" w:cs="Arial"/>
              </w:rPr>
              <w:t>National Assembly of Vietnam (2024)</w:t>
            </w:r>
          </w:p>
        </w:tc>
      </w:tr>
      <w:tr w:rsidR="006C070F" w:rsidRPr="000B5E96" w14:paraId="0CB61D6B" w14:textId="77777777">
        <w:trPr>
          <w:trHeight w:val="2675"/>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CB3DAD" w14:textId="77777777" w:rsidR="006C070F" w:rsidRPr="000B5E96" w:rsidRDefault="00350C7C">
            <w:pPr>
              <w:rPr>
                <w:rFonts w:ascii="Arial" w:hAnsi="Arial" w:cs="Arial"/>
              </w:rPr>
            </w:pPr>
            <w:r w:rsidRPr="000B5E96">
              <w:rPr>
                <w:rFonts w:ascii="Arial" w:hAnsi="Arial" w:cs="Arial"/>
                <w:b/>
                <w:bCs/>
              </w:rPr>
              <w:t>Cybersecurity</w:t>
            </w:r>
          </w:p>
        </w:tc>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09D7F0" w14:textId="77777777" w:rsidR="006C070F" w:rsidRPr="000B5E96" w:rsidRDefault="00350C7C">
            <w:pPr>
              <w:rPr>
                <w:rFonts w:ascii="Arial" w:hAnsi="Arial" w:cs="Arial"/>
              </w:rPr>
            </w:pPr>
            <w:r w:rsidRPr="000B5E96">
              <w:rPr>
                <w:rFonts w:ascii="Arial" w:hAnsi="Arial" w:cs="Arial"/>
              </w:rPr>
              <w:t>Cybersecurity compliance in Vietnamese organisations is influenced by policies, employee awareness, education and training.</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ADCD9A" w14:textId="77777777" w:rsidR="006C070F" w:rsidRPr="000B5E96" w:rsidRDefault="00350C7C">
            <w:pPr>
              <w:rPr>
                <w:rFonts w:ascii="Arial" w:hAnsi="Arial" w:cs="Arial"/>
              </w:rPr>
            </w:pPr>
            <w:r w:rsidRPr="000B5E96">
              <w:rPr>
                <w:rFonts w:ascii="Arial" w:hAnsi="Arial" w:cs="Arial"/>
              </w:rPr>
              <w:t>Strong commercial opportunity for TCS managed security, cyber consulting and employee-security programmes.</w:t>
            </w:r>
          </w:p>
        </w:tc>
        <w:tc>
          <w:tcPr>
            <w:tcW w:w="1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58EB8" w14:textId="77777777" w:rsidR="006C070F" w:rsidRPr="000B5E96" w:rsidRDefault="00350C7C">
            <w:pPr>
              <w:rPr>
                <w:rFonts w:ascii="Arial" w:hAnsi="Arial" w:cs="Arial"/>
              </w:rPr>
            </w:pPr>
            <w:r w:rsidRPr="000B5E96">
              <w:rPr>
                <w:rFonts w:ascii="Arial" w:hAnsi="Arial" w:cs="Arial"/>
              </w:rPr>
              <w:t>A technological solution alone is insufficient; behavioural and organisational security controls are necessary.</w:t>
            </w:r>
          </w:p>
        </w:tc>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3119C4" w14:textId="77777777" w:rsidR="006C070F" w:rsidRPr="000B5E96" w:rsidRDefault="00350C7C">
            <w:pPr>
              <w:rPr>
                <w:rFonts w:ascii="Arial" w:hAnsi="Arial" w:cs="Arial"/>
              </w:rPr>
            </w:pPr>
            <w:r w:rsidRPr="000B5E96">
              <w:rPr>
                <w:rFonts w:ascii="Arial" w:hAnsi="Arial" w:cs="Arial"/>
              </w:rPr>
              <w:t>Tran et al. (2025)</w:t>
            </w:r>
          </w:p>
        </w:tc>
      </w:tr>
      <w:tr w:rsidR="006C070F" w:rsidRPr="000B5E96" w14:paraId="512B32D1" w14:textId="77777777">
        <w:trPr>
          <w:trHeight w:val="2675"/>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93419A" w14:textId="77777777" w:rsidR="006C070F" w:rsidRPr="000B5E96" w:rsidRDefault="00350C7C">
            <w:pPr>
              <w:rPr>
                <w:rFonts w:ascii="Arial" w:hAnsi="Arial" w:cs="Arial"/>
              </w:rPr>
            </w:pPr>
            <w:r w:rsidRPr="000B5E96">
              <w:rPr>
                <w:rFonts w:ascii="Arial" w:hAnsi="Arial" w:cs="Arial"/>
                <w:b/>
                <w:bCs/>
              </w:rPr>
              <w:t>Regional Attractiveness</w:t>
            </w:r>
          </w:p>
        </w:tc>
        <w:tc>
          <w:tcPr>
            <w:tcW w:w="23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487F78" w14:textId="77777777" w:rsidR="006C070F" w:rsidRPr="000B5E96" w:rsidRDefault="00350C7C">
            <w:pPr>
              <w:rPr>
                <w:rFonts w:ascii="Arial" w:hAnsi="Arial" w:cs="Arial"/>
              </w:rPr>
            </w:pPr>
            <w:r w:rsidRPr="000B5E96">
              <w:rPr>
                <w:rFonts w:ascii="Arial" w:hAnsi="Arial" w:cs="Arial"/>
              </w:rPr>
              <w:t>ASEAN evidence indicates that market size, trade openness, human capital and institutional quality affect sustainable FDI attractiveness.</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4F0637" w14:textId="77777777" w:rsidR="006C070F" w:rsidRPr="000B5E96" w:rsidRDefault="00350C7C">
            <w:pPr>
              <w:rPr>
                <w:rFonts w:ascii="Arial" w:hAnsi="Arial" w:cs="Arial"/>
              </w:rPr>
            </w:pPr>
            <w:r w:rsidRPr="000B5E96">
              <w:rPr>
                <w:rFonts w:ascii="Arial" w:hAnsi="Arial" w:cs="Arial"/>
              </w:rPr>
              <w:t>Vietnam can function as both a domestic technology market and a potential ASEAN delivery location.</w:t>
            </w:r>
          </w:p>
        </w:tc>
        <w:tc>
          <w:tcPr>
            <w:tcW w:w="1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AE7433" w14:textId="77777777" w:rsidR="006C070F" w:rsidRPr="000B5E96" w:rsidRDefault="00350C7C">
            <w:pPr>
              <w:rPr>
                <w:rFonts w:ascii="Arial" w:hAnsi="Arial" w:cs="Arial"/>
              </w:rPr>
            </w:pPr>
            <w:r w:rsidRPr="000B5E96">
              <w:rPr>
                <w:rFonts w:ascii="Arial" w:hAnsi="Arial" w:cs="Arial"/>
              </w:rPr>
              <w:t>TCS must compare Vietnam with established regional alternatives such as Malaysia, Singapore, Thailand and the Philippines.</w:t>
            </w:r>
          </w:p>
        </w:tc>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ACAB0F" w14:textId="77777777" w:rsidR="006C070F" w:rsidRPr="000B5E96" w:rsidRDefault="00350C7C">
            <w:pPr>
              <w:rPr>
                <w:rFonts w:ascii="Arial" w:hAnsi="Arial" w:cs="Arial"/>
              </w:rPr>
            </w:pPr>
            <w:r w:rsidRPr="000B5E96">
              <w:rPr>
                <w:rFonts w:ascii="Arial" w:hAnsi="Arial" w:cs="Arial"/>
              </w:rPr>
              <w:t>Garg, Garg and Mittal (2026)</w:t>
            </w:r>
          </w:p>
        </w:tc>
      </w:tr>
    </w:tbl>
    <w:p w14:paraId="01496A00" w14:textId="77777777" w:rsidR="006C070F" w:rsidRPr="000B5E96" w:rsidRDefault="00350C7C">
      <w:pPr>
        <w:spacing w:before="240" w:after="240"/>
        <w:rPr>
          <w:rFonts w:ascii="Arial" w:hAnsi="Arial" w:cs="Arial"/>
        </w:rPr>
      </w:pPr>
      <w:r w:rsidRPr="000B5E96">
        <w:rPr>
          <w:rFonts w:ascii="Arial" w:hAnsi="Arial" w:cs="Arial"/>
          <w:b/>
          <w:bCs/>
        </w:rPr>
        <w:t>Source:</w:t>
      </w:r>
      <w:r w:rsidRPr="000B5E96">
        <w:rPr>
          <w:rFonts w:ascii="Arial" w:hAnsi="Arial" w:cs="Arial"/>
        </w:rPr>
        <w:t xml:space="preserve"> Author-developed table based on the references cited.</w:t>
      </w:r>
    </w:p>
    <w:p w14:paraId="78742EF4" w14:textId="77777777" w:rsidR="006C070F" w:rsidRPr="000B5E96" w:rsidRDefault="006C070F">
      <w:pPr>
        <w:rPr>
          <w:rFonts w:ascii="Arial" w:hAnsi="Arial" w:cs="Arial"/>
        </w:rPr>
      </w:pPr>
    </w:p>
    <w:p w14:paraId="1C3A463F" w14:textId="77777777" w:rsidR="006C070F" w:rsidRPr="000B5E96" w:rsidRDefault="00350C7C">
      <w:pPr>
        <w:spacing w:before="480" w:after="120"/>
        <w:rPr>
          <w:rFonts w:ascii="Arial" w:hAnsi="Arial" w:cs="Arial"/>
        </w:rPr>
      </w:pPr>
      <w:r w:rsidRPr="000B5E96">
        <w:rPr>
          <w:rFonts w:ascii="Arial" w:hAnsi="Arial" w:cs="Arial"/>
        </w:rPr>
        <w:br w:type="page"/>
      </w:r>
    </w:p>
    <w:p w14:paraId="02A5AACB" w14:textId="77777777" w:rsidR="006C070F" w:rsidRPr="000B5E96" w:rsidRDefault="00350C7C">
      <w:pPr>
        <w:pStyle w:val="Heading2"/>
        <w:keepNext w:val="0"/>
        <w:keepLines w:val="0"/>
        <w:spacing w:before="480" w:after="120"/>
        <w:rPr>
          <w:rFonts w:ascii="Arial" w:hAnsi="Arial" w:cs="Arial"/>
        </w:rPr>
      </w:pPr>
      <w:bookmarkStart w:id="29" w:name="_Toc237568573"/>
      <w:r w:rsidRPr="000B5E96">
        <w:rPr>
          <w:rFonts w:ascii="Arial" w:hAnsi="Arial" w:cs="Arial"/>
        </w:rPr>
        <w:t>Appendix B: OLI Framework Summary for TCS–Vietnam</w:t>
      </w:r>
      <w:bookmarkEnd w:id="29"/>
    </w:p>
    <w:tbl>
      <w:tblPr>
        <w:tblStyle w:val="a4"/>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7"/>
        <w:gridCol w:w="2757"/>
        <w:gridCol w:w="2231"/>
        <w:gridCol w:w="2260"/>
      </w:tblGrid>
      <w:tr w:rsidR="006C070F" w:rsidRPr="000B5E96" w14:paraId="7100F108" w14:textId="77777777">
        <w:trPr>
          <w:trHeight w:val="770"/>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95E14C" w14:textId="77777777" w:rsidR="006C070F" w:rsidRPr="000B5E96" w:rsidRDefault="00350C7C">
            <w:pPr>
              <w:jc w:val="center"/>
              <w:rPr>
                <w:rFonts w:ascii="Arial" w:hAnsi="Arial" w:cs="Arial"/>
              </w:rPr>
            </w:pPr>
            <w:r w:rsidRPr="000B5E96">
              <w:rPr>
                <w:rFonts w:ascii="Arial" w:hAnsi="Arial" w:cs="Arial"/>
                <w:b/>
                <w:bCs/>
              </w:rPr>
              <w:t>OLI Element</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F0F941" w14:textId="77777777" w:rsidR="006C070F" w:rsidRPr="000B5E96" w:rsidRDefault="00350C7C">
            <w:pPr>
              <w:jc w:val="center"/>
              <w:rPr>
                <w:rFonts w:ascii="Arial" w:hAnsi="Arial" w:cs="Arial"/>
              </w:rPr>
            </w:pPr>
            <w:r w:rsidRPr="000B5E96">
              <w:rPr>
                <w:rFonts w:ascii="Arial" w:hAnsi="Arial" w:cs="Arial"/>
                <w:b/>
                <w:bCs/>
              </w:rPr>
              <w:t>TCS–Vietnam Evidence</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96F885" w14:textId="77777777" w:rsidR="006C070F" w:rsidRPr="000B5E96" w:rsidRDefault="00350C7C">
            <w:pPr>
              <w:jc w:val="center"/>
              <w:rPr>
                <w:rFonts w:ascii="Arial" w:hAnsi="Arial" w:cs="Arial"/>
              </w:rPr>
            </w:pPr>
            <w:r w:rsidRPr="000B5E96">
              <w:rPr>
                <w:rFonts w:ascii="Arial" w:hAnsi="Arial" w:cs="Arial"/>
                <w:b/>
                <w:bCs/>
              </w:rPr>
              <w:t>Strategic significance</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C8F237" w14:textId="77777777" w:rsidR="006C070F" w:rsidRPr="000B5E96" w:rsidRDefault="00350C7C">
            <w:pPr>
              <w:jc w:val="center"/>
              <w:rPr>
                <w:rFonts w:ascii="Arial" w:hAnsi="Arial" w:cs="Arial"/>
              </w:rPr>
            </w:pPr>
            <w:r w:rsidRPr="000B5E96">
              <w:rPr>
                <w:rFonts w:ascii="Arial" w:hAnsi="Arial" w:cs="Arial"/>
                <w:b/>
                <w:bCs/>
              </w:rPr>
              <w:t>Critical limitation / Risk</w:t>
            </w:r>
          </w:p>
        </w:tc>
      </w:tr>
      <w:tr w:rsidR="006C070F" w:rsidRPr="000B5E96" w14:paraId="747AF1C7" w14:textId="77777777">
        <w:trPr>
          <w:trHeight w:val="267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2BC3EE" w14:textId="77777777" w:rsidR="006C070F" w:rsidRPr="000B5E96" w:rsidRDefault="00350C7C">
            <w:pPr>
              <w:rPr>
                <w:rFonts w:ascii="Arial" w:hAnsi="Arial" w:cs="Arial"/>
              </w:rPr>
            </w:pPr>
            <w:r w:rsidRPr="000B5E96">
              <w:rPr>
                <w:rFonts w:ascii="Arial" w:hAnsi="Arial" w:cs="Arial"/>
                <w:b/>
                <w:bCs/>
              </w:rPr>
              <w:t>O – Ownership: Global scale</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085D66" w14:textId="77777777" w:rsidR="006C070F" w:rsidRPr="000B5E96" w:rsidRDefault="00350C7C">
            <w:pPr>
              <w:rPr>
                <w:rFonts w:ascii="Arial" w:hAnsi="Arial" w:cs="Arial"/>
              </w:rPr>
            </w:pPr>
            <w:r w:rsidRPr="000B5E96">
              <w:rPr>
                <w:rFonts w:ascii="Arial" w:hAnsi="Arial" w:cs="Arial"/>
              </w:rPr>
              <w:t xml:space="preserve">TCS generated approximately </w:t>
            </w:r>
            <w:r w:rsidRPr="000B5E96">
              <w:rPr>
                <w:rFonts w:ascii="Arial" w:hAnsi="Arial" w:cs="Arial"/>
                <w:b/>
                <w:bCs/>
              </w:rPr>
              <w:t>US$30 billion in FY2025–26 revenue</w:t>
            </w:r>
            <w:r w:rsidRPr="000B5E96">
              <w:rPr>
                <w:rFonts w:ascii="Arial" w:hAnsi="Arial" w:cs="Arial"/>
              </w:rPr>
              <w:t>, operates across more than 50 countries and employs more than half a million people (Tata Consultancy Services, 2026).</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F3E706" w14:textId="77777777" w:rsidR="006C070F" w:rsidRPr="000B5E96" w:rsidRDefault="00350C7C">
            <w:pPr>
              <w:rPr>
                <w:rFonts w:ascii="Arial" w:hAnsi="Arial" w:cs="Arial"/>
              </w:rPr>
            </w:pPr>
            <w:r w:rsidRPr="000B5E96">
              <w:rPr>
                <w:rFonts w:ascii="Arial" w:hAnsi="Arial" w:cs="Arial"/>
              </w:rPr>
              <w:t>Financial scale allows TCS to absorb initial market-entry costs and transfer capabilities from established operations.</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F2AA45" w14:textId="77777777" w:rsidR="006C070F" w:rsidRPr="000B5E96" w:rsidRDefault="00350C7C">
            <w:pPr>
              <w:rPr>
                <w:rFonts w:ascii="Arial" w:hAnsi="Arial" w:cs="Arial"/>
              </w:rPr>
            </w:pPr>
            <w:r w:rsidRPr="000B5E96">
              <w:rPr>
                <w:rFonts w:ascii="Arial" w:hAnsi="Arial" w:cs="Arial"/>
              </w:rPr>
              <w:t>Large global scale does not guarantee local customer acceptance or Vietnamese market knowledge.</w:t>
            </w:r>
          </w:p>
        </w:tc>
      </w:tr>
      <w:tr w:rsidR="006C070F" w:rsidRPr="000B5E96" w14:paraId="448F9A64" w14:textId="77777777">
        <w:trPr>
          <w:trHeight w:val="213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9A61E5" w14:textId="77777777" w:rsidR="006C070F" w:rsidRPr="000B5E96" w:rsidRDefault="00350C7C">
            <w:pPr>
              <w:rPr>
                <w:rFonts w:ascii="Arial" w:hAnsi="Arial" w:cs="Arial"/>
              </w:rPr>
            </w:pPr>
            <w:r w:rsidRPr="000B5E96">
              <w:rPr>
                <w:rFonts w:ascii="Arial" w:hAnsi="Arial" w:cs="Arial"/>
                <w:b/>
                <w:bCs/>
              </w:rPr>
              <w:t>O – Technology capabilities</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AA58BE" w14:textId="77777777" w:rsidR="006C070F" w:rsidRPr="000B5E96" w:rsidRDefault="00350C7C">
            <w:pPr>
              <w:rPr>
                <w:rFonts w:ascii="Arial" w:hAnsi="Arial" w:cs="Arial"/>
              </w:rPr>
            </w:pPr>
            <w:r w:rsidRPr="000B5E96">
              <w:rPr>
                <w:rFonts w:ascii="Arial" w:hAnsi="Arial" w:cs="Arial"/>
              </w:rPr>
              <w:t>TCS possesses capabilities across AI, cloud, cybersecurity, digital engineering, enterprise platforms and consulting (Tata Consultancy Services, 2025; 2026).</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1B66F7" w14:textId="77777777" w:rsidR="006C070F" w:rsidRPr="000B5E96" w:rsidRDefault="00350C7C">
            <w:pPr>
              <w:rPr>
                <w:rFonts w:ascii="Arial" w:hAnsi="Arial" w:cs="Arial"/>
              </w:rPr>
            </w:pPr>
            <w:r w:rsidRPr="000B5E96">
              <w:rPr>
                <w:rFonts w:ascii="Arial" w:hAnsi="Arial" w:cs="Arial"/>
              </w:rPr>
              <w:t>Differentiates TCS from smaller local technology providers and allows cross-selling of integrated transformation services.</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49C176" w14:textId="77777777" w:rsidR="006C070F" w:rsidRPr="000B5E96" w:rsidRDefault="00350C7C">
            <w:pPr>
              <w:rPr>
                <w:rFonts w:ascii="Arial" w:hAnsi="Arial" w:cs="Arial"/>
              </w:rPr>
            </w:pPr>
            <w:r w:rsidRPr="000B5E96">
              <w:rPr>
                <w:rFonts w:ascii="Arial" w:hAnsi="Arial" w:cs="Arial"/>
              </w:rPr>
              <w:t>Global solutions may need substantial localisation to Vietnamese regulatory and organisational conditions.</w:t>
            </w:r>
          </w:p>
        </w:tc>
      </w:tr>
      <w:tr w:rsidR="006C070F" w:rsidRPr="000B5E96" w14:paraId="35BDD2B3" w14:textId="77777777">
        <w:trPr>
          <w:trHeight w:val="186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22D5F4" w14:textId="77777777" w:rsidR="006C070F" w:rsidRPr="000B5E96" w:rsidRDefault="00350C7C">
            <w:pPr>
              <w:rPr>
                <w:rFonts w:ascii="Arial" w:hAnsi="Arial" w:cs="Arial"/>
              </w:rPr>
            </w:pPr>
            <w:r w:rsidRPr="000B5E96">
              <w:rPr>
                <w:rFonts w:ascii="Arial" w:hAnsi="Arial" w:cs="Arial"/>
                <w:b/>
                <w:bCs/>
              </w:rPr>
              <w:t>O – Intellectual capital</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76D37F" w14:textId="77777777" w:rsidR="006C070F" w:rsidRPr="000B5E96" w:rsidRDefault="00350C7C">
            <w:pPr>
              <w:rPr>
                <w:rFonts w:ascii="Arial" w:hAnsi="Arial" w:cs="Arial"/>
              </w:rPr>
            </w:pPr>
            <w:r w:rsidRPr="000B5E96">
              <w:rPr>
                <w:rFonts w:ascii="Arial" w:hAnsi="Arial" w:cs="Arial"/>
              </w:rPr>
              <w:t>TCS maintains extensive proprietary knowledge, patents, global delivery processes and sector expertise.</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9C9186" w14:textId="77777777" w:rsidR="006C070F" w:rsidRPr="000B5E96" w:rsidRDefault="00350C7C">
            <w:pPr>
              <w:rPr>
                <w:rFonts w:ascii="Arial" w:hAnsi="Arial" w:cs="Arial"/>
              </w:rPr>
            </w:pPr>
            <w:r w:rsidRPr="000B5E96">
              <w:rPr>
                <w:rFonts w:ascii="Arial" w:hAnsi="Arial" w:cs="Arial"/>
              </w:rPr>
              <w:t>Supports service quality, innovation and replication of successful solutions between markets.</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8761C1" w14:textId="77777777" w:rsidR="006C070F" w:rsidRPr="000B5E96" w:rsidRDefault="00350C7C">
            <w:pPr>
              <w:rPr>
                <w:rFonts w:ascii="Arial" w:hAnsi="Arial" w:cs="Arial"/>
              </w:rPr>
            </w:pPr>
            <w:r w:rsidRPr="000B5E96">
              <w:rPr>
                <w:rFonts w:ascii="Arial" w:hAnsi="Arial" w:cs="Arial"/>
              </w:rPr>
              <w:t>Knowledge advantages can deteriorate if local talent cannot absorb or implement them effectively.</w:t>
            </w:r>
          </w:p>
        </w:tc>
      </w:tr>
      <w:tr w:rsidR="006C070F" w:rsidRPr="000B5E96" w14:paraId="7D079125" w14:textId="77777777">
        <w:trPr>
          <w:trHeight w:val="186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48EF99" w14:textId="77777777" w:rsidR="006C070F" w:rsidRPr="000B5E96" w:rsidRDefault="00350C7C">
            <w:pPr>
              <w:rPr>
                <w:rFonts w:ascii="Arial" w:hAnsi="Arial" w:cs="Arial"/>
              </w:rPr>
            </w:pPr>
            <w:r w:rsidRPr="000B5E96">
              <w:rPr>
                <w:rFonts w:ascii="Arial" w:hAnsi="Arial" w:cs="Arial"/>
                <w:b/>
                <w:bCs/>
              </w:rPr>
              <w:t>O – Global delivery model</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1CA0DD" w14:textId="77777777" w:rsidR="006C070F" w:rsidRPr="000B5E96" w:rsidRDefault="00350C7C">
            <w:pPr>
              <w:rPr>
                <w:rFonts w:ascii="Arial" w:hAnsi="Arial" w:cs="Arial"/>
              </w:rPr>
            </w:pPr>
            <w:r w:rsidRPr="000B5E96">
              <w:rPr>
                <w:rFonts w:ascii="Arial" w:hAnsi="Arial" w:cs="Arial"/>
              </w:rPr>
              <w:t>TCS combines offshore, regional and client-facing delivery resources.</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5427C8" w14:textId="77777777" w:rsidR="006C070F" w:rsidRPr="000B5E96" w:rsidRDefault="00350C7C">
            <w:pPr>
              <w:rPr>
                <w:rFonts w:ascii="Arial" w:hAnsi="Arial" w:cs="Arial"/>
              </w:rPr>
            </w:pPr>
            <w:r w:rsidRPr="000B5E96">
              <w:rPr>
                <w:rFonts w:ascii="Arial" w:hAnsi="Arial" w:cs="Arial"/>
              </w:rPr>
              <w:t>Vietnam could be integrated with India and other ASEAN operations rather than operating independently.</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871A44" w14:textId="77777777" w:rsidR="006C070F" w:rsidRPr="000B5E96" w:rsidRDefault="00350C7C">
            <w:pPr>
              <w:rPr>
                <w:rFonts w:ascii="Arial" w:hAnsi="Arial" w:cs="Arial"/>
              </w:rPr>
            </w:pPr>
            <w:r w:rsidRPr="000B5E96">
              <w:rPr>
                <w:rFonts w:ascii="Arial" w:hAnsi="Arial" w:cs="Arial"/>
              </w:rPr>
              <w:t>Cross-border data requirements may constrain unrestricted use of international delivery centres.</w:t>
            </w:r>
          </w:p>
        </w:tc>
      </w:tr>
      <w:tr w:rsidR="006C070F" w:rsidRPr="000B5E96" w14:paraId="64A233E6" w14:textId="77777777">
        <w:trPr>
          <w:trHeight w:val="213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582EC1" w14:textId="77777777" w:rsidR="006C070F" w:rsidRPr="000B5E96" w:rsidRDefault="00350C7C">
            <w:pPr>
              <w:rPr>
                <w:rFonts w:ascii="Arial" w:hAnsi="Arial" w:cs="Arial"/>
              </w:rPr>
            </w:pPr>
            <w:r w:rsidRPr="000B5E96">
              <w:rPr>
                <w:rFonts w:ascii="Arial" w:hAnsi="Arial" w:cs="Arial"/>
                <w:b/>
                <w:bCs/>
              </w:rPr>
              <w:t>O – Reputation and client relationships</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674C3" w14:textId="77777777" w:rsidR="006C070F" w:rsidRPr="000B5E96" w:rsidRDefault="00350C7C">
            <w:pPr>
              <w:rPr>
                <w:rFonts w:ascii="Arial" w:hAnsi="Arial" w:cs="Arial"/>
              </w:rPr>
            </w:pPr>
            <w:r w:rsidRPr="000B5E96">
              <w:rPr>
                <w:rFonts w:ascii="Arial" w:hAnsi="Arial" w:cs="Arial"/>
              </w:rPr>
              <w:t>TCS has extensive long-term multinational customer relationships (Tata Consultancy Services, 2026).</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A1DBB" w14:textId="77777777" w:rsidR="006C070F" w:rsidRPr="000B5E96" w:rsidRDefault="00350C7C">
            <w:pPr>
              <w:rPr>
                <w:rFonts w:ascii="Arial" w:hAnsi="Arial" w:cs="Arial"/>
              </w:rPr>
            </w:pPr>
            <w:r w:rsidRPr="000B5E96">
              <w:rPr>
                <w:rFonts w:ascii="Arial" w:hAnsi="Arial" w:cs="Arial"/>
              </w:rPr>
              <w:t>Existing global clients operating in Vietnam could provide initial anchor accounts.</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134DF3" w14:textId="77777777" w:rsidR="006C070F" w:rsidRPr="000B5E96" w:rsidRDefault="00350C7C">
            <w:pPr>
              <w:rPr>
                <w:rFonts w:ascii="Arial" w:hAnsi="Arial" w:cs="Arial"/>
              </w:rPr>
            </w:pPr>
            <w:r w:rsidRPr="000B5E96">
              <w:rPr>
                <w:rFonts w:ascii="Arial" w:hAnsi="Arial" w:cs="Arial"/>
              </w:rPr>
              <w:t>Strong global reputation may not immediately substitute for Vietnamese relationships and local brand recognition.</w:t>
            </w:r>
          </w:p>
        </w:tc>
      </w:tr>
      <w:tr w:rsidR="006C070F" w:rsidRPr="000B5E96" w14:paraId="0BB26C4A" w14:textId="77777777">
        <w:trPr>
          <w:trHeight w:val="159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ADE97A" w14:textId="77777777" w:rsidR="006C070F" w:rsidRPr="000B5E96" w:rsidRDefault="00350C7C">
            <w:pPr>
              <w:rPr>
                <w:rFonts w:ascii="Arial" w:hAnsi="Arial" w:cs="Arial"/>
              </w:rPr>
            </w:pPr>
            <w:r w:rsidRPr="000B5E96">
              <w:rPr>
                <w:rFonts w:ascii="Arial" w:hAnsi="Arial" w:cs="Arial"/>
                <w:b/>
                <w:bCs/>
              </w:rPr>
              <w:t>L – Economic growth</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E2CEE0" w14:textId="77777777" w:rsidR="006C070F" w:rsidRPr="000B5E96" w:rsidRDefault="00350C7C">
            <w:pPr>
              <w:rPr>
                <w:rFonts w:ascii="Arial" w:hAnsi="Arial" w:cs="Arial"/>
              </w:rPr>
            </w:pPr>
            <w:r w:rsidRPr="000B5E96">
              <w:rPr>
                <w:rFonts w:ascii="Arial" w:hAnsi="Arial" w:cs="Arial"/>
              </w:rPr>
              <w:t>Vietnam continues to experience comparatively strong economic growth (World Bank, 2026; ADB, 2026).</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7543F" w14:textId="77777777" w:rsidR="006C070F" w:rsidRPr="000B5E96" w:rsidRDefault="00350C7C">
            <w:pPr>
              <w:rPr>
                <w:rFonts w:ascii="Arial" w:hAnsi="Arial" w:cs="Arial"/>
              </w:rPr>
            </w:pPr>
            <w:r w:rsidRPr="000B5E96">
              <w:rPr>
                <w:rFonts w:ascii="Arial" w:hAnsi="Arial" w:cs="Arial"/>
              </w:rPr>
              <w:t>Expanding corporate activity increases demand for digital infrastructure and services.</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D7CBCD" w14:textId="77777777" w:rsidR="006C070F" w:rsidRPr="000B5E96" w:rsidRDefault="00350C7C">
            <w:pPr>
              <w:rPr>
                <w:rFonts w:ascii="Arial" w:hAnsi="Arial" w:cs="Arial"/>
              </w:rPr>
            </w:pPr>
            <w:r w:rsidRPr="000B5E96">
              <w:rPr>
                <w:rFonts w:ascii="Arial" w:hAnsi="Arial" w:cs="Arial"/>
              </w:rPr>
              <w:t>Vietnam remains exposed to global trade and external economic shocks.</w:t>
            </w:r>
          </w:p>
        </w:tc>
      </w:tr>
      <w:tr w:rsidR="006C070F" w:rsidRPr="000B5E96" w14:paraId="09561264" w14:textId="77777777">
        <w:trPr>
          <w:trHeight w:val="159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F10D2D" w14:textId="77777777" w:rsidR="006C070F" w:rsidRPr="000B5E96" w:rsidRDefault="00350C7C">
            <w:pPr>
              <w:rPr>
                <w:rFonts w:ascii="Arial" w:hAnsi="Arial" w:cs="Arial"/>
              </w:rPr>
            </w:pPr>
            <w:r w:rsidRPr="000B5E96">
              <w:rPr>
                <w:rFonts w:ascii="Arial" w:hAnsi="Arial" w:cs="Arial"/>
                <w:b/>
                <w:bCs/>
              </w:rPr>
              <w:t>L – Digital-economy expansion</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935D52" w14:textId="77777777" w:rsidR="006C070F" w:rsidRPr="000B5E96" w:rsidRDefault="00350C7C">
            <w:pPr>
              <w:rPr>
                <w:rFonts w:ascii="Arial" w:hAnsi="Arial" w:cs="Arial"/>
              </w:rPr>
            </w:pPr>
            <w:r w:rsidRPr="000B5E96">
              <w:rPr>
                <w:rFonts w:ascii="Arial" w:hAnsi="Arial" w:cs="Arial"/>
              </w:rPr>
              <w:t>Digital transformation is increasingly important to Vietnamese firms and productivity (Duc et al., 2024; Dang et al., 2024).</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701B29" w14:textId="77777777" w:rsidR="006C070F" w:rsidRPr="000B5E96" w:rsidRDefault="00350C7C">
            <w:pPr>
              <w:rPr>
                <w:rFonts w:ascii="Arial" w:hAnsi="Arial" w:cs="Arial"/>
              </w:rPr>
            </w:pPr>
            <w:r w:rsidRPr="000B5E96">
              <w:rPr>
                <w:rFonts w:ascii="Arial" w:hAnsi="Arial" w:cs="Arial"/>
              </w:rPr>
              <w:t>Creates demand for TCS cloud, AI, enterprise transformation and managed services.</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CEBDDA" w14:textId="77777777" w:rsidR="006C070F" w:rsidRPr="000B5E96" w:rsidRDefault="00350C7C">
            <w:pPr>
              <w:rPr>
                <w:rFonts w:ascii="Arial" w:hAnsi="Arial" w:cs="Arial"/>
              </w:rPr>
            </w:pPr>
            <w:r w:rsidRPr="000B5E96">
              <w:rPr>
                <w:rFonts w:ascii="Arial" w:hAnsi="Arial" w:cs="Arial"/>
              </w:rPr>
              <w:t>Adoption capability varies considerably across companies.</w:t>
            </w:r>
          </w:p>
        </w:tc>
      </w:tr>
      <w:tr w:rsidR="006C070F" w:rsidRPr="000B5E96" w14:paraId="03AABF04" w14:textId="77777777">
        <w:trPr>
          <w:trHeight w:val="186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0C30AA" w14:textId="77777777" w:rsidR="006C070F" w:rsidRPr="000B5E96" w:rsidRDefault="00350C7C">
            <w:pPr>
              <w:rPr>
                <w:rFonts w:ascii="Arial" w:hAnsi="Arial" w:cs="Arial"/>
              </w:rPr>
            </w:pPr>
            <w:r w:rsidRPr="000B5E96">
              <w:rPr>
                <w:rFonts w:ascii="Arial" w:hAnsi="Arial" w:cs="Arial"/>
                <w:b/>
                <w:bCs/>
              </w:rPr>
              <w:t>L – AI and IT adoption</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B3B549" w14:textId="77777777" w:rsidR="006C070F" w:rsidRPr="000B5E96" w:rsidRDefault="00350C7C">
            <w:pPr>
              <w:rPr>
                <w:rFonts w:ascii="Arial" w:hAnsi="Arial" w:cs="Arial"/>
              </w:rPr>
            </w:pPr>
            <w:r w:rsidRPr="000B5E96">
              <w:rPr>
                <w:rFonts w:ascii="Arial" w:hAnsi="Arial" w:cs="Arial"/>
              </w:rPr>
              <w:t xml:space="preserve">Vietnamese firms increasingly evaluate AI and IT adoption (Cao and Nguyen, 2025; Trieu, Nguyen and </w:t>
            </w:r>
            <w:proofErr w:type="spellStart"/>
            <w:r w:rsidRPr="000B5E96">
              <w:rPr>
                <w:rFonts w:ascii="Arial" w:hAnsi="Arial" w:cs="Arial"/>
              </w:rPr>
              <w:t>Vrontis</w:t>
            </w:r>
            <w:proofErr w:type="spellEnd"/>
            <w:r w:rsidRPr="000B5E96">
              <w:rPr>
                <w:rFonts w:ascii="Arial" w:hAnsi="Arial" w:cs="Arial"/>
              </w:rPr>
              <w:t>, 2025).</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3E8EF4" w14:textId="77777777" w:rsidR="006C070F" w:rsidRPr="000B5E96" w:rsidRDefault="00350C7C">
            <w:pPr>
              <w:rPr>
                <w:rFonts w:ascii="Arial" w:hAnsi="Arial" w:cs="Arial"/>
              </w:rPr>
            </w:pPr>
            <w:r w:rsidRPr="000B5E96">
              <w:rPr>
                <w:rFonts w:ascii="Arial" w:hAnsi="Arial" w:cs="Arial"/>
              </w:rPr>
              <w:t>Provides market potential for TCS AI, analytics and technology-modernisation services.</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FF13E2" w14:textId="77777777" w:rsidR="006C070F" w:rsidRPr="000B5E96" w:rsidRDefault="00350C7C">
            <w:pPr>
              <w:rPr>
                <w:rFonts w:ascii="Arial" w:hAnsi="Arial" w:cs="Arial"/>
              </w:rPr>
            </w:pPr>
            <w:r w:rsidRPr="000B5E96">
              <w:rPr>
                <w:rFonts w:ascii="Arial" w:hAnsi="Arial" w:cs="Arial"/>
              </w:rPr>
              <w:t>Organisational readiness and perceived cost may delay adoption.</w:t>
            </w:r>
          </w:p>
        </w:tc>
      </w:tr>
      <w:tr w:rsidR="006C070F" w:rsidRPr="000B5E96" w14:paraId="5970C971" w14:textId="77777777">
        <w:trPr>
          <w:trHeight w:val="186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6E9DF2" w14:textId="77777777" w:rsidR="006C070F" w:rsidRPr="000B5E96" w:rsidRDefault="00350C7C">
            <w:pPr>
              <w:rPr>
                <w:rFonts w:ascii="Arial" w:hAnsi="Arial" w:cs="Arial"/>
              </w:rPr>
            </w:pPr>
            <w:r w:rsidRPr="000B5E96">
              <w:rPr>
                <w:rFonts w:ascii="Arial" w:hAnsi="Arial" w:cs="Arial"/>
                <w:b/>
                <w:bCs/>
              </w:rPr>
              <w:t>L – Human capital</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AE2E2C" w14:textId="77777777" w:rsidR="006C070F" w:rsidRPr="000B5E96" w:rsidRDefault="00350C7C">
            <w:pPr>
              <w:rPr>
                <w:rFonts w:ascii="Arial" w:hAnsi="Arial" w:cs="Arial"/>
              </w:rPr>
            </w:pPr>
            <w:r w:rsidRPr="000B5E96">
              <w:rPr>
                <w:rFonts w:ascii="Arial" w:hAnsi="Arial" w:cs="Arial"/>
              </w:rPr>
              <w:t>Human capital and digitalisation contribute to productivity in Vietnam (Huyen et al., 2024; Nguyen and Bui, 2024).</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2E1EFB" w14:textId="77777777" w:rsidR="006C070F" w:rsidRPr="000B5E96" w:rsidRDefault="00350C7C">
            <w:pPr>
              <w:rPr>
                <w:rFonts w:ascii="Arial" w:hAnsi="Arial" w:cs="Arial"/>
              </w:rPr>
            </w:pPr>
            <w:r w:rsidRPr="000B5E96">
              <w:rPr>
                <w:rFonts w:ascii="Arial" w:hAnsi="Arial" w:cs="Arial"/>
              </w:rPr>
              <w:t>Provides potential for a local technology workforce and regional delivery capability.</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76A96" w14:textId="77777777" w:rsidR="006C070F" w:rsidRPr="000B5E96" w:rsidRDefault="00350C7C">
            <w:pPr>
              <w:rPr>
                <w:rFonts w:ascii="Arial" w:hAnsi="Arial" w:cs="Arial"/>
              </w:rPr>
            </w:pPr>
            <w:r w:rsidRPr="000B5E96">
              <w:rPr>
                <w:rFonts w:ascii="Arial" w:hAnsi="Arial" w:cs="Arial"/>
              </w:rPr>
              <w:t>Industry 4.0 skill shortages could increase recruitment and training costs (Nguyen and Nguyen, 2024).</w:t>
            </w:r>
          </w:p>
        </w:tc>
      </w:tr>
      <w:tr w:rsidR="006C070F" w:rsidRPr="000B5E96" w14:paraId="2649D9CA" w14:textId="77777777">
        <w:trPr>
          <w:trHeight w:val="159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ECE2CB" w14:textId="77777777" w:rsidR="006C070F" w:rsidRPr="000B5E96" w:rsidRDefault="00350C7C">
            <w:pPr>
              <w:rPr>
                <w:rFonts w:ascii="Arial" w:hAnsi="Arial" w:cs="Arial"/>
              </w:rPr>
            </w:pPr>
            <w:r w:rsidRPr="000B5E96">
              <w:rPr>
                <w:rFonts w:ascii="Arial" w:hAnsi="Arial" w:cs="Arial"/>
                <w:b/>
                <w:bCs/>
              </w:rPr>
              <w:t>L – FDI environment</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C5716B" w14:textId="77777777" w:rsidR="006C070F" w:rsidRPr="000B5E96" w:rsidRDefault="00350C7C">
            <w:pPr>
              <w:rPr>
                <w:rFonts w:ascii="Arial" w:hAnsi="Arial" w:cs="Arial"/>
              </w:rPr>
            </w:pPr>
            <w:r w:rsidRPr="000B5E96">
              <w:rPr>
                <w:rFonts w:ascii="Arial" w:hAnsi="Arial" w:cs="Arial"/>
              </w:rPr>
              <w:t>Vietnam actively attracts FDI and increasingly prioritises technology and higher-value investment (OECD, 2026).</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9CF063" w14:textId="77777777" w:rsidR="006C070F" w:rsidRPr="000B5E96" w:rsidRDefault="00350C7C">
            <w:pPr>
              <w:rPr>
                <w:rFonts w:ascii="Arial" w:hAnsi="Arial" w:cs="Arial"/>
              </w:rPr>
            </w:pPr>
            <w:r w:rsidRPr="000B5E96">
              <w:rPr>
                <w:rFonts w:ascii="Arial" w:hAnsi="Arial" w:cs="Arial"/>
              </w:rPr>
              <w:t>A technology-services investment by TCS aligns with national development objectives.</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BEC9A1" w14:textId="77777777" w:rsidR="006C070F" w:rsidRPr="000B5E96" w:rsidRDefault="00350C7C">
            <w:pPr>
              <w:rPr>
                <w:rFonts w:ascii="Arial" w:hAnsi="Arial" w:cs="Arial"/>
              </w:rPr>
            </w:pPr>
            <w:r w:rsidRPr="000B5E96">
              <w:rPr>
                <w:rFonts w:ascii="Arial" w:hAnsi="Arial" w:cs="Arial"/>
              </w:rPr>
              <w:t>Institutional implementation and local administrative conditions remain relevant.</w:t>
            </w:r>
          </w:p>
        </w:tc>
      </w:tr>
      <w:tr w:rsidR="006C070F" w:rsidRPr="000B5E96" w14:paraId="565615A4" w14:textId="77777777">
        <w:trPr>
          <w:trHeight w:val="159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34EBFA" w14:textId="77777777" w:rsidR="006C070F" w:rsidRPr="000B5E96" w:rsidRDefault="00350C7C">
            <w:pPr>
              <w:rPr>
                <w:rFonts w:ascii="Arial" w:hAnsi="Arial" w:cs="Arial"/>
              </w:rPr>
            </w:pPr>
            <w:r w:rsidRPr="000B5E96">
              <w:rPr>
                <w:rFonts w:ascii="Arial" w:hAnsi="Arial" w:cs="Arial"/>
                <w:b/>
                <w:bCs/>
              </w:rPr>
              <w:t>L – ASEAN position</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4DCE9A" w14:textId="77777777" w:rsidR="006C070F" w:rsidRPr="000B5E96" w:rsidRDefault="00350C7C">
            <w:pPr>
              <w:rPr>
                <w:rFonts w:ascii="Arial" w:hAnsi="Arial" w:cs="Arial"/>
              </w:rPr>
            </w:pPr>
            <w:r w:rsidRPr="000B5E96">
              <w:rPr>
                <w:rFonts w:ascii="Arial" w:hAnsi="Arial" w:cs="Arial"/>
              </w:rPr>
              <w:t>Vietnam participates in a highly integrated ASEAN production and investment environment.</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FBE2A7" w14:textId="77777777" w:rsidR="006C070F" w:rsidRPr="000B5E96" w:rsidRDefault="00350C7C">
            <w:pPr>
              <w:rPr>
                <w:rFonts w:ascii="Arial" w:hAnsi="Arial" w:cs="Arial"/>
              </w:rPr>
            </w:pPr>
            <w:r w:rsidRPr="000B5E96">
              <w:rPr>
                <w:rFonts w:ascii="Arial" w:hAnsi="Arial" w:cs="Arial"/>
              </w:rPr>
              <w:t>Provides potential regional service-delivery and multinational-client advantages.</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331269" w14:textId="77777777" w:rsidR="006C070F" w:rsidRPr="000B5E96" w:rsidRDefault="00350C7C">
            <w:pPr>
              <w:rPr>
                <w:rFonts w:ascii="Arial" w:hAnsi="Arial" w:cs="Arial"/>
              </w:rPr>
            </w:pPr>
            <w:r w:rsidRPr="000B5E96">
              <w:rPr>
                <w:rFonts w:ascii="Arial" w:hAnsi="Arial" w:cs="Arial"/>
              </w:rPr>
              <w:t>Competing ASEAN technology hubs may provide stronger existing ecosystems.</w:t>
            </w:r>
          </w:p>
        </w:tc>
      </w:tr>
      <w:tr w:rsidR="006C070F" w:rsidRPr="000B5E96" w14:paraId="3CBC9037" w14:textId="77777777">
        <w:trPr>
          <w:trHeight w:val="159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92A11" w14:textId="77777777" w:rsidR="006C070F" w:rsidRPr="000B5E96" w:rsidRDefault="00350C7C">
            <w:pPr>
              <w:rPr>
                <w:rFonts w:ascii="Arial" w:hAnsi="Arial" w:cs="Arial"/>
              </w:rPr>
            </w:pPr>
            <w:r w:rsidRPr="000B5E96">
              <w:rPr>
                <w:rFonts w:ascii="Arial" w:hAnsi="Arial" w:cs="Arial"/>
                <w:b/>
                <w:bCs/>
              </w:rPr>
              <w:t>I – Protection of intellectual property</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1FA0D3" w14:textId="77777777" w:rsidR="006C070F" w:rsidRPr="000B5E96" w:rsidRDefault="00350C7C">
            <w:pPr>
              <w:rPr>
                <w:rFonts w:ascii="Arial" w:hAnsi="Arial" w:cs="Arial"/>
              </w:rPr>
            </w:pPr>
            <w:r w:rsidRPr="000B5E96">
              <w:rPr>
                <w:rFonts w:ascii="Arial" w:hAnsi="Arial" w:cs="Arial"/>
              </w:rPr>
              <w:t>TCS's technology processes, platforms and customer solutions contain valuable proprietary knowledge.</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697F8B" w14:textId="77777777" w:rsidR="006C070F" w:rsidRPr="000B5E96" w:rsidRDefault="00350C7C">
            <w:pPr>
              <w:rPr>
                <w:rFonts w:ascii="Arial" w:hAnsi="Arial" w:cs="Arial"/>
              </w:rPr>
            </w:pPr>
            <w:r w:rsidRPr="000B5E96">
              <w:rPr>
                <w:rFonts w:ascii="Arial" w:hAnsi="Arial" w:cs="Arial"/>
              </w:rPr>
              <w:t>Direct ownership reduces the risk of uncontrolled knowledge transfer to partners.</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4EB683" w14:textId="77777777" w:rsidR="006C070F" w:rsidRPr="000B5E96" w:rsidRDefault="00350C7C">
            <w:pPr>
              <w:rPr>
                <w:rFonts w:ascii="Arial" w:hAnsi="Arial" w:cs="Arial"/>
              </w:rPr>
            </w:pPr>
            <w:r w:rsidRPr="000B5E96">
              <w:rPr>
                <w:rFonts w:ascii="Arial" w:hAnsi="Arial" w:cs="Arial"/>
              </w:rPr>
              <w:t>Full ownership increases resource commitment and market exposure.</w:t>
            </w:r>
          </w:p>
        </w:tc>
      </w:tr>
      <w:tr w:rsidR="006C070F" w:rsidRPr="000B5E96" w14:paraId="0644A25A" w14:textId="77777777">
        <w:trPr>
          <w:trHeight w:val="213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F5528B" w14:textId="77777777" w:rsidR="006C070F" w:rsidRPr="000B5E96" w:rsidRDefault="00350C7C">
            <w:pPr>
              <w:rPr>
                <w:rFonts w:ascii="Arial" w:hAnsi="Arial" w:cs="Arial"/>
              </w:rPr>
            </w:pPr>
            <w:r w:rsidRPr="000B5E96">
              <w:rPr>
                <w:rFonts w:ascii="Arial" w:hAnsi="Arial" w:cs="Arial"/>
                <w:b/>
                <w:bCs/>
              </w:rPr>
              <w:t>I – Data and cybersecurity control</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C59B0" w14:textId="77777777" w:rsidR="006C070F" w:rsidRPr="000B5E96" w:rsidRDefault="00350C7C">
            <w:pPr>
              <w:rPr>
                <w:rFonts w:ascii="Arial" w:hAnsi="Arial" w:cs="Arial"/>
              </w:rPr>
            </w:pPr>
            <w:r w:rsidRPr="000B5E96">
              <w:rPr>
                <w:rFonts w:ascii="Arial" w:hAnsi="Arial" w:cs="Arial"/>
              </w:rPr>
              <w:t>Vietnamese data-protection and Data Law requirements place greater importance on accountability (Government of Vietnam, 2023; National Assembly of Vietnam, 2024).</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B9A1CE" w14:textId="77777777" w:rsidR="006C070F" w:rsidRPr="000B5E96" w:rsidRDefault="00350C7C">
            <w:pPr>
              <w:rPr>
                <w:rFonts w:ascii="Arial" w:hAnsi="Arial" w:cs="Arial"/>
              </w:rPr>
            </w:pPr>
            <w:r w:rsidRPr="000B5E96">
              <w:rPr>
                <w:rFonts w:ascii="Arial" w:hAnsi="Arial" w:cs="Arial"/>
              </w:rPr>
              <w:t>Internalisation strengthens governance over sensitive customer and employee data.</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81591E" w14:textId="77777777" w:rsidR="006C070F" w:rsidRPr="000B5E96" w:rsidRDefault="00350C7C">
            <w:pPr>
              <w:rPr>
                <w:rFonts w:ascii="Arial" w:hAnsi="Arial" w:cs="Arial"/>
              </w:rPr>
            </w:pPr>
            <w:r w:rsidRPr="000B5E96">
              <w:rPr>
                <w:rFonts w:ascii="Arial" w:hAnsi="Arial" w:cs="Arial"/>
              </w:rPr>
              <w:t>Compliance requires local legal, cyber and data-governance expertise.</w:t>
            </w:r>
          </w:p>
        </w:tc>
      </w:tr>
      <w:tr w:rsidR="006C070F" w:rsidRPr="000B5E96" w14:paraId="3145DF33" w14:textId="77777777">
        <w:trPr>
          <w:trHeight w:val="186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1510FE" w14:textId="77777777" w:rsidR="006C070F" w:rsidRPr="000B5E96" w:rsidRDefault="00350C7C">
            <w:pPr>
              <w:rPr>
                <w:rFonts w:ascii="Arial" w:hAnsi="Arial" w:cs="Arial"/>
              </w:rPr>
            </w:pPr>
            <w:r w:rsidRPr="000B5E96">
              <w:rPr>
                <w:rFonts w:ascii="Arial" w:hAnsi="Arial" w:cs="Arial"/>
                <w:b/>
                <w:bCs/>
              </w:rPr>
              <w:t>I – Service quality</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399FE3" w14:textId="77777777" w:rsidR="006C070F" w:rsidRPr="000B5E96" w:rsidRDefault="00350C7C">
            <w:pPr>
              <w:rPr>
                <w:rFonts w:ascii="Arial" w:hAnsi="Arial" w:cs="Arial"/>
              </w:rPr>
            </w:pPr>
            <w:r w:rsidRPr="000B5E96">
              <w:rPr>
                <w:rFonts w:ascii="Arial" w:hAnsi="Arial" w:cs="Arial"/>
              </w:rPr>
              <w:t>TCS's competitive advantage depends on consistent global delivery standards.</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B7A979" w14:textId="77777777" w:rsidR="006C070F" w:rsidRPr="000B5E96" w:rsidRDefault="00350C7C">
            <w:pPr>
              <w:rPr>
                <w:rFonts w:ascii="Arial" w:hAnsi="Arial" w:cs="Arial"/>
              </w:rPr>
            </w:pPr>
            <w:r w:rsidRPr="000B5E96">
              <w:rPr>
                <w:rFonts w:ascii="Arial" w:hAnsi="Arial" w:cs="Arial"/>
              </w:rPr>
              <w:t>A wholly owned operation permits direct control over recruitment, training, project management and cybersecurity.</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ED50E9" w14:textId="77777777" w:rsidR="006C070F" w:rsidRPr="000B5E96" w:rsidRDefault="00350C7C">
            <w:pPr>
              <w:rPr>
                <w:rFonts w:ascii="Arial" w:hAnsi="Arial" w:cs="Arial"/>
              </w:rPr>
            </w:pPr>
            <w:r w:rsidRPr="000B5E96">
              <w:rPr>
                <w:rFonts w:ascii="Arial" w:hAnsi="Arial" w:cs="Arial"/>
              </w:rPr>
              <w:t>Excessive standardisation could reduce local responsiveness.</w:t>
            </w:r>
          </w:p>
        </w:tc>
      </w:tr>
      <w:tr w:rsidR="006C070F" w:rsidRPr="000B5E96" w14:paraId="1C741B6D" w14:textId="77777777">
        <w:trPr>
          <w:trHeight w:val="186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907839" w14:textId="77777777" w:rsidR="006C070F" w:rsidRPr="000B5E96" w:rsidRDefault="00350C7C">
            <w:pPr>
              <w:rPr>
                <w:rFonts w:ascii="Arial" w:hAnsi="Arial" w:cs="Arial"/>
              </w:rPr>
            </w:pPr>
            <w:r w:rsidRPr="000B5E96">
              <w:rPr>
                <w:rFonts w:ascii="Arial" w:hAnsi="Arial" w:cs="Arial"/>
                <w:b/>
                <w:bCs/>
              </w:rPr>
              <w:t>I – Client confidentiality</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61149A" w14:textId="77777777" w:rsidR="006C070F" w:rsidRPr="000B5E96" w:rsidRDefault="00350C7C">
            <w:pPr>
              <w:rPr>
                <w:rFonts w:ascii="Arial" w:hAnsi="Arial" w:cs="Arial"/>
              </w:rPr>
            </w:pPr>
            <w:r w:rsidRPr="000B5E96">
              <w:rPr>
                <w:rFonts w:ascii="Arial" w:hAnsi="Arial" w:cs="Arial"/>
              </w:rPr>
              <w:t>IT outsourcing and consulting involve confidential commercial and technical information.</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600F05" w14:textId="77777777" w:rsidR="006C070F" w:rsidRPr="000B5E96" w:rsidRDefault="00350C7C">
            <w:pPr>
              <w:rPr>
                <w:rFonts w:ascii="Arial" w:hAnsi="Arial" w:cs="Arial"/>
              </w:rPr>
            </w:pPr>
            <w:r w:rsidRPr="000B5E96">
              <w:rPr>
                <w:rFonts w:ascii="Arial" w:hAnsi="Arial" w:cs="Arial"/>
              </w:rPr>
              <w:t>Internalisation reduces contractual and information-security risks associated with multiple third parties.</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2CF9B4" w14:textId="77777777" w:rsidR="006C070F" w:rsidRPr="000B5E96" w:rsidRDefault="00350C7C">
            <w:pPr>
              <w:rPr>
                <w:rFonts w:ascii="Arial" w:hAnsi="Arial" w:cs="Arial"/>
              </w:rPr>
            </w:pPr>
            <w:r w:rsidRPr="000B5E96">
              <w:rPr>
                <w:rFonts w:ascii="Arial" w:hAnsi="Arial" w:cs="Arial"/>
              </w:rPr>
              <w:t>Internal operations still require robust vendor and cloud-provider governance.</w:t>
            </w:r>
          </w:p>
        </w:tc>
      </w:tr>
      <w:tr w:rsidR="006C070F" w:rsidRPr="000B5E96" w14:paraId="0E4D9D52" w14:textId="77777777">
        <w:trPr>
          <w:trHeight w:val="2135"/>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4CDE72" w14:textId="77777777" w:rsidR="006C070F" w:rsidRPr="000B5E96" w:rsidRDefault="00350C7C">
            <w:pPr>
              <w:rPr>
                <w:rFonts w:ascii="Arial" w:hAnsi="Arial" w:cs="Arial"/>
              </w:rPr>
            </w:pPr>
            <w:r w:rsidRPr="000B5E96">
              <w:rPr>
                <w:rFonts w:ascii="Arial" w:hAnsi="Arial" w:cs="Arial"/>
                <w:b/>
                <w:bCs/>
              </w:rPr>
              <w:t>Overall OLI implication</w:t>
            </w:r>
          </w:p>
        </w:tc>
        <w:tc>
          <w:tcPr>
            <w:tcW w:w="2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FE7794" w14:textId="77777777" w:rsidR="006C070F" w:rsidRPr="000B5E96" w:rsidRDefault="00350C7C">
            <w:pPr>
              <w:rPr>
                <w:rFonts w:ascii="Arial" w:hAnsi="Arial" w:cs="Arial"/>
              </w:rPr>
            </w:pPr>
            <w:r w:rsidRPr="000B5E96">
              <w:rPr>
                <w:rFonts w:ascii="Arial" w:hAnsi="Arial" w:cs="Arial"/>
              </w:rPr>
              <w:t>Strong ownership capabilities + attractive but capability-sensitive Vietnamese location + high need for knowledge/data control.</w:t>
            </w:r>
          </w:p>
        </w:tc>
        <w:tc>
          <w:tcPr>
            <w:tcW w:w="22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3E637F" w14:textId="77777777" w:rsidR="006C070F" w:rsidRPr="000B5E96" w:rsidRDefault="00350C7C">
            <w:pPr>
              <w:rPr>
                <w:rFonts w:ascii="Arial" w:hAnsi="Arial" w:cs="Arial"/>
              </w:rPr>
            </w:pPr>
            <w:r w:rsidRPr="000B5E96">
              <w:rPr>
                <w:rFonts w:ascii="Arial" w:hAnsi="Arial" w:cs="Arial"/>
                <w:b/>
                <w:bCs/>
              </w:rPr>
              <w:t>Supports direct FDI through a controlled local subsidiary, preferably with phased investment.</w:t>
            </w:r>
          </w:p>
        </w:tc>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7BED5B" w14:textId="77777777" w:rsidR="006C070F" w:rsidRPr="000B5E96" w:rsidRDefault="00350C7C">
            <w:pPr>
              <w:rPr>
                <w:rFonts w:ascii="Arial" w:hAnsi="Arial" w:cs="Arial"/>
              </w:rPr>
            </w:pPr>
            <w:r w:rsidRPr="000B5E96">
              <w:rPr>
                <w:rFonts w:ascii="Arial" w:hAnsi="Arial" w:cs="Arial"/>
              </w:rPr>
              <w:t>Entry should be scaled gradually because skills, culture, regulation and customer acquisition remain uncertain.</w:t>
            </w:r>
          </w:p>
        </w:tc>
      </w:tr>
    </w:tbl>
    <w:p w14:paraId="5298FD6C" w14:textId="77777777" w:rsidR="006C070F" w:rsidRPr="000B5E96" w:rsidRDefault="00350C7C">
      <w:pPr>
        <w:spacing w:before="240" w:after="240"/>
        <w:rPr>
          <w:rFonts w:ascii="Arial" w:hAnsi="Arial" w:cs="Arial"/>
        </w:rPr>
      </w:pPr>
      <w:r w:rsidRPr="000B5E96">
        <w:rPr>
          <w:rFonts w:ascii="Arial" w:hAnsi="Arial" w:cs="Arial"/>
          <w:b/>
          <w:bCs/>
        </w:rPr>
        <w:t>Source:</w:t>
      </w:r>
      <w:r w:rsidRPr="000B5E96">
        <w:rPr>
          <w:rFonts w:ascii="Arial" w:hAnsi="Arial" w:cs="Arial"/>
        </w:rPr>
        <w:t xml:space="preserve"> Author-developed application of the OLI framework using Tata Consultancy Services (2025; 2026), OECD (2026), Government of Vietnam (2023), National Assembly of Vietnam (2024), Duc et al. (2024), Huyen et al. (2024), Cao and Nguyen (2025), and related literature.</w:t>
      </w:r>
    </w:p>
    <w:p w14:paraId="523EFFA2" w14:textId="77777777" w:rsidR="006C070F" w:rsidRPr="000B5E96" w:rsidRDefault="00350C7C">
      <w:pPr>
        <w:pStyle w:val="Heading2"/>
        <w:keepNext w:val="0"/>
        <w:keepLines w:val="0"/>
        <w:spacing w:before="480" w:after="120"/>
        <w:rPr>
          <w:rFonts w:ascii="Arial" w:hAnsi="Arial" w:cs="Arial"/>
        </w:rPr>
      </w:pPr>
      <w:bookmarkStart w:id="30" w:name="_5kkuegauzzdd" w:colFirst="0" w:colLast="0"/>
      <w:bookmarkEnd w:id="30"/>
      <w:r w:rsidRPr="000B5E96">
        <w:rPr>
          <w:rFonts w:ascii="Arial" w:hAnsi="Arial" w:cs="Arial"/>
        </w:rPr>
        <w:br w:type="page"/>
      </w:r>
    </w:p>
    <w:p w14:paraId="55E1DD2A" w14:textId="77777777" w:rsidR="006C070F" w:rsidRPr="000B5E96" w:rsidRDefault="00350C7C">
      <w:pPr>
        <w:pStyle w:val="Heading2"/>
        <w:keepNext w:val="0"/>
        <w:keepLines w:val="0"/>
        <w:spacing w:before="480" w:after="120"/>
        <w:rPr>
          <w:rFonts w:ascii="Arial" w:hAnsi="Arial" w:cs="Arial"/>
        </w:rPr>
      </w:pPr>
      <w:bookmarkStart w:id="31" w:name="_Toc237568574"/>
      <w:r w:rsidRPr="000B5E96">
        <w:rPr>
          <w:rFonts w:ascii="Arial" w:hAnsi="Arial" w:cs="Arial"/>
        </w:rPr>
        <w:t>Appendix C: Cultural Comparison Table – India and Vietnam</w:t>
      </w:r>
      <w:bookmarkEnd w:id="31"/>
    </w:p>
    <w:tbl>
      <w:tblPr>
        <w:tblStyle w:val="a5"/>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03"/>
        <w:gridCol w:w="1730"/>
        <w:gridCol w:w="1799"/>
        <w:gridCol w:w="1855"/>
        <w:gridCol w:w="1938"/>
      </w:tblGrid>
      <w:tr w:rsidR="006C070F" w:rsidRPr="000B5E96" w14:paraId="2C63290C" w14:textId="77777777">
        <w:trPr>
          <w:trHeight w:val="1040"/>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EE8300" w14:textId="77777777" w:rsidR="006C070F" w:rsidRPr="000B5E96" w:rsidRDefault="00350C7C">
            <w:pPr>
              <w:jc w:val="center"/>
              <w:rPr>
                <w:rFonts w:ascii="Arial" w:hAnsi="Arial" w:cs="Arial"/>
              </w:rPr>
            </w:pPr>
            <w:r w:rsidRPr="000B5E96">
              <w:rPr>
                <w:rFonts w:ascii="Arial" w:hAnsi="Arial" w:cs="Arial"/>
                <w:b/>
                <w:bCs/>
              </w:rPr>
              <w:t>Cultural influence</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2482AC" w14:textId="77777777" w:rsidR="006C070F" w:rsidRPr="000B5E96" w:rsidRDefault="00350C7C">
            <w:pPr>
              <w:jc w:val="center"/>
              <w:rPr>
                <w:rFonts w:ascii="Arial" w:hAnsi="Arial" w:cs="Arial"/>
              </w:rPr>
            </w:pPr>
            <w:r w:rsidRPr="000B5E96">
              <w:rPr>
                <w:rFonts w:ascii="Arial" w:hAnsi="Arial" w:cs="Arial"/>
                <w:b/>
                <w:bCs/>
              </w:rPr>
              <w:t>India / TCS context</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B5DAFF" w14:textId="77777777" w:rsidR="006C070F" w:rsidRPr="000B5E96" w:rsidRDefault="00350C7C">
            <w:pPr>
              <w:jc w:val="center"/>
              <w:rPr>
                <w:rFonts w:ascii="Arial" w:hAnsi="Arial" w:cs="Arial"/>
              </w:rPr>
            </w:pPr>
            <w:r w:rsidRPr="000B5E96">
              <w:rPr>
                <w:rFonts w:ascii="Arial" w:hAnsi="Arial" w:cs="Arial"/>
                <w:b/>
                <w:bCs/>
              </w:rPr>
              <w:t>Vietnam context</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9F52A9" w14:textId="77777777" w:rsidR="006C070F" w:rsidRPr="000B5E96" w:rsidRDefault="00350C7C">
            <w:pPr>
              <w:jc w:val="center"/>
              <w:rPr>
                <w:rFonts w:ascii="Arial" w:hAnsi="Arial" w:cs="Arial"/>
              </w:rPr>
            </w:pPr>
            <w:r w:rsidRPr="000B5E96">
              <w:rPr>
                <w:rFonts w:ascii="Arial" w:hAnsi="Arial" w:cs="Arial"/>
                <w:b/>
                <w:bCs/>
              </w:rPr>
              <w:t>Potential implication for TCS</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32F80F" w14:textId="77777777" w:rsidR="006C070F" w:rsidRPr="000B5E96" w:rsidRDefault="00350C7C">
            <w:pPr>
              <w:jc w:val="center"/>
              <w:rPr>
                <w:rFonts w:ascii="Arial" w:hAnsi="Arial" w:cs="Arial"/>
              </w:rPr>
            </w:pPr>
            <w:r w:rsidRPr="000B5E96">
              <w:rPr>
                <w:rFonts w:ascii="Arial" w:hAnsi="Arial" w:cs="Arial"/>
                <w:b/>
                <w:bCs/>
              </w:rPr>
              <w:t>Recommended response</w:t>
            </w:r>
          </w:p>
        </w:tc>
      </w:tr>
      <w:tr w:rsidR="006C070F" w:rsidRPr="000B5E96" w14:paraId="4D62B7AF" w14:textId="77777777">
        <w:trPr>
          <w:trHeight w:val="2945"/>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2A83C7" w14:textId="77777777" w:rsidR="006C070F" w:rsidRPr="000B5E96" w:rsidRDefault="00350C7C">
            <w:pPr>
              <w:rPr>
                <w:rFonts w:ascii="Arial" w:hAnsi="Arial" w:cs="Arial"/>
              </w:rPr>
            </w:pPr>
            <w:r w:rsidRPr="000B5E96">
              <w:rPr>
                <w:rFonts w:ascii="Arial" w:hAnsi="Arial" w:cs="Arial"/>
                <w:b/>
                <w:bCs/>
              </w:rPr>
              <w:t>Hierarchy / Power distance</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0E6201" w14:textId="77777777" w:rsidR="006C070F" w:rsidRPr="000B5E96" w:rsidRDefault="00350C7C">
            <w:pPr>
              <w:rPr>
                <w:rFonts w:ascii="Arial" w:hAnsi="Arial" w:cs="Arial"/>
              </w:rPr>
            </w:pPr>
            <w:r w:rsidRPr="000B5E96">
              <w:rPr>
                <w:rFonts w:ascii="Arial" w:hAnsi="Arial" w:cs="Arial"/>
              </w:rPr>
              <w:t>Indian corporate settings can involve clear status and seniority structures. TCS also operates through formal global project governance.</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28BD1" w14:textId="77777777" w:rsidR="006C070F" w:rsidRPr="000B5E96" w:rsidRDefault="00350C7C">
            <w:pPr>
              <w:rPr>
                <w:rFonts w:ascii="Arial" w:hAnsi="Arial" w:cs="Arial"/>
              </w:rPr>
            </w:pPr>
            <w:r w:rsidRPr="000B5E96">
              <w:rPr>
                <w:rFonts w:ascii="Arial" w:hAnsi="Arial" w:cs="Arial"/>
              </w:rPr>
              <w:t>Vietnamese workplaces commonly attach importance to hierarchy, age and seniority.</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4AA765" w14:textId="77777777" w:rsidR="006C070F" w:rsidRPr="000B5E96" w:rsidRDefault="00350C7C">
            <w:pPr>
              <w:rPr>
                <w:rFonts w:ascii="Arial" w:hAnsi="Arial" w:cs="Arial"/>
              </w:rPr>
            </w:pPr>
            <w:r w:rsidRPr="000B5E96">
              <w:rPr>
                <w:rFonts w:ascii="Arial" w:hAnsi="Arial" w:cs="Arial"/>
              </w:rPr>
              <w:t>Similarity may ease managerial adaptation, but strong hierarchy could discourage junior employees from reporting project or cybersecurity problems.</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498B1" w14:textId="77777777" w:rsidR="006C070F" w:rsidRPr="000B5E96" w:rsidRDefault="00350C7C">
            <w:pPr>
              <w:rPr>
                <w:rFonts w:ascii="Arial" w:hAnsi="Arial" w:cs="Arial"/>
              </w:rPr>
            </w:pPr>
            <w:r w:rsidRPr="000B5E96">
              <w:rPr>
                <w:rFonts w:ascii="Arial" w:hAnsi="Arial" w:cs="Arial"/>
              </w:rPr>
              <w:t>Maintain clear responsibility while providing anonymous escalation, retrospectives and explicit invitations to challenge decisions.</w:t>
            </w:r>
          </w:p>
        </w:tc>
      </w:tr>
      <w:tr w:rsidR="006C070F" w:rsidRPr="000B5E96" w14:paraId="682B8EAD" w14:textId="77777777">
        <w:trPr>
          <w:trHeight w:val="2675"/>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2D984D" w14:textId="77777777" w:rsidR="006C070F" w:rsidRPr="000B5E96" w:rsidRDefault="00350C7C">
            <w:pPr>
              <w:rPr>
                <w:rFonts w:ascii="Arial" w:hAnsi="Arial" w:cs="Arial"/>
              </w:rPr>
            </w:pPr>
            <w:r w:rsidRPr="000B5E96">
              <w:rPr>
                <w:rFonts w:ascii="Arial" w:hAnsi="Arial" w:cs="Arial"/>
                <w:b/>
                <w:bCs/>
              </w:rPr>
              <w:t>Collectivism</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38B91B" w14:textId="77777777" w:rsidR="006C070F" w:rsidRPr="000B5E96" w:rsidRDefault="00350C7C">
            <w:pPr>
              <w:rPr>
                <w:rFonts w:ascii="Arial" w:hAnsi="Arial" w:cs="Arial"/>
              </w:rPr>
            </w:pPr>
            <w:r w:rsidRPr="000B5E96">
              <w:rPr>
                <w:rFonts w:ascii="Arial" w:hAnsi="Arial" w:cs="Arial"/>
              </w:rPr>
              <w:t>Relationships, teams and organisational affiliation can be influential in Indian business culture.</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2239AB" w14:textId="77777777" w:rsidR="006C070F" w:rsidRPr="000B5E96" w:rsidRDefault="00350C7C">
            <w:pPr>
              <w:rPr>
                <w:rFonts w:ascii="Arial" w:hAnsi="Arial" w:cs="Arial"/>
              </w:rPr>
            </w:pPr>
            <w:r w:rsidRPr="000B5E96">
              <w:rPr>
                <w:rFonts w:ascii="Arial" w:hAnsi="Arial" w:cs="Arial"/>
              </w:rPr>
              <w:t>Vietnamese culture places considerable emphasis on group harmony, belonging and collective relationships.</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B2E82" w14:textId="77777777" w:rsidR="006C070F" w:rsidRPr="000B5E96" w:rsidRDefault="00350C7C">
            <w:pPr>
              <w:rPr>
                <w:rFonts w:ascii="Arial" w:hAnsi="Arial" w:cs="Arial"/>
              </w:rPr>
            </w:pPr>
            <w:r w:rsidRPr="000B5E96">
              <w:rPr>
                <w:rFonts w:ascii="Arial" w:hAnsi="Arial" w:cs="Arial"/>
              </w:rPr>
              <w:t>Group orientation may support team-based delivery but individualistic reward systems may have weaker motivational effects.</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0425D2" w14:textId="77777777" w:rsidR="006C070F" w:rsidRPr="000B5E96" w:rsidRDefault="00350C7C">
            <w:pPr>
              <w:rPr>
                <w:rFonts w:ascii="Arial" w:hAnsi="Arial" w:cs="Arial"/>
              </w:rPr>
            </w:pPr>
            <w:r w:rsidRPr="000B5E96">
              <w:rPr>
                <w:rFonts w:ascii="Arial" w:hAnsi="Arial" w:cs="Arial"/>
              </w:rPr>
              <w:t>Combine individual performance assessment with team recognition, mentoring and shared objectives.</w:t>
            </w:r>
          </w:p>
        </w:tc>
      </w:tr>
      <w:tr w:rsidR="006C070F" w:rsidRPr="000B5E96" w14:paraId="060E5A39" w14:textId="77777777">
        <w:trPr>
          <w:trHeight w:val="2945"/>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D7530" w14:textId="77777777" w:rsidR="006C070F" w:rsidRPr="000B5E96" w:rsidRDefault="00350C7C">
            <w:pPr>
              <w:rPr>
                <w:rFonts w:ascii="Arial" w:hAnsi="Arial" w:cs="Arial"/>
              </w:rPr>
            </w:pPr>
            <w:r w:rsidRPr="000B5E96">
              <w:rPr>
                <w:rFonts w:ascii="Arial" w:hAnsi="Arial" w:cs="Arial"/>
                <w:b/>
                <w:bCs/>
              </w:rPr>
              <w:t>Relationship orientation</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559352" w14:textId="77777777" w:rsidR="006C070F" w:rsidRPr="000B5E96" w:rsidRDefault="00350C7C">
            <w:pPr>
              <w:rPr>
                <w:rFonts w:ascii="Arial" w:hAnsi="Arial" w:cs="Arial"/>
              </w:rPr>
            </w:pPr>
            <w:r w:rsidRPr="000B5E96">
              <w:rPr>
                <w:rFonts w:ascii="Arial" w:hAnsi="Arial" w:cs="Arial"/>
              </w:rPr>
              <w:t>Long-term relationships are important in Indian service-business contexts; TCS has extensive long-duration client relationships.</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01854E" w14:textId="77777777" w:rsidR="006C070F" w:rsidRPr="000B5E96" w:rsidRDefault="00350C7C">
            <w:pPr>
              <w:rPr>
                <w:rFonts w:ascii="Arial" w:hAnsi="Arial" w:cs="Arial"/>
              </w:rPr>
            </w:pPr>
            <w:r w:rsidRPr="000B5E96">
              <w:rPr>
                <w:rFonts w:ascii="Arial" w:hAnsi="Arial" w:cs="Arial"/>
              </w:rPr>
              <w:t>Trust and relationship development can be significant before commercial commitment.</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63FD58" w14:textId="77777777" w:rsidR="006C070F" w:rsidRPr="000B5E96" w:rsidRDefault="00350C7C">
            <w:pPr>
              <w:rPr>
                <w:rFonts w:ascii="Arial" w:hAnsi="Arial" w:cs="Arial"/>
              </w:rPr>
            </w:pPr>
            <w:r w:rsidRPr="000B5E96">
              <w:rPr>
                <w:rFonts w:ascii="Arial" w:hAnsi="Arial" w:cs="Arial"/>
              </w:rPr>
              <w:t>Aggressive transactional selling may reduce trust and increase resistance.</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FAE41E" w14:textId="77777777" w:rsidR="006C070F" w:rsidRPr="000B5E96" w:rsidRDefault="00350C7C">
            <w:pPr>
              <w:rPr>
                <w:rFonts w:ascii="Arial" w:hAnsi="Arial" w:cs="Arial"/>
              </w:rPr>
            </w:pPr>
            <w:r w:rsidRPr="000B5E96">
              <w:rPr>
                <w:rFonts w:ascii="Arial" w:hAnsi="Arial" w:cs="Arial"/>
              </w:rPr>
              <w:t>Employ Vietnamese account leaders and invest in long-term stakeholder relationships.</w:t>
            </w:r>
          </w:p>
        </w:tc>
      </w:tr>
      <w:tr w:rsidR="006C070F" w:rsidRPr="000B5E96" w14:paraId="0F5E7A6C" w14:textId="77777777">
        <w:trPr>
          <w:trHeight w:val="2135"/>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A7F1FA" w14:textId="77777777" w:rsidR="006C070F" w:rsidRPr="000B5E96" w:rsidRDefault="00350C7C">
            <w:pPr>
              <w:rPr>
                <w:rFonts w:ascii="Arial" w:hAnsi="Arial" w:cs="Arial"/>
              </w:rPr>
            </w:pPr>
            <w:r w:rsidRPr="000B5E96">
              <w:rPr>
                <w:rFonts w:ascii="Arial" w:hAnsi="Arial" w:cs="Arial"/>
                <w:b/>
                <w:bCs/>
              </w:rPr>
              <w:t>Face and social harmony</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FB09A5" w14:textId="77777777" w:rsidR="006C070F" w:rsidRPr="000B5E96" w:rsidRDefault="00350C7C">
            <w:pPr>
              <w:rPr>
                <w:rFonts w:ascii="Arial" w:hAnsi="Arial" w:cs="Arial"/>
              </w:rPr>
            </w:pPr>
            <w:r w:rsidRPr="000B5E96">
              <w:rPr>
                <w:rFonts w:ascii="Arial" w:hAnsi="Arial" w:cs="Arial"/>
              </w:rPr>
              <w:t>Respectful communication and status awareness are also present in India.</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ADC24D" w14:textId="77777777" w:rsidR="006C070F" w:rsidRPr="000B5E96" w:rsidRDefault="00350C7C">
            <w:pPr>
              <w:rPr>
                <w:rFonts w:ascii="Arial" w:hAnsi="Arial" w:cs="Arial"/>
              </w:rPr>
            </w:pPr>
            <w:r w:rsidRPr="000B5E96">
              <w:rPr>
                <w:rFonts w:ascii="Arial" w:hAnsi="Arial" w:cs="Arial"/>
              </w:rPr>
              <w:t>Protecting face and avoiding public embarrassment can be particularly important.</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03E921" w14:textId="77777777" w:rsidR="006C070F" w:rsidRPr="000B5E96" w:rsidRDefault="00350C7C">
            <w:pPr>
              <w:rPr>
                <w:rFonts w:ascii="Arial" w:hAnsi="Arial" w:cs="Arial"/>
              </w:rPr>
            </w:pPr>
            <w:r w:rsidRPr="000B5E96">
              <w:rPr>
                <w:rFonts w:ascii="Arial" w:hAnsi="Arial" w:cs="Arial"/>
              </w:rPr>
              <w:t>Public criticism may weaken trust; employees may avoid openly challenging senior managers.</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1352DB" w14:textId="77777777" w:rsidR="006C070F" w:rsidRPr="000B5E96" w:rsidRDefault="00350C7C">
            <w:pPr>
              <w:rPr>
                <w:rFonts w:ascii="Arial" w:hAnsi="Arial" w:cs="Arial"/>
              </w:rPr>
            </w:pPr>
            <w:r w:rsidRPr="000B5E96">
              <w:rPr>
                <w:rFonts w:ascii="Arial" w:hAnsi="Arial" w:cs="Arial"/>
              </w:rPr>
              <w:t>Give sensitive feedback privately while creating formal channels for constructive disagreement.</w:t>
            </w:r>
          </w:p>
        </w:tc>
      </w:tr>
      <w:tr w:rsidR="006C070F" w:rsidRPr="000B5E96" w14:paraId="67DBA98E" w14:textId="77777777">
        <w:trPr>
          <w:trHeight w:val="2135"/>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8B3310" w14:textId="77777777" w:rsidR="006C070F" w:rsidRPr="000B5E96" w:rsidRDefault="00350C7C">
            <w:pPr>
              <w:rPr>
                <w:rFonts w:ascii="Arial" w:hAnsi="Arial" w:cs="Arial"/>
              </w:rPr>
            </w:pPr>
            <w:r w:rsidRPr="000B5E96">
              <w:rPr>
                <w:rFonts w:ascii="Arial" w:hAnsi="Arial" w:cs="Arial"/>
                <w:b/>
                <w:bCs/>
              </w:rPr>
              <w:t>Direct vs indirect communication</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32BEA3" w14:textId="77777777" w:rsidR="006C070F" w:rsidRPr="000B5E96" w:rsidRDefault="00350C7C">
            <w:pPr>
              <w:rPr>
                <w:rFonts w:ascii="Arial" w:hAnsi="Arial" w:cs="Arial"/>
              </w:rPr>
            </w:pPr>
            <w:r w:rsidRPr="000B5E96">
              <w:rPr>
                <w:rFonts w:ascii="Arial" w:hAnsi="Arial" w:cs="Arial"/>
              </w:rPr>
              <w:t>Indian global IT teams frequently use English and relatively direct project-management language.</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C8342D" w14:textId="77777777" w:rsidR="006C070F" w:rsidRPr="000B5E96" w:rsidRDefault="00350C7C">
            <w:pPr>
              <w:rPr>
                <w:rFonts w:ascii="Arial" w:hAnsi="Arial" w:cs="Arial"/>
              </w:rPr>
            </w:pPr>
            <w:r w:rsidRPr="000B5E96">
              <w:rPr>
                <w:rFonts w:ascii="Arial" w:hAnsi="Arial" w:cs="Arial"/>
              </w:rPr>
              <w:t>Communication may be more indirect when disagreement or criticism is involved.</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868EB1" w14:textId="77777777" w:rsidR="006C070F" w:rsidRPr="000B5E96" w:rsidRDefault="00350C7C">
            <w:pPr>
              <w:rPr>
                <w:rFonts w:ascii="Arial" w:hAnsi="Arial" w:cs="Arial"/>
              </w:rPr>
            </w:pPr>
            <w:r w:rsidRPr="000B5E96">
              <w:rPr>
                <w:rFonts w:ascii="Arial" w:hAnsi="Arial" w:cs="Arial"/>
              </w:rPr>
              <w:t>Apparent agreement may not always indicate genuine support or understanding.</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1D0F2B" w14:textId="77777777" w:rsidR="006C070F" w:rsidRPr="000B5E96" w:rsidRDefault="00350C7C">
            <w:pPr>
              <w:rPr>
                <w:rFonts w:ascii="Arial" w:hAnsi="Arial" w:cs="Arial"/>
              </w:rPr>
            </w:pPr>
            <w:r w:rsidRPr="000B5E96">
              <w:rPr>
                <w:rFonts w:ascii="Arial" w:hAnsi="Arial" w:cs="Arial"/>
              </w:rPr>
              <w:t>Confirm decisions through follow-up questions, written documentation and culturally aware facilitation.</w:t>
            </w:r>
          </w:p>
        </w:tc>
      </w:tr>
      <w:tr w:rsidR="006C070F" w:rsidRPr="000B5E96" w14:paraId="395776D3" w14:textId="77777777">
        <w:trPr>
          <w:trHeight w:val="2675"/>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048A9E" w14:textId="77777777" w:rsidR="006C070F" w:rsidRPr="000B5E96" w:rsidRDefault="00350C7C">
            <w:pPr>
              <w:rPr>
                <w:rFonts w:ascii="Arial" w:hAnsi="Arial" w:cs="Arial"/>
              </w:rPr>
            </w:pPr>
            <w:r w:rsidRPr="000B5E96">
              <w:rPr>
                <w:rFonts w:ascii="Arial" w:hAnsi="Arial" w:cs="Arial"/>
                <w:b/>
                <w:bCs/>
              </w:rPr>
              <w:t>Language</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46CE07" w14:textId="77777777" w:rsidR="006C070F" w:rsidRPr="000B5E96" w:rsidRDefault="00350C7C">
            <w:pPr>
              <w:rPr>
                <w:rFonts w:ascii="Arial" w:hAnsi="Arial" w:cs="Arial"/>
              </w:rPr>
            </w:pPr>
            <w:r w:rsidRPr="000B5E96">
              <w:rPr>
                <w:rFonts w:ascii="Arial" w:hAnsi="Arial" w:cs="Arial"/>
              </w:rPr>
              <w:t>English is extensively used within TCS's international delivery model.</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5ABB7B" w14:textId="77777777" w:rsidR="006C070F" w:rsidRPr="000B5E96" w:rsidRDefault="00350C7C">
            <w:pPr>
              <w:rPr>
                <w:rFonts w:ascii="Arial" w:hAnsi="Arial" w:cs="Arial"/>
              </w:rPr>
            </w:pPr>
            <w:r w:rsidRPr="000B5E96">
              <w:rPr>
                <w:rFonts w:ascii="Arial" w:hAnsi="Arial" w:cs="Arial"/>
              </w:rPr>
              <w:t>Vietnamese is dominant locally, while English proficiency varies by employee, industry and role.</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74ED4" w14:textId="77777777" w:rsidR="006C070F" w:rsidRPr="000B5E96" w:rsidRDefault="00350C7C">
            <w:pPr>
              <w:rPr>
                <w:rFonts w:ascii="Arial" w:hAnsi="Arial" w:cs="Arial"/>
              </w:rPr>
            </w:pPr>
            <w:r w:rsidRPr="000B5E96">
              <w:rPr>
                <w:rFonts w:ascii="Arial" w:hAnsi="Arial" w:cs="Arial"/>
              </w:rPr>
              <w:t>Language differences can influence requirements gathering, technical discussions and customer relationships.</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F7D948" w14:textId="77777777" w:rsidR="006C070F" w:rsidRPr="000B5E96" w:rsidRDefault="00350C7C">
            <w:pPr>
              <w:rPr>
                <w:rFonts w:ascii="Arial" w:hAnsi="Arial" w:cs="Arial"/>
              </w:rPr>
            </w:pPr>
            <w:r w:rsidRPr="000B5E96">
              <w:rPr>
                <w:rFonts w:ascii="Arial" w:hAnsi="Arial" w:cs="Arial"/>
              </w:rPr>
              <w:t>Use bilingual client teams and provide English development for local staff and basic Vietnamese cultural/language preparation for expatriates.</w:t>
            </w:r>
          </w:p>
        </w:tc>
      </w:tr>
      <w:tr w:rsidR="006C070F" w:rsidRPr="000B5E96" w14:paraId="76CE44AA" w14:textId="77777777">
        <w:trPr>
          <w:trHeight w:val="2675"/>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6440F" w14:textId="77777777" w:rsidR="006C070F" w:rsidRPr="000B5E96" w:rsidRDefault="00350C7C">
            <w:pPr>
              <w:rPr>
                <w:rFonts w:ascii="Arial" w:hAnsi="Arial" w:cs="Arial"/>
              </w:rPr>
            </w:pPr>
            <w:r w:rsidRPr="000B5E96">
              <w:rPr>
                <w:rFonts w:ascii="Arial" w:hAnsi="Arial" w:cs="Arial"/>
                <w:b/>
                <w:bCs/>
              </w:rPr>
              <w:t>Conflict management</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DD143" w14:textId="77777777" w:rsidR="006C070F" w:rsidRPr="000B5E96" w:rsidRDefault="00350C7C">
            <w:pPr>
              <w:rPr>
                <w:rFonts w:ascii="Arial" w:hAnsi="Arial" w:cs="Arial"/>
              </w:rPr>
            </w:pPr>
            <w:r w:rsidRPr="000B5E96">
              <w:rPr>
                <w:rFonts w:ascii="Arial" w:hAnsi="Arial" w:cs="Arial"/>
              </w:rPr>
              <w:t>Global agile delivery requires issues to be raised rapidly.</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F1BAB4" w14:textId="77777777" w:rsidR="006C070F" w:rsidRPr="000B5E96" w:rsidRDefault="00350C7C">
            <w:pPr>
              <w:rPr>
                <w:rFonts w:ascii="Arial" w:hAnsi="Arial" w:cs="Arial"/>
              </w:rPr>
            </w:pPr>
            <w:r w:rsidRPr="000B5E96">
              <w:rPr>
                <w:rFonts w:ascii="Arial" w:hAnsi="Arial" w:cs="Arial"/>
              </w:rPr>
              <w:t>Open confrontation may sometimes conflict with preferences for harmony and face preservation.</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944A2E" w14:textId="77777777" w:rsidR="006C070F" w:rsidRPr="000B5E96" w:rsidRDefault="00350C7C">
            <w:pPr>
              <w:rPr>
                <w:rFonts w:ascii="Arial" w:hAnsi="Arial" w:cs="Arial"/>
              </w:rPr>
            </w:pPr>
            <w:r w:rsidRPr="000B5E96">
              <w:rPr>
                <w:rFonts w:ascii="Arial" w:hAnsi="Arial" w:cs="Arial"/>
              </w:rPr>
              <w:t>Defects, cyber risks or unrealistic deadlines could remain unchallenged.</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EEA8CA" w14:textId="77777777" w:rsidR="006C070F" w:rsidRPr="000B5E96" w:rsidRDefault="00350C7C">
            <w:pPr>
              <w:rPr>
                <w:rFonts w:ascii="Arial" w:hAnsi="Arial" w:cs="Arial"/>
              </w:rPr>
            </w:pPr>
            <w:r w:rsidRPr="000B5E96">
              <w:rPr>
                <w:rFonts w:ascii="Arial" w:hAnsi="Arial" w:cs="Arial"/>
              </w:rPr>
              <w:t>Promote “respectful challenge”: privately raise sensitive disagreements but never suppress operational escalation.</w:t>
            </w:r>
          </w:p>
        </w:tc>
      </w:tr>
      <w:tr w:rsidR="006C070F" w:rsidRPr="000B5E96" w14:paraId="6878D4A9" w14:textId="77777777">
        <w:trPr>
          <w:trHeight w:val="1865"/>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2D348D" w14:textId="77777777" w:rsidR="006C070F" w:rsidRPr="000B5E96" w:rsidRDefault="00350C7C">
            <w:pPr>
              <w:rPr>
                <w:rFonts w:ascii="Arial" w:hAnsi="Arial" w:cs="Arial"/>
              </w:rPr>
            </w:pPr>
            <w:r w:rsidRPr="000B5E96">
              <w:rPr>
                <w:rFonts w:ascii="Arial" w:hAnsi="Arial" w:cs="Arial"/>
                <w:b/>
                <w:bCs/>
              </w:rPr>
              <w:t>Decision-making</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45FCBB" w14:textId="77777777" w:rsidR="006C070F" w:rsidRPr="000B5E96" w:rsidRDefault="00350C7C">
            <w:pPr>
              <w:rPr>
                <w:rFonts w:ascii="Arial" w:hAnsi="Arial" w:cs="Arial"/>
              </w:rPr>
            </w:pPr>
            <w:r w:rsidRPr="000B5E96">
              <w:rPr>
                <w:rFonts w:ascii="Arial" w:hAnsi="Arial" w:cs="Arial"/>
              </w:rPr>
              <w:t>TCS combines global governance with local client-management autonomy.</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FD8745" w14:textId="77777777" w:rsidR="006C070F" w:rsidRPr="000B5E96" w:rsidRDefault="00350C7C">
            <w:pPr>
              <w:rPr>
                <w:rFonts w:ascii="Arial" w:hAnsi="Arial" w:cs="Arial"/>
              </w:rPr>
            </w:pPr>
            <w:r w:rsidRPr="000B5E96">
              <w:rPr>
                <w:rFonts w:ascii="Arial" w:hAnsi="Arial" w:cs="Arial"/>
              </w:rPr>
              <w:t>Senior approval and relationship consensus may influence decisions.</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3B4D4B" w14:textId="77777777" w:rsidR="006C070F" w:rsidRPr="000B5E96" w:rsidRDefault="00350C7C">
            <w:pPr>
              <w:rPr>
                <w:rFonts w:ascii="Arial" w:hAnsi="Arial" w:cs="Arial"/>
              </w:rPr>
            </w:pPr>
            <w:r w:rsidRPr="000B5E96">
              <w:rPr>
                <w:rFonts w:ascii="Arial" w:hAnsi="Arial" w:cs="Arial"/>
              </w:rPr>
              <w:t>Sales cycles and project approvals may take longer than expected.</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10E6F4" w14:textId="77777777" w:rsidR="006C070F" w:rsidRPr="000B5E96" w:rsidRDefault="00350C7C">
            <w:pPr>
              <w:rPr>
                <w:rFonts w:ascii="Arial" w:hAnsi="Arial" w:cs="Arial"/>
              </w:rPr>
            </w:pPr>
            <w:r w:rsidRPr="000B5E96">
              <w:rPr>
                <w:rFonts w:ascii="Arial" w:hAnsi="Arial" w:cs="Arial"/>
              </w:rPr>
              <w:t>Build additional time for consultation and engage senior Vietnamese stakeholders early.</w:t>
            </w:r>
          </w:p>
        </w:tc>
      </w:tr>
      <w:tr w:rsidR="006C070F" w:rsidRPr="000B5E96" w14:paraId="77FBC2A0" w14:textId="77777777">
        <w:trPr>
          <w:trHeight w:val="2675"/>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83562B" w14:textId="77777777" w:rsidR="006C070F" w:rsidRPr="000B5E96" w:rsidRDefault="00350C7C">
            <w:pPr>
              <w:rPr>
                <w:rFonts w:ascii="Arial" w:hAnsi="Arial" w:cs="Arial"/>
              </w:rPr>
            </w:pPr>
            <w:r w:rsidRPr="000B5E96">
              <w:rPr>
                <w:rFonts w:ascii="Arial" w:hAnsi="Arial" w:cs="Arial"/>
                <w:b/>
                <w:bCs/>
              </w:rPr>
              <w:t>Leadership</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8DBCB7" w14:textId="77777777" w:rsidR="006C070F" w:rsidRPr="000B5E96" w:rsidRDefault="00350C7C">
            <w:pPr>
              <w:rPr>
                <w:rFonts w:ascii="Arial" w:hAnsi="Arial" w:cs="Arial"/>
              </w:rPr>
            </w:pPr>
            <w:r w:rsidRPr="000B5E96">
              <w:rPr>
                <w:rFonts w:ascii="Arial" w:hAnsi="Arial" w:cs="Arial"/>
              </w:rPr>
              <w:t>TCS can transfer experienced Indian and international managers.</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D6D28" w14:textId="77777777" w:rsidR="006C070F" w:rsidRPr="000B5E96" w:rsidRDefault="00350C7C">
            <w:pPr>
              <w:rPr>
                <w:rFonts w:ascii="Arial" w:hAnsi="Arial" w:cs="Arial"/>
              </w:rPr>
            </w:pPr>
            <w:r w:rsidRPr="000B5E96">
              <w:rPr>
                <w:rFonts w:ascii="Arial" w:hAnsi="Arial" w:cs="Arial"/>
              </w:rPr>
              <w:t>Local employees and clients may respond more effectively to managers who understand Vietnamese cultural cues.</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A1659C" w14:textId="77777777" w:rsidR="006C070F" w:rsidRPr="000B5E96" w:rsidRDefault="00350C7C">
            <w:pPr>
              <w:rPr>
                <w:rFonts w:ascii="Arial" w:hAnsi="Arial" w:cs="Arial"/>
              </w:rPr>
            </w:pPr>
            <w:r w:rsidRPr="000B5E96">
              <w:rPr>
                <w:rFonts w:ascii="Arial" w:hAnsi="Arial" w:cs="Arial"/>
              </w:rPr>
              <w:t>Overdependence on expatriates could produce cultural distance and weak local legitimacy.</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C3CF7D" w14:textId="77777777" w:rsidR="006C070F" w:rsidRPr="000B5E96" w:rsidRDefault="00350C7C">
            <w:pPr>
              <w:rPr>
                <w:rFonts w:ascii="Arial" w:hAnsi="Arial" w:cs="Arial"/>
              </w:rPr>
            </w:pPr>
            <w:r w:rsidRPr="000B5E96">
              <w:rPr>
                <w:rFonts w:ascii="Arial" w:hAnsi="Arial" w:cs="Arial"/>
              </w:rPr>
              <w:t xml:space="preserve">Use a mixed </w:t>
            </w:r>
            <w:r w:rsidRPr="000B5E96">
              <w:rPr>
                <w:rFonts w:ascii="Arial" w:hAnsi="Arial" w:cs="Arial"/>
                <w:b/>
                <w:bCs/>
              </w:rPr>
              <w:t>Vietnamese–Indian leadership team</w:t>
            </w:r>
            <w:r w:rsidRPr="000B5E96">
              <w:rPr>
                <w:rFonts w:ascii="Arial" w:hAnsi="Arial" w:cs="Arial"/>
              </w:rPr>
              <w:t>, with Vietnamese managers in meaningful decision-making positions.</w:t>
            </w:r>
          </w:p>
        </w:tc>
      </w:tr>
      <w:tr w:rsidR="006C070F" w:rsidRPr="000B5E96" w14:paraId="76ED0226" w14:textId="77777777">
        <w:trPr>
          <w:trHeight w:val="3500"/>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667AA0" w14:textId="77777777" w:rsidR="006C070F" w:rsidRPr="000B5E96" w:rsidRDefault="00350C7C">
            <w:pPr>
              <w:rPr>
                <w:rFonts w:ascii="Arial" w:hAnsi="Arial" w:cs="Arial"/>
              </w:rPr>
            </w:pPr>
            <w:r w:rsidRPr="000B5E96">
              <w:rPr>
                <w:rFonts w:ascii="Arial" w:hAnsi="Arial" w:cs="Arial"/>
                <w:b/>
                <w:bCs/>
              </w:rPr>
              <w:t>Employee development</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7B0166" w14:textId="77777777" w:rsidR="006C070F" w:rsidRPr="000B5E96" w:rsidRDefault="00350C7C">
            <w:pPr>
              <w:rPr>
                <w:rFonts w:ascii="Arial" w:hAnsi="Arial" w:cs="Arial"/>
              </w:rPr>
            </w:pPr>
            <w:r w:rsidRPr="000B5E96">
              <w:rPr>
                <w:rFonts w:ascii="Arial" w:hAnsi="Arial" w:cs="Arial"/>
              </w:rPr>
              <w:t>TCS possesses extensive learning and skills-development infrastructure.</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18583" w14:textId="77777777" w:rsidR="006C070F" w:rsidRPr="000B5E96" w:rsidRDefault="00350C7C">
            <w:pPr>
              <w:rPr>
                <w:rFonts w:ascii="Arial" w:hAnsi="Arial" w:cs="Arial"/>
              </w:rPr>
            </w:pPr>
            <w:r w:rsidRPr="000B5E96">
              <w:rPr>
                <w:rFonts w:ascii="Arial" w:hAnsi="Arial" w:cs="Arial"/>
              </w:rPr>
              <w:t>Skills development, career progression and employment security can influence retention, particularly amid technology-sector skills shortages.</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9BDC2B" w14:textId="77777777" w:rsidR="006C070F" w:rsidRPr="000B5E96" w:rsidRDefault="00350C7C">
            <w:pPr>
              <w:rPr>
                <w:rFonts w:ascii="Arial" w:hAnsi="Arial" w:cs="Arial"/>
              </w:rPr>
            </w:pPr>
            <w:r w:rsidRPr="000B5E96">
              <w:rPr>
                <w:rFonts w:ascii="Arial" w:hAnsi="Arial" w:cs="Arial"/>
              </w:rPr>
              <w:t>Failure to provide development could increase attrition among strong digital talent.</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5A0E8E" w14:textId="77777777" w:rsidR="006C070F" w:rsidRPr="000B5E96" w:rsidRDefault="00350C7C">
            <w:pPr>
              <w:rPr>
                <w:rFonts w:ascii="Arial" w:hAnsi="Arial" w:cs="Arial"/>
              </w:rPr>
            </w:pPr>
            <w:r w:rsidRPr="000B5E96">
              <w:rPr>
                <w:rFonts w:ascii="Arial" w:hAnsi="Arial" w:cs="Arial"/>
              </w:rPr>
              <w:t>Offer visible AI, cloud and cybersecurity pathways, mentoring and recognised certifications.</w:t>
            </w:r>
          </w:p>
        </w:tc>
      </w:tr>
      <w:tr w:rsidR="006C070F" w:rsidRPr="000B5E96" w14:paraId="5DB40A77" w14:textId="77777777">
        <w:trPr>
          <w:trHeight w:val="2405"/>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85E38" w14:textId="77777777" w:rsidR="006C070F" w:rsidRPr="000B5E96" w:rsidRDefault="00350C7C">
            <w:pPr>
              <w:rPr>
                <w:rFonts w:ascii="Arial" w:hAnsi="Arial" w:cs="Arial"/>
              </w:rPr>
            </w:pPr>
            <w:r w:rsidRPr="000B5E96">
              <w:rPr>
                <w:rFonts w:ascii="Arial" w:hAnsi="Arial" w:cs="Arial"/>
                <w:b/>
                <w:bCs/>
              </w:rPr>
              <w:t>Technology adoption culture</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C37DD0" w14:textId="77777777" w:rsidR="006C070F" w:rsidRPr="000B5E96" w:rsidRDefault="00350C7C">
            <w:pPr>
              <w:rPr>
                <w:rFonts w:ascii="Arial" w:hAnsi="Arial" w:cs="Arial"/>
              </w:rPr>
            </w:pPr>
            <w:r w:rsidRPr="000B5E96">
              <w:rPr>
                <w:rFonts w:ascii="Arial" w:hAnsi="Arial" w:cs="Arial"/>
              </w:rPr>
              <w:t>TCS's model emphasises rapid technological transformation and global best practices.</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BE4498" w14:textId="77777777" w:rsidR="006C070F" w:rsidRPr="000B5E96" w:rsidRDefault="00350C7C">
            <w:pPr>
              <w:rPr>
                <w:rFonts w:ascii="Arial" w:hAnsi="Arial" w:cs="Arial"/>
              </w:rPr>
            </w:pPr>
            <w:r w:rsidRPr="000B5E96">
              <w:rPr>
                <w:rFonts w:ascii="Arial" w:hAnsi="Arial" w:cs="Arial"/>
              </w:rPr>
              <w:t>Vietnamese organisations differ significantly in digital readiness and managerial acceptance of change.</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5A3F40" w14:textId="77777777" w:rsidR="006C070F" w:rsidRPr="000B5E96" w:rsidRDefault="00350C7C">
            <w:pPr>
              <w:rPr>
                <w:rFonts w:ascii="Arial" w:hAnsi="Arial" w:cs="Arial"/>
              </w:rPr>
            </w:pPr>
            <w:r w:rsidRPr="000B5E96">
              <w:rPr>
                <w:rFonts w:ascii="Arial" w:hAnsi="Arial" w:cs="Arial"/>
              </w:rPr>
              <w:t>Technically superior solutions may still fail when organisational readiness is weak.</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3977C1" w14:textId="77777777" w:rsidR="006C070F" w:rsidRPr="000B5E96" w:rsidRDefault="00350C7C">
            <w:pPr>
              <w:rPr>
                <w:rFonts w:ascii="Arial" w:hAnsi="Arial" w:cs="Arial"/>
              </w:rPr>
            </w:pPr>
            <w:r w:rsidRPr="000B5E96">
              <w:rPr>
                <w:rFonts w:ascii="Arial" w:hAnsi="Arial" w:cs="Arial"/>
              </w:rPr>
              <w:t>Combine technology deployment with leadership engagement, training, change management and staged adoption.</w:t>
            </w:r>
          </w:p>
        </w:tc>
      </w:tr>
      <w:tr w:rsidR="006C070F" w:rsidRPr="000B5E96" w14:paraId="7F831D94" w14:textId="77777777">
        <w:trPr>
          <w:trHeight w:val="2945"/>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271E3" w14:textId="77777777" w:rsidR="006C070F" w:rsidRPr="000B5E96" w:rsidRDefault="00350C7C">
            <w:pPr>
              <w:rPr>
                <w:rFonts w:ascii="Arial" w:hAnsi="Arial" w:cs="Arial"/>
              </w:rPr>
            </w:pPr>
            <w:r w:rsidRPr="000B5E96">
              <w:rPr>
                <w:rFonts w:ascii="Arial" w:hAnsi="Arial" w:cs="Arial"/>
                <w:b/>
                <w:bCs/>
              </w:rPr>
              <w:t>Cultural diversity within Vietnam</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D7F890" w14:textId="77777777" w:rsidR="006C070F" w:rsidRPr="000B5E96" w:rsidRDefault="00350C7C">
            <w:pPr>
              <w:rPr>
                <w:rFonts w:ascii="Arial" w:hAnsi="Arial" w:cs="Arial"/>
              </w:rPr>
            </w:pPr>
            <w:r w:rsidRPr="000B5E96">
              <w:rPr>
                <w:rFonts w:ascii="Arial" w:hAnsi="Arial" w:cs="Arial"/>
              </w:rPr>
              <w:t>TCS is accustomed to heterogeneous international workforces.</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7AA1E" w14:textId="77777777" w:rsidR="006C070F" w:rsidRPr="000B5E96" w:rsidRDefault="00350C7C">
            <w:pPr>
              <w:rPr>
                <w:rFonts w:ascii="Arial" w:hAnsi="Arial" w:cs="Arial"/>
              </w:rPr>
            </w:pPr>
            <w:r w:rsidRPr="000B5E96">
              <w:rPr>
                <w:rFonts w:ascii="Arial" w:hAnsi="Arial" w:cs="Arial"/>
              </w:rPr>
              <w:t>Vietnamese national-culture measures cannot fully represent young urban professionals, internationally educated workers or employees of foreign firms.</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F619D6" w14:textId="77777777" w:rsidR="006C070F" w:rsidRPr="000B5E96" w:rsidRDefault="00350C7C">
            <w:pPr>
              <w:rPr>
                <w:rFonts w:ascii="Arial" w:hAnsi="Arial" w:cs="Arial"/>
              </w:rPr>
            </w:pPr>
            <w:r w:rsidRPr="000B5E96">
              <w:rPr>
                <w:rFonts w:ascii="Arial" w:hAnsi="Arial" w:cs="Arial"/>
              </w:rPr>
              <w:t>Relying mechanically on national cultural stereotypes could produce poor HR decisions.</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4A17E2" w14:textId="77777777" w:rsidR="006C070F" w:rsidRPr="000B5E96" w:rsidRDefault="00350C7C">
            <w:pPr>
              <w:rPr>
                <w:rFonts w:ascii="Arial" w:hAnsi="Arial" w:cs="Arial"/>
              </w:rPr>
            </w:pPr>
            <w:r w:rsidRPr="000B5E96">
              <w:rPr>
                <w:rFonts w:ascii="Arial" w:hAnsi="Arial" w:cs="Arial"/>
              </w:rPr>
              <w:t>Treat cultural frameworks as guidance and validate assumptions through employee/client feedback.</w:t>
            </w:r>
          </w:p>
        </w:tc>
      </w:tr>
      <w:tr w:rsidR="006C070F" w:rsidRPr="000B5E96" w14:paraId="47BE2796" w14:textId="77777777">
        <w:trPr>
          <w:trHeight w:val="3215"/>
        </w:trPr>
        <w:tc>
          <w:tcPr>
            <w:tcW w:w="17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2A6DB" w14:textId="77777777" w:rsidR="006C070F" w:rsidRPr="000B5E96" w:rsidRDefault="00350C7C">
            <w:pPr>
              <w:rPr>
                <w:rFonts w:ascii="Arial" w:hAnsi="Arial" w:cs="Arial"/>
              </w:rPr>
            </w:pPr>
            <w:r w:rsidRPr="000B5E96">
              <w:rPr>
                <w:rFonts w:ascii="Arial" w:hAnsi="Arial" w:cs="Arial"/>
                <w:b/>
                <w:bCs/>
              </w:rPr>
              <w:t>Overall strategic implication</w:t>
            </w:r>
          </w:p>
        </w:tc>
        <w:tc>
          <w:tcPr>
            <w:tcW w:w="17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981592" w14:textId="77777777" w:rsidR="006C070F" w:rsidRPr="000B5E96" w:rsidRDefault="00350C7C">
            <w:pPr>
              <w:rPr>
                <w:rFonts w:ascii="Arial" w:hAnsi="Arial" w:cs="Arial"/>
              </w:rPr>
            </w:pPr>
            <w:r w:rsidRPr="000B5E96">
              <w:rPr>
                <w:rFonts w:ascii="Arial" w:hAnsi="Arial" w:cs="Arial"/>
              </w:rPr>
              <w:t>TCS brings strong global processes and experience managing multicultural teams.</w:t>
            </w:r>
          </w:p>
        </w:tc>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805F19" w14:textId="77777777" w:rsidR="006C070F" w:rsidRPr="000B5E96" w:rsidRDefault="00350C7C">
            <w:pPr>
              <w:rPr>
                <w:rFonts w:ascii="Arial" w:hAnsi="Arial" w:cs="Arial"/>
              </w:rPr>
            </w:pPr>
            <w:r w:rsidRPr="000B5E96">
              <w:rPr>
                <w:rFonts w:ascii="Arial" w:hAnsi="Arial" w:cs="Arial"/>
              </w:rPr>
              <w:t>Vietnam requires local relationship-building, communication adaptation and culturally sensitive leadership.</w:t>
            </w:r>
          </w:p>
        </w:tc>
        <w:tc>
          <w:tcPr>
            <w:tcW w:w="1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D32DA" w14:textId="77777777" w:rsidR="006C070F" w:rsidRPr="000B5E96" w:rsidRDefault="00350C7C">
            <w:pPr>
              <w:rPr>
                <w:rFonts w:ascii="Arial" w:hAnsi="Arial" w:cs="Arial"/>
              </w:rPr>
            </w:pPr>
            <w:r w:rsidRPr="000B5E96">
              <w:rPr>
                <w:rFonts w:ascii="Arial" w:hAnsi="Arial" w:cs="Arial"/>
              </w:rPr>
              <w:t>Neither complete global standardisation nor complete localisation is appropriate.</w:t>
            </w:r>
          </w:p>
        </w:tc>
        <w:tc>
          <w:tcPr>
            <w:tcW w:w="19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2496E8" w14:textId="77777777" w:rsidR="006C070F" w:rsidRPr="000B5E96" w:rsidRDefault="00350C7C">
            <w:pPr>
              <w:rPr>
                <w:rFonts w:ascii="Arial" w:hAnsi="Arial" w:cs="Arial"/>
              </w:rPr>
            </w:pPr>
            <w:r w:rsidRPr="000B5E96">
              <w:rPr>
                <w:rFonts w:ascii="Arial" w:hAnsi="Arial" w:cs="Arial"/>
              </w:rPr>
              <w:t xml:space="preserve">Adopt </w:t>
            </w:r>
            <w:r w:rsidRPr="000B5E96">
              <w:rPr>
                <w:rFonts w:ascii="Arial" w:hAnsi="Arial" w:cs="Arial"/>
                <w:b/>
                <w:bCs/>
              </w:rPr>
              <w:t>“global standards, local interaction”</w:t>
            </w:r>
            <w:r w:rsidRPr="000B5E96">
              <w:rPr>
                <w:rFonts w:ascii="Arial" w:hAnsi="Arial" w:cs="Arial"/>
              </w:rPr>
              <w:t>: standardise ethics, cybersecurity and technical quality while adapting communication, leadership and stakeholder management.</w:t>
            </w:r>
          </w:p>
        </w:tc>
      </w:tr>
    </w:tbl>
    <w:p w14:paraId="65016F25" w14:textId="77777777" w:rsidR="006C070F" w:rsidRPr="000B5E96" w:rsidRDefault="00350C7C">
      <w:pPr>
        <w:spacing w:before="240" w:after="240"/>
        <w:rPr>
          <w:rFonts w:ascii="Arial" w:hAnsi="Arial" w:cs="Arial"/>
        </w:rPr>
      </w:pPr>
      <w:r w:rsidRPr="000B5E96">
        <w:rPr>
          <w:rFonts w:ascii="Arial" w:hAnsi="Arial" w:cs="Arial"/>
          <w:b/>
          <w:bCs/>
        </w:rPr>
        <w:t>Sources:</w:t>
      </w:r>
      <w:r w:rsidRPr="000B5E96">
        <w:rPr>
          <w:rFonts w:ascii="Arial" w:hAnsi="Arial" w:cs="Arial"/>
        </w:rPr>
        <w:t xml:space="preserve"> Tata Consultancy Services (2026); Dang et al. (2024); Cao and Nguyen (2025); Duy and Hieu (2025); Huyen et al. (2024); Nguyen and Nguyen (2024).</w:t>
      </w:r>
    </w:p>
    <w:p w14:paraId="0311CD7D" w14:textId="77777777" w:rsidR="00B646BB" w:rsidRPr="000B5E96" w:rsidRDefault="00B646BB" w:rsidP="00B646BB">
      <w:pPr>
        <w:pStyle w:val="Heading2"/>
        <w:rPr>
          <w:rFonts w:ascii="Arial" w:hAnsi="Arial" w:cs="Arial"/>
        </w:rPr>
      </w:pPr>
      <w:bookmarkStart w:id="32" w:name="_Toc237568575"/>
      <w:r w:rsidRPr="000B5E96">
        <w:rPr>
          <w:rFonts w:ascii="Arial" w:hAnsi="Arial" w:cs="Arial"/>
        </w:rPr>
        <w:t>Appendix D: AI Use Acknowledgement</w:t>
      </w:r>
      <w:bookmarkEnd w:id="32"/>
    </w:p>
    <w:tbl>
      <w:tblPr>
        <w:tblStyle w:val="TableGrid"/>
        <w:tblW w:w="0" w:type="auto"/>
        <w:tblLook w:val="04A0" w:firstRow="1" w:lastRow="0" w:firstColumn="1" w:lastColumn="0" w:noHBand="0" w:noVBand="1"/>
      </w:tblPr>
      <w:tblGrid>
        <w:gridCol w:w="1702"/>
        <w:gridCol w:w="7317"/>
      </w:tblGrid>
      <w:tr w:rsidR="00B646BB" w:rsidRPr="000B5E96" w14:paraId="2632D565" w14:textId="77777777" w:rsidTr="00B646BB">
        <w:tc>
          <w:tcPr>
            <w:tcW w:w="0" w:type="auto"/>
            <w:hideMark/>
          </w:tcPr>
          <w:p w14:paraId="5D04EF3A" w14:textId="77777777" w:rsidR="00B646BB" w:rsidRPr="000B5E96" w:rsidRDefault="00B646BB" w:rsidP="00B646BB">
            <w:pPr>
              <w:spacing w:before="240" w:after="240" w:line="360" w:lineRule="auto"/>
              <w:rPr>
                <w:rFonts w:ascii="Arial" w:hAnsi="Arial" w:cs="Arial"/>
                <w:b/>
                <w:bCs/>
                <w:lang w:val="en-IN"/>
              </w:rPr>
            </w:pPr>
            <w:r w:rsidRPr="000B5E96">
              <w:rPr>
                <w:rFonts w:ascii="Arial" w:hAnsi="Arial" w:cs="Arial"/>
                <w:b/>
                <w:bCs/>
                <w:lang w:val="en-IN"/>
              </w:rPr>
              <w:t>Item</w:t>
            </w:r>
          </w:p>
        </w:tc>
        <w:tc>
          <w:tcPr>
            <w:tcW w:w="0" w:type="auto"/>
            <w:hideMark/>
          </w:tcPr>
          <w:p w14:paraId="215A7478" w14:textId="77777777" w:rsidR="00B646BB" w:rsidRPr="000B5E96" w:rsidRDefault="00B646BB" w:rsidP="00B646BB">
            <w:pPr>
              <w:spacing w:before="240" w:after="240" w:line="360" w:lineRule="auto"/>
              <w:rPr>
                <w:rFonts w:ascii="Arial" w:hAnsi="Arial" w:cs="Arial"/>
                <w:b/>
                <w:bCs/>
                <w:lang w:val="en-IN"/>
              </w:rPr>
            </w:pPr>
            <w:r w:rsidRPr="000B5E96">
              <w:rPr>
                <w:rFonts w:ascii="Arial" w:hAnsi="Arial" w:cs="Arial"/>
                <w:b/>
                <w:bCs/>
                <w:lang w:val="en-IN"/>
              </w:rPr>
              <w:t>AI Use Acknowledgement</w:t>
            </w:r>
          </w:p>
        </w:tc>
      </w:tr>
      <w:tr w:rsidR="00B646BB" w:rsidRPr="000B5E96" w14:paraId="0025213E" w14:textId="77777777" w:rsidTr="00B646BB">
        <w:tc>
          <w:tcPr>
            <w:tcW w:w="0" w:type="auto"/>
            <w:hideMark/>
          </w:tcPr>
          <w:p w14:paraId="07314735"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b/>
                <w:bCs/>
                <w:lang w:val="en-IN"/>
              </w:rPr>
              <w:t>AI Tool Used</w:t>
            </w:r>
          </w:p>
        </w:tc>
        <w:tc>
          <w:tcPr>
            <w:tcW w:w="0" w:type="auto"/>
            <w:hideMark/>
          </w:tcPr>
          <w:p w14:paraId="0885629F"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lang w:val="en-IN"/>
              </w:rPr>
              <w:t>ChatGPT</w:t>
            </w:r>
          </w:p>
        </w:tc>
      </w:tr>
      <w:tr w:rsidR="00B646BB" w:rsidRPr="000B5E96" w14:paraId="1A25982E" w14:textId="77777777" w:rsidTr="00B646BB">
        <w:tc>
          <w:tcPr>
            <w:tcW w:w="0" w:type="auto"/>
            <w:hideMark/>
          </w:tcPr>
          <w:p w14:paraId="2B78F2D5"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b/>
                <w:bCs/>
                <w:lang w:val="en-IN"/>
              </w:rPr>
              <w:t>Date Used</w:t>
            </w:r>
          </w:p>
        </w:tc>
        <w:tc>
          <w:tcPr>
            <w:tcW w:w="0" w:type="auto"/>
            <w:hideMark/>
          </w:tcPr>
          <w:p w14:paraId="5A08AEC5"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lang w:val="en-IN"/>
              </w:rPr>
              <w:t>13 August 2026</w:t>
            </w:r>
          </w:p>
        </w:tc>
      </w:tr>
      <w:tr w:rsidR="00B646BB" w:rsidRPr="000B5E96" w14:paraId="3461FE23" w14:textId="77777777" w:rsidTr="00B646BB">
        <w:tc>
          <w:tcPr>
            <w:tcW w:w="0" w:type="auto"/>
            <w:hideMark/>
          </w:tcPr>
          <w:p w14:paraId="2F4BE3AB"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b/>
                <w:bCs/>
                <w:lang w:val="en-IN"/>
              </w:rPr>
              <w:t>Purpose of Use</w:t>
            </w:r>
          </w:p>
        </w:tc>
        <w:tc>
          <w:tcPr>
            <w:tcW w:w="0" w:type="auto"/>
            <w:hideMark/>
          </w:tcPr>
          <w:p w14:paraId="0D69F17D"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lang w:val="en-IN"/>
              </w:rPr>
              <w:t>ChatGPT was used to support the organisation and structuring of the assignment, assist with developing the international market-entry analysis, improve clarity and academic expression, and support the presentation of research notes into an appropriate submission format.</w:t>
            </w:r>
          </w:p>
        </w:tc>
      </w:tr>
      <w:tr w:rsidR="00B646BB" w:rsidRPr="000B5E96" w14:paraId="0BEAE51F" w14:textId="77777777" w:rsidTr="00B646BB">
        <w:tc>
          <w:tcPr>
            <w:tcW w:w="0" w:type="auto"/>
            <w:hideMark/>
          </w:tcPr>
          <w:p w14:paraId="2E5F4142"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b/>
                <w:bCs/>
                <w:lang w:val="en-IN"/>
              </w:rPr>
              <w:t>Prompt 1</w:t>
            </w:r>
          </w:p>
        </w:tc>
        <w:tc>
          <w:tcPr>
            <w:tcW w:w="0" w:type="auto"/>
            <w:hideMark/>
          </w:tcPr>
          <w:p w14:paraId="175751D4"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lang w:val="en-IN"/>
              </w:rPr>
              <w:t>“Help structure an international market entry strategy for Tata Consultancy Services (TCS) entering Vietnam.”</w:t>
            </w:r>
          </w:p>
        </w:tc>
      </w:tr>
      <w:tr w:rsidR="00B646BB" w:rsidRPr="000B5E96" w14:paraId="136A960D" w14:textId="77777777" w:rsidTr="00B646BB">
        <w:tc>
          <w:tcPr>
            <w:tcW w:w="0" w:type="auto"/>
            <w:hideMark/>
          </w:tcPr>
          <w:p w14:paraId="4D648517"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b/>
                <w:bCs/>
                <w:lang w:val="en-IN"/>
              </w:rPr>
              <w:t>Prompt 2</w:t>
            </w:r>
          </w:p>
        </w:tc>
        <w:tc>
          <w:tcPr>
            <w:tcW w:w="0" w:type="auto"/>
            <w:hideMark/>
          </w:tcPr>
          <w:p w14:paraId="2452B15A"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lang w:val="en-IN"/>
              </w:rPr>
              <w:t>“Help organise the macro-environmental analysis of Vietnam, including political, economic, legal and cultural factors.”</w:t>
            </w:r>
          </w:p>
        </w:tc>
      </w:tr>
      <w:tr w:rsidR="00B646BB" w:rsidRPr="000B5E96" w14:paraId="6B4810DA" w14:textId="77777777" w:rsidTr="00B646BB">
        <w:tc>
          <w:tcPr>
            <w:tcW w:w="0" w:type="auto"/>
            <w:hideMark/>
          </w:tcPr>
          <w:p w14:paraId="7B0B27B7"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b/>
                <w:bCs/>
                <w:lang w:val="en-IN"/>
              </w:rPr>
              <w:t>Prompt 3</w:t>
            </w:r>
          </w:p>
        </w:tc>
        <w:tc>
          <w:tcPr>
            <w:tcW w:w="0" w:type="auto"/>
            <w:hideMark/>
          </w:tcPr>
          <w:p w14:paraId="75FFA41E"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lang w:val="en-IN"/>
              </w:rPr>
              <w:t>“Help structure the application of Dunning’s OLI framework to TCS and the Vietnamese market.”</w:t>
            </w:r>
          </w:p>
        </w:tc>
      </w:tr>
      <w:tr w:rsidR="00B646BB" w:rsidRPr="000B5E96" w14:paraId="3F47CEC9" w14:textId="77777777" w:rsidTr="00B646BB">
        <w:tc>
          <w:tcPr>
            <w:tcW w:w="0" w:type="auto"/>
            <w:hideMark/>
          </w:tcPr>
          <w:p w14:paraId="46BB6212"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b/>
                <w:bCs/>
                <w:lang w:val="en-IN"/>
              </w:rPr>
              <w:t>Prompt 4</w:t>
            </w:r>
          </w:p>
        </w:tc>
        <w:tc>
          <w:tcPr>
            <w:tcW w:w="0" w:type="auto"/>
            <w:hideMark/>
          </w:tcPr>
          <w:p w14:paraId="1DAE3584"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lang w:val="en-IN"/>
              </w:rPr>
              <w:t>“Help organise and improve the clarity of the analysis comparing alternative entry modes and the recommended market-entry strategy.”</w:t>
            </w:r>
          </w:p>
        </w:tc>
      </w:tr>
      <w:tr w:rsidR="00B646BB" w:rsidRPr="000B5E96" w14:paraId="3C7C9B6D" w14:textId="77777777" w:rsidTr="00B646BB">
        <w:tc>
          <w:tcPr>
            <w:tcW w:w="0" w:type="auto"/>
            <w:hideMark/>
          </w:tcPr>
          <w:p w14:paraId="40D4D9F3"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b/>
                <w:bCs/>
                <w:lang w:val="en-IN"/>
              </w:rPr>
              <w:t>Prompt 5</w:t>
            </w:r>
          </w:p>
        </w:tc>
        <w:tc>
          <w:tcPr>
            <w:tcW w:w="0" w:type="auto"/>
            <w:hideMark/>
          </w:tcPr>
          <w:p w14:paraId="40BA0C74"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lang w:val="en-IN"/>
              </w:rPr>
              <w:t>“Help structure the reflective account using Gibbs’ Reflective Cycle and improve the academic presentation of my notes.”</w:t>
            </w:r>
          </w:p>
        </w:tc>
      </w:tr>
      <w:tr w:rsidR="00B646BB" w:rsidRPr="000B5E96" w14:paraId="7AEFB4D4" w14:textId="77777777" w:rsidTr="00B646BB">
        <w:tc>
          <w:tcPr>
            <w:tcW w:w="0" w:type="auto"/>
            <w:hideMark/>
          </w:tcPr>
          <w:p w14:paraId="136383E9"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b/>
                <w:bCs/>
                <w:lang w:val="en-IN"/>
              </w:rPr>
              <w:t>Student Declaration</w:t>
            </w:r>
          </w:p>
        </w:tc>
        <w:tc>
          <w:tcPr>
            <w:tcW w:w="0" w:type="auto"/>
            <w:hideMark/>
          </w:tcPr>
          <w:p w14:paraId="6BC836EB" w14:textId="77777777" w:rsidR="00B646BB" w:rsidRPr="000B5E96" w:rsidRDefault="00B646BB" w:rsidP="00B646BB">
            <w:pPr>
              <w:spacing w:before="240" w:after="240" w:line="360" w:lineRule="auto"/>
              <w:rPr>
                <w:rFonts w:ascii="Arial" w:hAnsi="Arial" w:cs="Arial"/>
                <w:lang w:val="en-IN"/>
              </w:rPr>
            </w:pPr>
            <w:r w:rsidRPr="000B5E96">
              <w:rPr>
                <w:rFonts w:ascii="Arial" w:hAnsi="Arial" w:cs="Arial"/>
                <w:lang w:val="en-IN"/>
              </w:rPr>
              <w:t>I confirm that I did not submit AI-generated work as my own. I kept my own notes, drafts, and sources from before and after using AI, and I can provide them if required.</w:t>
            </w:r>
          </w:p>
        </w:tc>
      </w:tr>
    </w:tbl>
    <w:p w14:paraId="58F912BD" w14:textId="77777777" w:rsidR="00B646BB" w:rsidRPr="000B5E96" w:rsidRDefault="00B646BB">
      <w:pPr>
        <w:spacing w:before="240" w:after="240"/>
        <w:rPr>
          <w:rFonts w:ascii="Arial" w:hAnsi="Arial" w:cs="Arial"/>
        </w:rPr>
      </w:pPr>
    </w:p>
    <w:p w14:paraId="6650C1E3" w14:textId="77777777" w:rsidR="006C070F" w:rsidRPr="000B5E96" w:rsidRDefault="006C070F">
      <w:pPr>
        <w:rPr>
          <w:rFonts w:ascii="Arial" w:hAnsi="Arial" w:cs="Arial"/>
        </w:rPr>
      </w:pPr>
    </w:p>
    <w:sectPr w:rsidR="006C070F" w:rsidRPr="000B5E96">
      <w:footerReference w:type="default" r:id="rId4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F0914" w14:textId="77777777" w:rsidR="001A6EA8" w:rsidRDefault="001A6EA8">
      <w:pPr>
        <w:spacing w:before="0" w:after="0" w:line="240" w:lineRule="auto"/>
      </w:pPr>
      <w:r>
        <w:separator/>
      </w:r>
    </w:p>
  </w:endnote>
  <w:endnote w:type="continuationSeparator" w:id="0">
    <w:p w14:paraId="2DBA2D3D" w14:textId="77777777" w:rsidR="001A6EA8" w:rsidRDefault="001A6EA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6A7A3D91-4CF0-AD43-B454-18CE657A3354}"/>
    <w:embedBold r:id="rId2" w:fontKey="{0CF416D8-3ECD-BE49-A95E-366CEBC0E823}"/>
    <w:embedItalic r:id="rId3" w:fontKey="{96801AC0-A2B3-EF4D-9C3A-50F425A0F2E3}"/>
  </w:font>
  <w:font w:name="Arial">
    <w:panose1 w:val="020B0604020202020204"/>
    <w:charset w:val="00"/>
    <w:family w:val="swiss"/>
    <w:pitch w:val="variable"/>
    <w:sig w:usb0="E0002EFF" w:usb1="C000785B" w:usb2="00000009" w:usb3="00000000" w:csb0="000001FF" w:csb1="00000000"/>
    <w:embedRegular r:id="rId4" w:fontKey="{C382AF51-DED1-594C-B848-DB2F1A69F26D}"/>
    <w:embedBold r:id="rId5" w:fontKey="{FE4A1B4F-3DF3-9940-BC2A-2D3F46B51FDE}"/>
    <w:embedItalic r:id="rId6" w:fontKey="{6675B26A-C4A6-B74C-86E6-40CF5E107E0A}"/>
  </w:font>
  <w:font w:name="Cambria">
    <w:panose1 w:val="02040503050406030204"/>
    <w:charset w:val="00"/>
    <w:family w:val="roman"/>
    <w:pitch w:val="variable"/>
    <w:sig w:usb0="E00002FF" w:usb1="400004FF" w:usb2="00000000" w:usb3="00000000" w:csb0="0000019F" w:csb1="00000000"/>
    <w:embedRegular r:id="rId7" w:fontKey="{ED46182D-88CB-B04A-9C2F-27A89768311A}"/>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embedRegular r:id="rId8" w:fontKey="{48917ED3-2094-B94E-9C70-CBF80C4BA99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795E25" w14:textId="77777777" w:rsidR="006C070F" w:rsidRDefault="006C070F">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E2DAD" w14:textId="77777777" w:rsidR="001A6EA8" w:rsidRDefault="001A6EA8">
      <w:pPr>
        <w:spacing w:before="0" w:after="0" w:line="240" w:lineRule="auto"/>
      </w:pPr>
      <w:r>
        <w:separator/>
      </w:r>
    </w:p>
  </w:footnote>
  <w:footnote w:type="continuationSeparator" w:id="0">
    <w:p w14:paraId="64E6569B" w14:textId="77777777" w:rsidR="001A6EA8" w:rsidRDefault="001A6EA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C7822"/>
    <w:multiLevelType w:val="hybridMultilevel"/>
    <w:tmpl w:val="FCCE1DF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07743623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70F"/>
    <w:rsid w:val="00091AB7"/>
    <w:rsid w:val="000B5E96"/>
    <w:rsid w:val="00141E24"/>
    <w:rsid w:val="001A6EA8"/>
    <w:rsid w:val="001E2CC2"/>
    <w:rsid w:val="00350C7C"/>
    <w:rsid w:val="0038402F"/>
    <w:rsid w:val="003B5CFC"/>
    <w:rsid w:val="003D0307"/>
    <w:rsid w:val="00471FB2"/>
    <w:rsid w:val="00473B19"/>
    <w:rsid w:val="004961DA"/>
    <w:rsid w:val="00525608"/>
    <w:rsid w:val="005C42B4"/>
    <w:rsid w:val="005D44CC"/>
    <w:rsid w:val="00616BDA"/>
    <w:rsid w:val="006249BE"/>
    <w:rsid w:val="006C070F"/>
    <w:rsid w:val="006D6763"/>
    <w:rsid w:val="00721470"/>
    <w:rsid w:val="00761780"/>
    <w:rsid w:val="007B3248"/>
    <w:rsid w:val="007D6140"/>
    <w:rsid w:val="00B64624"/>
    <w:rsid w:val="00B646BB"/>
    <w:rsid w:val="00BB0BEE"/>
    <w:rsid w:val="00BF0EDD"/>
    <w:rsid w:val="00C15481"/>
    <w:rsid w:val="00C40F0A"/>
    <w:rsid w:val="00CA5505"/>
    <w:rsid w:val="00D554D2"/>
    <w:rsid w:val="00EF4E6F"/>
    <w:rsid w:val="00F84AF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52F08"/>
  <w15:docId w15:val="{C8CF788D-B7DC-47C7-99F7-C8C54873A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4D2"/>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styleId="TableGrid">
    <w:name w:val="Table Grid"/>
    <w:basedOn w:val="TableNormal"/>
    <w:uiPriority w:val="39"/>
    <w:rsid w:val="00B646B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46BB"/>
    <w:pPr>
      <w:spacing w:after="100"/>
    </w:pPr>
  </w:style>
  <w:style w:type="paragraph" w:styleId="TOC2">
    <w:name w:val="toc 2"/>
    <w:basedOn w:val="Normal"/>
    <w:next w:val="Normal"/>
    <w:autoRedefine/>
    <w:uiPriority w:val="39"/>
    <w:unhideWhenUsed/>
    <w:rsid w:val="00B646BB"/>
    <w:pPr>
      <w:spacing w:after="100"/>
      <w:ind w:left="240"/>
    </w:pPr>
  </w:style>
  <w:style w:type="paragraph" w:styleId="TOC3">
    <w:name w:val="toc 3"/>
    <w:basedOn w:val="Normal"/>
    <w:next w:val="Normal"/>
    <w:autoRedefine/>
    <w:uiPriority w:val="39"/>
    <w:unhideWhenUsed/>
    <w:rsid w:val="00B646BB"/>
    <w:pPr>
      <w:spacing w:after="100"/>
      <w:ind w:left="480"/>
    </w:pPr>
  </w:style>
  <w:style w:type="character" w:styleId="Hyperlink">
    <w:name w:val="Hyperlink"/>
    <w:basedOn w:val="DefaultParagraphFont"/>
    <w:uiPriority w:val="99"/>
    <w:unhideWhenUsed/>
    <w:rsid w:val="00B646BB"/>
    <w:rPr>
      <w:color w:val="0000FF" w:themeColor="hyperlink"/>
      <w:u w:val="single"/>
    </w:rPr>
  </w:style>
  <w:style w:type="character" w:styleId="UnresolvedMention">
    <w:name w:val="Unresolved Mention"/>
    <w:basedOn w:val="DefaultParagraphFont"/>
    <w:uiPriority w:val="99"/>
    <w:semiHidden/>
    <w:unhideWhenUsed/>
    <w:rsid w:val="00616B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ciencedirect.com/science/article/pii/S0308596123001945" TargetMode="External"/><Relationship Id="rId39" Type="http://schemas.openxmlformats.org/officeDocument/2006/relationships/hyperlink" Target="https://www.oecd.org/content/dam/oecd/en/publications/reports/2026/04/fdi-qualities-review-of-viet-nam_5bbad050/a3c78dac-en.pdf" TargetMode="External"/><Relationship Id="rId21" Type="http://schemas.openxmlformats.org/officeDocument/2006/relationships/image" Target="media/image14.png"/><Relationship Id="rId34" Type="http://schemas.openxmlformats.org/officeDocument/2006/relationships/hyperlink" Target="https://www.elibrary.imf.org/view/journals/002/2025/283/002.2025.issue-283-en.pdf" TargetMode="External"/><Relationship Id="rId42" Type="http://schemas.openxmlformats.org/officeDocument/2006/relationships/hyperlink" Target="https://www.tcs.com/content/dam/tcs/investor-relations/financial-statements/2025-26/ar/annual-report-2025-2026.pdf" TargetMode="External"/><Relationship Id="rId47" Type="http://schemas.openxmlformats.org/officeDocument/2006/relationships/hyperlink" Target="https://academic.oup.com/icc/advance-article-pdf/doi/10.1093/icc/dtag001/66963212/dtag001.pdf"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resources.finalsite.net/images/v1710749328/saigon/l5cqb4izgsc1uwugo98e/Decree13_2023_ND-CPPersonalDataProtectionENGLISH.pdf" TargetMode="External"/><Relationship Id="rId11" Type="http://schemas.openxmlformats.org/officeDocument/2006/relationships/image" Target="media/image4.png"/><Relationship Id="rId24" Type="http://schemas.openxmlformats.org/officeDocument/2006/relationships/hyperlink" Target="https://www.emerald.com/jabs/article/19/3/748/1263797" TargetMode="External"/><Relationship Id="rId32" Type="http://schemas.openxmlformats.org/officeDocument/2006/relationships/hyperlink" Target="https://www.nature.com/articles/s41599-024-02990-x.pdf" TargetMode="External"/><Relationship Id="rId37" Type="http://schemas.openxmlformats.org/officeDocument/2006/relationships/hyperlink" Target="https://journalofscience.ou.edu.vn/index.php/econ-en/article/download/3484/2185" TargetMode="External"/><Relationship Id="rId40" Type="http://schemas.openxmlformats.org/officeDocument/2006/relationships/hyperlink" Target="https://www.open.edu/openlearn/mod/oucontent/view.php?id=166863&amp;section=_unit3.7.1" TargetMode="External"/><Relationship Id="rId45" Type="http://schemas.openxmlformats.org/officeDocument/2006/relationships/hyperlink" Target="https://www.emerald.com/ijoa/article/33/1/209/1239101"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adb.org/outlook/editions/april-2026" TargetMode="External"/><Relationship Id="rId28" Type="http://schemas.openxmlformats.org/officeDocument/2006/relationships/hyperlink" Target="https://www.researchgate.net/profile/Aman-Garg-26/publication/390239133_Unveiling_the_enigmas_on_determinants_of_sustainable_foreign_direct_investment_dynamics_empirical_insight_from_ASEAN_economies/links/688b642bd26c2f6f56d714d1/Unveiling-the-enigmas-on-determinants-of-sustainable-foreign-direct-investment-dynamics-empirical-insight-from-ASEAN-economies.pdf" TargetMode="External"/><Relationship Id="rId36" Type="http://schemas.openxmlformats.org/officeDocument/2006/relationships/hyperlink" Target="https://vnlawfirm.vn/van-ban/law-on-data-of-vietnam-2024/"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mdpi.com/2227-7099/12/6/144" TargetMode="External"/><Relationship Id="rId44" Type="http://schemas.openxmlformats.org/officeDocument/2006/relationships/hyperlink" Target="https://www.tcs.com/content/dam/tcs/investor-relations/financial-statements/2025-26/ar/annual-report-2025-2026.pdf" TargetMode="External"/><Relationship Id="rId4" Type="http://schemas.openxmlformats.org/officeDocument/2006/relationships/webSettings" Target="webSettings.xml"/><Relationship Id="rId9" Type="http://schemas.openxmlformats.org/officeDocument/2006/relationships/hyperlink" Target="https://chatgpt.com/" TargetMode="Externa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emerald.com/joe/article/14/3/425/1301170" TargetMode="External"/><Relationship Id="rId30" Type="http://schemas.openxmlformats.org/officeDocument/2006/relationships/hyperlink" Target="https://link.springer.com/content/pdf/10.1007/s41685-024-00343-9.pdf" TargetMode="External"/><Relationship Id="rId35" Type="http://schemas.openxmlformats.org/officeDocument/2006/relationships/hyperlink" Target="https://www.researchgate.net/publication/381215857_Digital_transformation_in_Vietnam_A_case_study_of_Hanoi_SMEs" TargetMode="External"/><Relationship Id="rId43" Type="http://schemas.openxmlformats.org/officeDocument/2006/relationships/hyperlink" Target="https://www.tcs.com/content/dam/tcs/investor-relations/financial-statements/2025-26/ar/annual-report-2025-2026.pdf" TargetMode="External"/><Relationship Id="rId48" Type="http://schemas.openxmlformats.org/officeDocument/2006/relationships/hyperlink" Target="https://openknowledge.worldbank.org/entities/publication/3eaf9e51-8f55-4906-87d4-a60f85256daf" TargetMode="External"/><Relationship Id="rId8" Type="http://schemas.openxmlformats.org/officeDocument/2006/relationships/image" Target="media/image2.jpe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andfonline.com/doi/pdf/10.1080/19397038.2024.2397775" TargetMode="External"/><Relationship Id="rId33" Type="http://schemas.openxmlformats.org/officeDocument/2006/relationships/hyperlink" Target="https://www.worldscientific.com/doi/pdf/10.1142/S011611052650006X" TargetMode="External"/><Relationship Id="rId38" Type="http://schemas.openxmlformats.org/officeDocument/2006/relationships/hyperlink" Target="https://js.vnu.edu.vn/PaM/article/view/4457/4068" TargetMode="External"/><Relationship Id="rId46" Type="http://schemas.openxmlformats.org/officeDocument/2006/relationships/hyperlink" Target="https://www.emerald.com/jabs/article/doi/10.1108/JABS-12-2024-0690/1251561" TargetMode="External"/><Relationship Id="rId20" Type="http://schemas.openxmlformats.org/officeDocument/2006/relationships/image" Target="media/image13.png"/><Relationship Id="rId41" Type="http://schemas.openxmlformats.org/officeDocument/2006/relationships/hyperlink" Target="https://www.tandfonline.com/doi/pdf/10.1080/23311886.2023.2300514" TargetMode="External"/><Relationship Id="rId1" Type="http://schemas.openxmlformats.org/officeDocument/2006/relationships/numbering" Target="numbering.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10332</Words>
  <Characters>58893</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YAXESH</dc:creator>
  <cp:lastModifiedBy>Yagnik Nityanandbhai Nayak (2532710)</cp:lastModifiedBy>
  <cp:revision>3</cp:revision>
  <dcterms:created xsi:type="dcterms:W3CDTF">2026-08-14T02:56:00Z</dcterms:created>
  <dcterms:modified xsi:type="dcterms:W3CDTF">2026-08-14T12:28:00Z</dcterms:modified>
</cp:coreProperties>
</file>