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rPr>
          <w:sz w:val="24"/>
          <w:szCs w:val="24"/>
        </w:rPr>
      </w:pPr>
      <w:r w:rsidDel="00000000" w:rsidR="00000000" w:rsidRPr="00000000">
        <w:rPr>
          <w:sz w:val="24"/>
          <w:szCs w:val="24"/>
          <w:rtl w:val="0"/>
        </w:rPr>
        <w:t xml:space="preserve">Name: Kelechi Ibeabuchi</w:t>
      </w:r>
    </w:p>
    <w:p w:rsidR="00000000" w:rsidDel="00000000" w:rsidP="00000000" w:rsidRDefault="00000000" w:rsidRPr="00000000" w14:paraId="00000002">
      <w:pPr>
        <w:spacing w:after="240" w:before="240" w:line="240" w:lineRule="auto"/>
        <w:rPr>
          <w:sz w:val="24"/>
          <w:szCs w:val="24"/>
        </w:rPr>
      </w:pPr>
      <w:r w:rsidDel="00000000" w:rsidR="00000000" w:rsidRPr="00000000">
        <w:rPr>
          <w:sz w:val="24"/>
          <w:szCs w:val="24"/>
          <w:rtl w:val="0"/>
        </w:rPr>
        <w:t xml:space="preserve">Course: Strategic Management and Sustainability</w:t>
      </w:r>
    </w:p>
    <w:p w:rsidR="00000000" w:rsidDel="00000000" w:rsidP="00000000" w:rsidRDefault="00000000" w:rsidRPr="00000000" w14:paraId="00000003">
      <w:pPr>
        <w:spacing w:after="240" w:before="240" w:line="240" w:lineRule="auto"/>
        <w:rPr>
          <w:sz w:val="24"/>
          <w:szCs w:val="24"/>
        </w:rPr>
      </w:pPr>
      <w:r w:rsidDel="00000000" w:rsidR="00000000" w:rsidRPr="00000000">
        <w:rPr>
          <w:sz w:val="24"/>
          <w:szCs w:val="24"/>
          <w:rtl w:val="0"/>
        </w:rPr>
        <w:t xml:space="preserve">Module Code: BMBM6024</w:t>
      </w:r>
    </w:p>
    <w:p w:rsidR="00000000" w:rsidDel="00000000" w:rsidP="00000000" w:rsidRDefault="00000000" w:rsidRPr="00000000" w14:paraId="00000004">
      <w:pPr>
        <w:spacing w:after="240" w:before="240" w:line="240" w:lineRule="auto"/>
        <w:rPr>
          <w:sz w:val="24"/>
          <w:szCs w:val="24"/>
        </w:rPr>
      </w:pPr>
      <w:r w:rsidDel="00000000" w:rsidR="00000000" w:rsidRPr="00000000">
        <w:rPr>
          <w:sz w:val="24"/>
          <w:szCs w:val="24"/>
          <w:rtl w:val="0"/>
        </w:rPr>
        <w:t xml:space="preserve">Lecturer: Robyn Griffiths</w:t>
      </w:r>
    </w:p>
    <w:p w:rsidR="00000000" w:rsidDel="00000000" w:rsidP="00000000" w:rsidRDefault="00000000" w:rsidRPr="00000000" w14:paraId="00000005">
      <w:pPr>
        <w:spacing w:after="240" w:before="240" w:line="240" w:lineRule="auto"/>
        <w:rPr>
          <w:sz w:val="24"/>
          <w:szCs w:val="24"/>
        </w:rPr>
      </w:pPr>
      <w:r w:rsidDel="00000000" w:rsidR="00000000" w:rsidRPr="00000000">
        <w:rPr>
          <w:sz w:val="24"/>
          <w:szCs w:val="24"/>
          <w:rtl w:val="0"/>
        </w:rPr>
        <w:t xml:space="preserve">Assessment 1: 2,000-word Report</w:t>
      </w:r>
    </w:p>
    <w:p w:rsidR="00000000" w:rsidDel="00000000" w:rsidP="00000000" w:rsidRDefault="00000000" w:rsidRPr="00000000" w14:paraId="00000006">
      <w:pPr>
        <w:spacing w:after="240" w:before="240" w:line="240" w:lineRule="auto"/>
        <w:rPr>
          <w:sz w:val="24"/>
          <w:szCs w:val="24"/>
        </w:rPr>
      </w:pPr>
      <w:r w:rsidDel="00000000" w:rsidR="00000000" w:rsidRPr="00000000">
        <w:rPr>
          <w:sz w:val="24"/>
          <w:szCs w:val="24"/>
          <w:rtl w:val="0"/>
        </w:rPr>
        <w:t xml:space="preserve">Due Date: 27th March 2026 at 11:59pm</w:t>
      </w:r>
    </w:p>
    <w:p w:rsidR="00000000" w:rsidDel="00000000" w:rsidP="00000000" w:rsidRDefault="00000000" w:rsidRPr="00000000" w14:paraId="00000007">
      <w:pPr>
        <w:spacing w:after="480" w:before="480" w:line="240" w:lineRule="auto"/>
        <w:ind w:left="0" w:firstLine="0"/>
        <w:rPr>
          <w:sz w:val="24"/>
          <w:szCs w:val="24"/>
        </w:rPr>
      </w:pPr>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r>
    </w:p>
    <w:p w:rsidR="00000000" w:rsidDel="00000000" w:rsidP="00000000" w:rsidRDefault="00000000" w:rsidRPr="00000000" w14:paraId="00000009">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A">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B">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C">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D">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E">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F">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10">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11">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12">
      <w:pPr>
        <w:spacing w:after="480" w:before="480" w:lineRule="auto"/>
        <w:ind w:left="0" w:firstLine="0"/>
        <w:rPr>
          <w:b w:val="1"/>
          <w:bCs w:val="1"/>
          <w:sz w:val="24"/>
          <w:szCs w:val="24"/>
        </w:rPr>
      </w:pPr>
      <w:r w:rsidDel="00000000" w:rsidR="00000000" w:rsidRPr="00000000">
        <w:rPr>
          <w:b w:val="1"/>
          <w:bCs w:val="1"/>
          <w:sz w:val="24"/>
          <w:szCs w:val="24"/>
          <w:rtl w:val="0"/>
        </w:rPr>
        <w:br w:type="textWrapping"/>
      </w:r>
    </w:p>
    <w:p w:rsidR="00000000" w:rsidDel="00000000" w:rsidP="00000000" w:rsidRDefault="00000000" w:rsidRPr="00000000" w14:paraId="00000013">
      <w:pPr>
        <w:spacing w:after="480" w:before="480" w:lineRule="auto"/>
        <w:ind w:left="0" w:firstLine="0"/>
        <w:rPr>
          <w:b w:val="1"/>
          <w:bCs w:val="1"/>
          <w:sz w:val="24"/>
          <w:szCs w:val="24"/>
        </w:rPr>
      </w:pPr>
      <w:r w:rsidDel="00000000" w:rsidR="00000000" w:rsidRPr="00000000">
        <w:rPr>
          <w:b w:val="1"/>
          <w:bCs w:val="1"/>
          <w:sz w:val="24"/>
          <w:szCs w:val="24"/>
          <w:rtl w:val="0"/>
        </w:rPr>
        <w:t xml:space="preserve">Introduction</w:t>
        <w:br w:type="textWrapping"/>
        <w:br w:type="textWrapping"/>
        <w:t xml:space="preserve">Overview of the Organisation (Dangote Group)</w:t>
      </w:r>
    </w:p>
    <w:p w:rsidR="00000000" w:rsidDel="00000000" w:rsidP="00000000" w:rsidRDefault="00000000" w:rsidRPr="00000000" w14:paraId="00000014">
      <w:pPr>
        <w:spacing w:after="240" w:before="240" w:lineRule="auto"/>
        <w:jc w:val="both"/>
        <w:rPr>
          <w:sz w:val="24"/>
          <w:szCs w:val="24"/>
        </w:rPr>
      </w:pPr>
      <w:r w:rsidDel="00000000" w:rsidR="00000000" w:rsidRPr="00000000">
        <w:rPr>
          <w:sz w:val="24"/>
          <w:szCs w:val="24"/>
          <w:rtl w:val="0"/>
        </w:rPr>
        <w:t xml:space="preserve">Dangote Group is a Nigerian multinational conglomerate, with its operations in more than ten African countries. Established in 1982 by Aliko Dangote, the organisation has evolved into one of the largest and most influential business groups in West Africa (Dangote Group 2023). It plays a significant role in regional industrialisation and economic development, contributing substantially to employment generation and domestic production capacity.</w:t>
      </w:r>
    </w:p>
    <w:p w:rsidR="00000000" w:rsidDel="00000000" w:rsidP="00000000" w:rsidRDefault="00000000" w:rsidRPr="00000000" w14:paraId="00000015">
      <w:pPr>
        <w:spacing w:after="240" w:before="240" w:lineRule="auto"/>
        <w:jc w:val="both"/>
        <w:rPr>
          <w:sz w:val="24"/>
          <w:szCs w:val="24"/>
        </w:rPr>
      </w:pPr>
      <w:r w:rsidDel="00000000" w:rsidR="00000000" w:rsidRPr="00000000">
        <w:rPr>
          <w:sz w:val="24"/>
          <w:szCs w:val="24"/>
          <w:rtl w:val="0"/>
        </w:rPr>
        <w:t xml:space="preserve">The Group provides direct employment to over 30,000 individuals and supports thousands of additional indirect jobs across its value chain (Olorunnisola, 2023). Its revenues, generated from diversified activities in manufacturing, large-scale processing, and refining, amount to several billions of dollars annually. Through these operations, the company has positioned itself as a key driver of import substitution and infrastructure development within Nigeria and other African economies (Ogbu, 2023). </w:t>
      </w:r>
    </w:p>
    <w:p w:rsidR="00000000" w:rsidDel="00000000" w:rsidP="00000000" w:rsidRDefault="00000000" w:rsidRPr="00000000" w14:paraId="00000016">
      <w:pPr>
        <w:spacing w:after="240" w:before="240" w:lineRule="auto"/>
        <w:jc w:val="both"/>
        <w:rPr>
          <w:sz w:val="24"/>
          <w:szCs w:val="24"/>
        </w:rPr>
      </w:pPr>
      <w:r w:rsidDel="00000000" w:rsidR="00000000" w:rsidRPr="00000000">
        <w:rPr>
          <w:sz w:val="24"/>
          <w:szCs w:val="24"/>
          <w:rtl w:val="0"/>
        </w:rPr>
        <w:t xml:space="preserve">The organisation’s origins can be traced to the early 1980s, when it began as a trading enterprise focused on importing essential commodities such as sugar, rice, flour, and cement into Nigeria (Adamu, 2023). By the year 1989, the business strategically transitioned from trading to domestic manufacturing, investing in salt processing, flour milling, and cement production. This shift marked a significant turning point, enabling the firm to build production capacity and strengthen its competitive advantage through vertical integration (World Bank, 2023). </w:t>
      </w:r>
    </w:p>
    <w:p w:rsidR="00000000" w:rsidDel="00000000" w:rsidP="00000000" w:rsidRDefault="00000000" w:rsidRPr="00000000" w14:paraId="00000017">
      <w:pPr>
        <w:spacing w:after="240" w:before="240" w:lineRule="auto"/>
        <w:jc w:val="both"/>
        <w:rPr>
          <w:sz w:val="24"/>
          <w:szCs w:val="24"/>
        </w:rPr>
      </w:pPr>
      <w:r w:rsidDel="00000000" w:rsidR="00000000" w:rsidRPr="00000000">
        <w:rPr>
          <w:sz w:val="24"/>
          <w:szCs w:val="24"/>
          <w:rtl w:val="0"/>
        </w:rPr>
        <w:t xml:space="preserve">Today, the Dangote Group oversees more than 18 subsidiaries operating across multiple African markets and is regarded as one of the most valuable corporate entities listed on the Nigerian Stock Exchange (Nigerian Stock Exchange, 2023). Headquartered in Lagos, Nigeria, the company continues to expand its industrial footprint while shaping the strategic and economic landscape of the region.</w:t>
      </w:r>
    </w:p>
    <w:p w:rsidR="00000000" w:rsidDel="00000000" w:rsidP="00000000" w:rsidRDefault="00000000" w:rsidRPr="00000000" w14:paraId="00000018">
      <w:pPr>
        <w:pStyle w:val="Heading3"/>
        <w:keepNext w:val="0"/>
        <w:keepLines w:val="0"/>
        <w:spacing w:before="280" w:lineRule="auto"/>
        <w:jc w:val="both"/>
        <w:rPr>
          <w:b w:val="1"/>
          <w:bCs w:val="1"/>
          <w:color w:val="000000"/>
          <w:sz w:val="24"/>
          <w:szCs w:val="24"/>
        </w:rPr>
      </w:pPr>
      <w:bookmarkStart w:colFirst="0" w:colLast="0" w:name="_heading=h.7wdqvwir4wlt" w:id="0"/>
      <w:bookmarkEnd w:id="0"/>
      <w:r w:rsidDel="00000000" w:rsidR="00000000" w:rsidRPr="00000000">
        <w:rPr>
          <w:b w:val="1"/>
          <w:bCs w:val="1"/>
          <w:color w:val="000000"/>
          <w:sz w:val="24"/>
          <w:szCs w:val="24"/>
          <w:rtl w:val="0"/>
        </w:rPr>
        <w:t xml:space="preserve">Strategic Context and Rationale of Dangote Group</w:t>
      </w:r>
    </w:p>
    <w:p w:rsidR="00000000" w:rsidDel="00000000" w:rsidP="00000000" w:rsidRDefault="00000000" w:rsidRPr="00000000" w14:paraId="00000019">
      <w:pPr>
        <w:spacing w:after="240" w:before="240" w:lineRule="auto"/>
        <w:jc w:val="both"/>
        <w:rPr>
          <w:sz w:val="24"/>
          <w:szCs w:val="24"/>
        </w:rPr>
      </w:pPr>
      <w:r w:rsidDel="00000000" w:rsidR="00000000" w:rsidRPr="00000000">
        <w:rPr>
          <w:sz w:val="24"/>
          <w:szCs w:val="24"/>
          <w:rtl w:val="0"/>
        </w:rPr>
        <w:t xml:space="preserve">Since moving into manufacturing in 1989, Dangote Group has become a major contributor to Nigeria’s industrial development, particularly in the consumer goods sector (Ojo, 2022). This transition marked a strategic shift from trading to large-scale production, allowing the company to strengthen local manufacturing capacity and reduce reliance on imported products. Over time, the organisation expanded beyond Nigeria and developed into a Pan-African industrial group, supporting regional economic growth despite infrastructural and economic challenges (Akinwale, 2023).</w:t>
      </w:r>
    </w:p>
    <w:p w:rsidR="00000000" w:rsidDel="00000000" w:rsidP="00000000" w:rsidRDefault="00000000" w:rsidRPr="00000000" w14:paraId="0000001A">
      <w:pPr>
        <w:spacing w:after="240" w:before="240" w:lineRule="auto"/>
        <w:jc w:val="both"/>
        <w:rPr>
          <w:sz w:val="24"/>
          <w:szCs w:val="24"/>
        </w:rPr>
      </w:pPr>
      <w:r w:rsidDel="00000000" w:rsidR="00000000" w:rsidRPr="00000000">
        <w:rPr>
          <w:sz w:val="24"/>
          <w:szCs w:val="24"/>
          <w:rtl w:val="0"/>
        </w:rPr>
        <w:t xml:space="preserve">The company’s strategy is guided by several sustainability priorities, including operational efficiency, financial stability, environmental responsibility, social impact, and institutional governance (Aliko Dangote Foundation, 2023). These interconnected pillars enable Dangote Group to balance profitability with long-term development goals. By embedding sustainability within its business model, the organisation has managed growth while operating in complex and sometimes unstable markets (Dangote Group 2023). </w:t>
      </w:r>
    </w:p>
    <w:p w:rsidR="00000000" w:rsidDel="00000000" w:rsidP="00000000" w:rsidRDefault="00000000" w:rsidRPr="00000000" w14:paraId="0000001B">
      <w:pPr>
        <w:spacing w:after="240" w:before="240" w:lineRule="auto"/>
        <w:jc w:val="both"/>
        <w:rPr>
          <w:sz w:val="24"/>
          <w:szCs w:val="24"/>
        </w:rPr>
      </w:pPr>
      <w:r w:rsidDel="00000000" w:rsidR="00000000" w:rsidRPr="00000000">
        <w:rPr>
          <w:sz w:val="24"/>
          <w:szCs w:val="24"/>
          <w:rtl w:val="0"/>
        </w:rPr>
        <w:t xml:space="preserve">Export expansion, particularly within West and Central Africa, remains central to the Group’s long-term objectives. Increasing export capacity supports Nigeria’s economic development through foreign exchange earnings and regional trade integration (UNIDO, 2023). This approach reflects key principles of strategic management, which emphasise long-term planning, competitive positioning, and effective allocation of resources.</w:t>
      </w:r>
    </w:p>
    <w:p w:rsidR="00000000" w:rsidDel="00000000" w:rsidP="00000000" w:rsidRDefault="00000000" w:rsidRPr="00000000" w14:paraId="0000001C">
      <w:pPr>
        <w:spacing w:after="240" w:before="240" w:lineRule="auto"/>
        <w:jc w:val="both"/>
        <w:rPr>
          <w:sz w:val="24"/>
          <w:szCs w:val="24"/>
        </w:rPr>
      </w:pPr>
      <w:r w:rsidDel="00000000" w:rsidR="00000000" w:rsidRPr="00000000">
        <w:rPr>
          <w:sz w:val="24"/>
          <w:szCs w:val="24"/>
          <w:rtl w:val="0"/>
        </w:rPr>
        <w:t xml:space="preserve">Overall, Dangote Group’s strategic direction demonstrates a clear alignment between its mission, vision, and operational decisions. Its focus on industrial expansion and sustainability has strengthened its competitive position and established it as a leading force in African manufacturing.</w:t>
      </w:r>
    </w:p>
    <w:p w:rsidR="00000000" w:rsidDel="00000000" w:rsidP="00000000" w:rsidRDefault="00000000" w:rsidRPr="00000000" w14:paraId="0000001D">
      <w:pPr>
        <w:pStyle w:val="Heading3"/>
        <w:keepNext w:val="0"/>
        <w:keepLines w:val="0"/>
        <w:spacing w:before="280" w:lineRule="auto"/>
        <w:jc w:val="both"/>
        <w:rPr>
          <w:b w:val="1"/>
          <w:bCs w:val="1"/>
          <w:color w:val="000000"/>
          <w:sz w:val="24"/>
          <w:szCs w:val="24"/>
        </w:rPr>
      </w:pPr>
      <w:bookmarkStart w:colFirst="0" w:colLast="0" w:name="_heading=h.ry3iqmop0z1j" w:id="1"/>
      <w:bookmarkEnd w:id="1"/>
      <w:r w:rsidDel="00000000" w:rsidR="00000000" w:rsidRPr="00000000">
        <w:rPr>
          <w:b w:val="1"/>
          <w:bCs w:val="1"/>
          <w:color w:val="000000"/>
          <w:sz w:val="24"/>
          <w:szCs w:val="24"/>
          <w:rtl w:val="0"/>
        </w:rPr>
        <w:t xml:space="preserve">Key Strategic and Economic Challenges</w:t>
      </w:r>
    </w:p>
    <w:p w:rsidR="00000000" w:rsidDel="00000000" w:rsidP="00000000" w:rsidRDefault="00000000" w:rsidRPr="00000000" w14:paraId="0000001E">
      <w:pPr>
        <w:spacing w:after="240" w:before="240" w:lineRule="auto"/>
        <w:jc w:val="both"/>
        <w:rPr>
          <w:sz w:val="24"/>
          <w:szCs w:val="24"/>
        </w:rPr>
      </w:pPr>
      <w:r w:rsidDel="00000000" w:rsidR="00000000" w:rsidRPr="00000000">
        <w:rPr>
          <w:sz w:val="24"/>
          <w:szCs w:val="24"/>
          <w:rtl w:val="0"/>
        </w:rPr>
        <w:t xml:space="preserve">Dangote Group operates within a highly dynamic and complex macroeconomic environment influenced by both domestic structural constraints and global economic fluctuations (IMF, 2023). Recent international monetary projections indicate that economic growth within its broader operating environment stood at approximately 3.8% in 2024 and is forecast to rise to about 4.6% by 2027 (IMF, 2023). While these projections suggest moderate economic expansion, they do not eliminate the significant structural and external risks confronting large industrial conglomerates such as Dangote Group.</w:t>
      </w:r>
    </w:p>
    <w:p w:rsidR="00000000" w:rsidDel="00000000" w:rsidP="00000000" w:rsidRDefault="00000000" w:rsidRPr="00000000" w14:paraId="0000001F">
      <w:pPr>
        <w:spacing w:after="240" w:before="240" w:lineRule="auto"/>
        <w:jc w:val="both"/>
        <w:rPr>
          <w:sz w:val="24"/>
          <w:szCs w:val="24"/>
        </w:rPr>
      </w:pPr>
      <w:r w:rsidDel="00000000" w:rsidR="00000000" w:rsidRPr="00000000">
        <w:rPr>
          <w:sz w:val="24"/>
          <w:szCs w:val="24"/>
          <w:rtl w:val="0"/>
        </w:rPr>
        <w:t xml:space="preserve">A primary strategic challenge relates to supply chain disruptions arising from geopolitical tensions and global trade uncertainties. Such disruptions have heightened market volatility and constrained the availability of critical production inputs ((AfDB,  2023). Concurrently, instability within global financial markets has contributed to elevated energy prices, thereby increasing manufacturing and distribution costs. Persistent inflationary pressures across numerous African economies further compound these challenges by raising raw material expenses and eroding consumer purchasing power, ultimately affecting production volumes and revenue stability (EIU, 2023).</w:t>
      </w:r>
    </w:p>
    <w:p w:rsidR="00000000" w:rsidDel="00000000" w:rsidP="00000000" w:rsidRDefault="00000000" w:rsidRPr="00000000" w14:paraId="00000020">
      <w:pPr>
        <w:spacing w:after="240" w:before="240" w:lineRule="auto"/>
        <w:jc w:val="both"/>
        <w:rPr>
          <w:sz w:val="24"/>
          <w:szCs w:val="24"/>
        </w:rPr>
      </w:pPr>
      <w:r w:rsidDel="00000000" w:rsidR="00000000" w:rsidRPr="00000000">
        <w:rPr>
          <w:sz w:val="24"/>
          <w:szCs w:val="24"/>
          <w:rtl w:val="0"/>
        </w:rPr>
        <w:t xml:space="preserve">As a multinational enterprise with capital-intensive operations, Dangote Group remains particularly sensitive to global macroeconomic shifts. The recent surge in global inflation has intensified operational pressures on industrial firms across the continent. In addition, currency depreciation in several African markets has significantly increased the cost of imported machinery, spare parts, and raw materials (Bank of Africa, 2023). Particularly within the cement manufacturing and petroleum refining sectors. Although macroeconomic indicators within Sub-Saharan Africa suggest gradual stabilisation, short- and medium-term vulnerabilities remain evident, especially in relation to exchange rate volatility and debt sustainability (International Trade Centre, 2023).</w:t>
      </w:r>
    </w:p>
    <w:p w:rsidR="00000000" w:rsidDel="00000000" w:rsidP="00000000" w:rsidRDefault="00000000" w:rsidRPr="00000000" w14:paraId="00000021">
      <w:pPr>
        <w:spacing w:after="240" w:before="240" w:lineRule="auto"/>
        <w:jc w:val="both"/>
        <w:rPr>
          <w:sz w:val="24"/>
          <w:szCs w:val="24"/>
        </w:rPr>
      </w:pPr>
      <w:r w:rsidDel="00000000" w:rsidR="00000000" w:rsidRPr="00000000">
        <w:rPr>
          <w:sz w:val="24"/>
          <w:szCs w:val="24"/>
          <w:rtl w:val="0"/>
        </w:rPr>
        <w:t xml:space="preserve">Regulatory and policy-related uncertainties also represent critical strategic risks. Divergent fiscal policies, evolving taxation regimes, and fuel subsidy reforms across multiple jurisdictions directly influence cost structures and investment decisions (Akintoye, 2023). These regulatory inconsistencies can create operational inefficiencies and complicate long-term strategic planning.</w:t>
      </w:r>
    </w:p>
    <w:p w:rsidR="00000000" w:rsidDel="00000000" w:rsidP="00000000" w:rsidRDefault="00000000" w:rsidRPr="00000000" w14:paraId="00000022">
      <w:pPr>
        <w:spacing w:after="240" w:before="240" w:lineRule="auto"/>
        <w:jc w:val="both"/>
        <w:rPr>
          <w:sz w:val="24"/>
          <w:szCs w:val="24"/>
        </w:rPr>
      </w:pPr>
      <w:r w:rsidDel="00000000" w:rsidR="00000000" w:rsidRPr="00000000">
        <w:rPr>
          <w:sz w:val="24"/>
          <w:szCs w:val="24"/>
          <w:rtl w:val="0"/>
        </w:rPr>
        <w:t xml:space="preserve">Infrastructural deficiencies continue to constrain industrial productivity. Inadequate transport networks increase logistical expenses and reduce supply chain efficiency (GlobalData, 2023). In addition to this, unreliable electricity supply necessitates substantial investment in alternative power generation. This reliance on self-generated energy significantly elevates operational expenditure and affects overall competitiveness.</w:t>
      </w:r>
    </w:p>
    <w:p w:rsidR="00000000" w:rsidDel="00000000" w:rsidP="00000000" w:rsidRDefault="00000000" w:rsidRPr="00000000" w14:paraId="00000023">
      <w:pPr>
        <w:spacing w:after="240" w:before="240" w:lineRule="auto"/>
        <w:jc w:val="both"/>
        <w:rPr>
          <w:sz w:val="24"/>
          <w:szCs w:val="24"/>
        </w:rPr>
      </w:pPr>
      <w:r w:rsidDel="00000000" w:rsidR="00000000" w:rsidRPr="00000000">
        <w:rPr>
          <w:sz w:val="24"/>
          <w:szCs w:val="24"/>
          <w:rtl w:val="0"/>
        </w:rPr>
        <w:t xml:space="preserve">Political instability within certain African markets introduces additional operational risk. Governance challenges and election-related tensions can disrupt business continuity, weaken investor confidence, and delay strategic projects (Akintoye, 2023). In this context, Dangote Group must adopt strategic agility, robust risk management frameworks, and long-term capital planning to sustain growth and preserve its competitive advantage within the African industrial sector.</w:t>
      </w:r>
    </w:p>
    <w:p w:rsidR="00000000" w:rsidDel="00000000" w:rsidP="00000000" w:rsidRDefault="00000000" w:rsidRPr="00000000" w14:paraId="00000024">
      <w:pPr>
        <w:spacing w:after="240" w:before="240" w:lineRule="auto"/>
        <w:jc w:val="both"/>
        <w:rPr>
          <w:b w:val="1"/>
          <w:bCs w:val="1"/>
          <w:sz w:val="24"/>
          <w:szCs w:val="24"/>
        </w:rPr>
      </w:pPr>
      <w:r w:rsidDel="00000000" w:rsidR="00000000" w:rsidRPr="00000000">
        <w:rPr>
          <w:b w:val="1"/>
          <w:bCs w:val="1"/>
          <w:sz w:val="24"/>
          <w:szCs w:val="24"/>
          <w:rtl w:val="0"/>
        </w:rPr>
        <w:t xml:space="preserve"> External Environment Analysis (PESTEL Framework)</w:t>
      </w:r>
    </w:p>
    <w:p w:rsidR="00000000" w:rsidDel="00000000" w:rsidP="00000000" w:rsidRDefault="00000000" w:rsidRPr="00000000" w14:paraId="00000025">
      <w:pPr>
        <w:spacing w:after="240" w:before="240" w:lineRule="auto"/>
        <w:jc w:val="both"/>
        <w:rPr>
          <w:sz w:val="24"/>
          <w:szCs w:val="24"/>
        </w:rPr>
      </w:pPr>
      <w:r w:rsidDel="00000000" w:rsidR="00000000" w:rsidRPr="00000000">
        <w:rPr>
          <w:sz w:val="24"/>
          <w:szCs w:val="24"/>
          <w:rtl w:val="0"/>
        </w:rPr>
        <w:t xml:space="preserve">A PESTEL analysis covering political, economic, social, technological, legal, and environmental factors, provides a structured approach to assessing the macro-environmental forces affecting Dangote Group. As a multinational enterprise operating across several African countries, the Group is significantly influenced by these external dynamics.</w:t>
      </w:r>
    </w:p>
    <w:p w:rsidR="00000000" w:rsidDel="00000000" w:rsidP="00000000" w:rsidRDefault="00000000" w:rsidRPr="00000000" w14:paraId="00000026">
      <w:pPr>
        <w:spacing w:after="240" w:before="240" w:lineRule="auto"/>
        <w:jc w:val="both"/>
        <w:rPr>
          <w:sz w:val="24"/>
          <w:szCs w:val="24"/>
        </w:rPr>
      </w:pPr>
      <w:r w:rsidDel="00000000" w:rsidR="00000000" w:rsidRPr="00000000">
        <w:rPr>
          <w:sz w:val="24"/>
          <w:szCs w:val="24"/>
          <w:rtl w:val="0"/>
        </w:rPr>
        <w:t xml:space="preserve">Political factors play a critical role in shaping the company’s operational landscape. Government policies relating to foreign investment, trade tariffs, taxation, and industrial development directly affect strategic decisions and financial performance (PWC, 2023). Additionally, geopolitical tensions and instances of political instability, including security challenges in parts of northern Nigeria, may disrupt supply chains, delay projects, and create uncertainty within the business environment (PWC, 2023).</w:t>
      </w:r>
    </w:p>
    <w:p w:rsidR="00000000" w:rsidDel="00000000" w:rsidP="00000000" w:rsidRDefault="00000000" w:rsidRPr="00000000" w14:paraId="00000027">
      <w:pPr>
        <w:spacing w:after="240" w:before="240" w:lineRule="auto"/>
        <w:jc w:val="both"/>
        <w:rPr>
          <w:sz w:val="24"/>
          <w:szCs w:val="24"/>
        </w:rPr>
      </w:pPr>
      <w:r w:rsidDel="00000000" w:rsidR="00000000" w:rsidRPr="00000000">
        <w:rPr>
          <w:sz w:val="24"/>
          <w:szCs w:val="24"/>
          <w:rtl w:val="0"/>
        </w:rPr>
        <w:t xml:space="preserve">Economic conditions remain central to the Group’s performance. Persistent inflation since 2024 has increased input and operational costs, thereby exerting pressure on profit margins (United Nations Economic Commission for Africa, 2023). Exchange rate volatility and currency depreciation across several African economies have raised the cost of imported raw materials and capital equipment (African Union, 2023). Particularly, in capital-intensive sectors such as cement manufacturing and petroleum refining. High interest rates have further increased the cost of borrowing, influencing investment planning and expansion strategies.</w:t>
      </w:r>
    </w:p>
    <w:p w:rsidR="00000000" w:rsidDel="00000000" w:rsidP="00000000" w:rsidRDefault="00000000" w:rsidRPr="00000000" w14:paraId="00000028">
      <w:pPr>
        <w:spacing w:after="240" w:before="240" w:lineRule="auto"/>
        <w:jc w:val="both"/>
        <w:rPr>
          <w:sz w:val="24"/>
          <w:szCs w:val="24"/>
        </w:rPr>
      </w:pPr>
      <w:r w:rsidDel="00000000" w:rsidR="00000000" w:rsidRPr="00000000">
        <w:rPr>
          <w:sz w:val="24"/>
          <w:szCs w:val="24"/>
          <w:rtl w:val="0"/>
        </w:rPr>
        <w:t xml:space="preserve">From a social perspective, rapid population growth and urbanisation generate both opportunities and constraints. Nigeria’s population, estimated at over 250 million, continues to expand, leading to higher demand for housing, infrastructure, and consumer goods (The Economist Intelligence Unit, 2023). While this demographic trend strengthens market potential, it also requires the Group to expand production capacity and enhance distribution systems to satisfy growing consumer needs effectively (The Economist Intelligence Unit, 2023).</w:t>
      </w:r>
    </w:p>
    <w:p w:rsidR="00000000" w:rsidDel="00000000" w:rsidP="00000000" w:rsidRDefault="00000000" w:rsidRPr="00000000" w14:paraId="00000029">
      <w:pPr>
        <w:spacing w:after="240" w:before="240" w:lineRule="auto"/>
        <w:jc w:val="both"/>
        <w:rPr>
          <w:sz w:val="24"/>
          <w:szCs w:val="24"/>
        </w:rPr>
      </w:pPr>
      <w:r w:rsidDel="00000000" w:rsidR="00000000" w:rsidRPr="00000000">
        <w:rPr>
          <w:sz w:val="24"/>
          <w:szCs w:val="24"/>
          <w:rtl w:val="0"/>
        </w:rPr>
        <w:t xml:space="preserve">Technological development is another significant external factor. Although the Group has invested substantially in modern technologies across its cement, sugar, and refining operations, continuous innovation remains necessary to sustain efficiency and competitiveness (African Business Magazine, 2023). Rapid technological change in global markets demands ongoing upgrades in production processes and management systems.</w:t>
      </w:r>
    </w:p>
    <w:p w:rsidR="00000000" w:rsidDel="00000000" w:rsidP="00000000" w:rsidRDefault="00000000" w:rsidRPr="00000000" w14:paraId="0000002A">
      <w:pPr>
        <w:spacing w:after="240" w:before="240" w:lineRule="auto"/>
        <w:jc w:val="both"/>
        <w:rPr>
          <w:sz w:val="24"/>
          <w:szCs w:val="24"/>
        </w:rPr>
      </w:pPr>
      <w:r w:rsidDel="00000000" w:rsidR="00000000" w:rsidRPr="00000000">
        <w:rPr>
          <w:sz w:val="24"/>
          <w:szCs w:val="24"/>
          <w:rtl w:val="0"/>
        </w:rPr>
        <w:t xml:space="preserve">Legal considerations also influence the Group’s strategic direction. Operating in multiple jurisdictions requires compliance with diverse regulatory frameworks, including manufacturing standards, environmental regulations, labour laws, and international trade policies (International Labour Organization, 2023). Adherence to these legal requirements is essential to prevent penalties, reputational damage, and operational disruptions.</w:t>
      </w:r>
    </w:p>
    <w:p w:rsidR="00000000" w:rsidDel="00000000" w:rsidP="00000000" w:rsidRDefault="00000000" w:rsidRPr="00000000" w14:paraId="0000002B">
      <w:pPr>
        <w:spacing w:after="240" w:before="240" w:lineRule="auto"/>
        <w:jc w:val="both"/>
        <w:rPr>
          <w:sz w:val="24"/>
          <w:szCs w:val="24"/>
        </w:rPr>
      </w:pPr>
      <w:r w:rsidDel="00000000" w:rsidR="00000000" w:rsidRPr="00000000">
        <w:rPr>
          <w:sz w:val="24"/>
          <w:szCs w:val="24"/>
          <w:rtl w:val="0"/>
        </w:rPr>
        <w:t xml:space="preserve">Environmental concerns increasingly shape industrial operations. Issues such as climate change, carbon emissions, and environmental degradation require companies to adopt sustainable practices (GlobalData, 2023). As a large-scale industrial conglomerate, Dangote Group must ensure that its activities align with environmental standards and sustainability objectives while mitigating the ecological impact of its operations.</w:t>
      </w:r>
    </w:p>
    <w:p w:rsidR="00000000" w:rsidDel="00000000" w:rsidP="00000000" w:rsidRDefault="00000000" w:rsidRPr="00000000" w14:paraId="0000002C">
      <w:pPr>
        <w:spacing w:after="240" w:before="240" w:lineRule="auto"/>
        <w:jc w:val="both"/>
        <w:rPr>
          <w:sz w:val="24"/>
          <w:szCs w:val="24"/>
        </w:rPr>
      </w:pPr>
      <w:r w:rsidDel="00000000" w:rsidR="00000000" w:rsidRPr="00000000">
        <w:rPr>
          <w:sz w:val="24"/>
          <w:szCs w:val="24"/>
          <w:rtl w:val="0"/>
        </w:rPr>
        <w:t xml:space="preserve">Overall, the external environment presents a combination of risks and opportunities. Effective strategic management and adaptive capacity are therefore essential for maintaining long-term growth and competitiveness.</w:t>
      </w:r>
    </w:p>
    <w:p w:rsidR="00000000" w:rsidDel="00000000" w:rsidP="00000000" w:rsidRDefault="00000000" w:rsidRPr="00000000" w14:paraId="0000002D">
      <w:pPr>
        <w:spacing w:after="240" w:before="240" w:lineRule="auto"/>
        <w:jc w:val="both"/>
        <w:rPr>
          <w:b w:val="1"/>
          <w:bCs w:val="1"/>
          <w:sz w:val="24"/>
          <w:szCs w:val="24"/>
        </w:rPr>
      </w:pPr>
      <w:r w:rsidDel="00000000" w:rsidR="00000000" w:rsidRPr="00000000">
        <w:rPr>
          <w:b w:val="1"/>
          <w:bCs w:val="1"/>
          <w:sz w:val="24"/>
          <w:szCs w:val="24"/>
          <w:rtl w:val="0"/>
        </w:rPr>
        <w:t xml:space="preserve">Porter’s Five Forces Analysis</w:t>
      </w:r>
    </w:p>
    <w:p w:rsidR="00000000" w:rsidDel="00000000" w:rsidP="00000000" w:rsidRDefault="00000000" w:rsidRPr="00000000" w14:paraId="0000002E">
      <w:pPr>
        <w:spacing w:after="240" w:before="240" w:lineRule="auto"/>
        <w:jc w:val="both"/>
        <w:rPr>
          <w:sz w:val="24"/>
          <w:szCs w:val="24"/>
        </w:rPr>
      </w:pPr>
      <w:r w:rsidDel="00000000" w:rsidR="00000000" w:rsidRPr="00000000">
        <w:rPr>
          <w:sz w:val="24"/>
          <w:szCs w:val="24"/>
          <w:rtl w:val="0"/>
        </w:rPr>
        <w:t xml:space="preserve">According to Shafa (2023), Porter’s Five Forces framework is a powerful tool for analyzing business competitiveness, helping organizations assess factors such as supplier power, buyer power, competitive rivalry, the threat of new entrants, and the threat of substitutes. Dangote Group, a dominant player in both the cement and refinery industries, benefits from a significant competitive advantage over its peers (GlobalData, 2023). This advantage has been achieved through strategies such as vertical integration, cost leadership, and creating high barriers to entry across Africa.</w:t>
      </w:r>
    </w:p>
    <w:p w:rsidR="00000000" w:rsidDel="00000000" w:rsidP="00000000" w:rsidRDefault="00000000" w:rsidRPr="00000000" w14:paraId="0000002F">
      <w:pPr>
        <w:spacing w:after="240" w:before="240" w:lineRule="auto"/>
        <w:jc w:val="both"/>
        <w:rPr>
          <w:sz w:val="24"/>
          <w:szCs w:val="24"/>
        </w:rPr>
      </w:pPr>
      <w:r w:rsidDel="00000000" w:rsidR="00000000" w:rsidRPr="00000000">
        <w:rPr>
          <w:sz w:val="24"/>
          <w:szCs w:val="24"/>
          <w:rtl w:val="0"/>
        </w:rPr>
        <w:t xml:space="preserve">As a result, Dangote Group faces a relatively low threat from new entrants and substitutes, primarily due to its industry dominance and established market presence (Akintoye, 2023). The threat of new entrants is particularly low, given that establishing a company of Dangote's scale and complexity requires substantial capital investment, which deters potential competitors from entering the market (Baiman, 2023) . This capital intensity forms a strong barrier, protecting the company from new competition.</w:t>
      </w:r>
    </w:p>
    <w:p w:rsidR="00000000" w:rsidDel="00000000" w:rsidP="00000000" w:rsidRDefault="00000000" w:rsidRPr="00000000" w14:paraId="00000030">
      <w:pPr>
        <w:spacing w:after="240" w:before="240" w:lineRule="auto"/>
        <w:jc w:val="both"/>
        <w:rPr>
          <w:sz w:val="24"/>
          <w:szCs w:val="24"/>
        </w:rPr>
      </w:pPr>
      <w:r w:rsidDel="00000000" w:rsidR="00000000" w:rsidRPr="00000000">
        <w:rPr>
          <w:sz w:val="24"/>
          <w:szCs w:val="24"/>
          <w:rtl w:val="0"/>
        </w:rPr>
        <w:t xml:space="preserve">The bargaining power of suppliers is moderate, as Dangote relies heavily on its supply chains, which have limited influence over the pricing and availability of raw materials (Dangote Group, 2023). However, Dangote’s large scale and market power somewhat mitigate the risks associated with supplier dependency. Similarly, the bargaining power of buyers can also be considered moderate. Although customers in the construction sector face high switching costs, there is still considerable competition among retailers and distributors within Africa’s cement industry (Chike, 2023). This competition allows buyers some leverage, but the switching costs associated with changing suppliers tend to limit this power.</w:t>
      </w:r>
    </w:p>
    <w:p w:rsidR="00000000" w:rsidDel="00000000" w:rsidP="00000000" w:rsidRDefault="00000000" w:rsidRPr="00000000" w14:paraId="00000031">
      <w:pPr>
        <w:spacing w:after="240" w:before="240" w:lineRule="auto"/>
        <w:jc w:val="both"/>
        <w:rPr>
          <w:sz w:val="24"/>
          <w:szCs w:val="24"/>
        </w:rPr>
      </w:pPr>
      <w:r w:rsidDel="00000000" w:rsidR="00000000" w:rsidRPr="00000000">
        <w:rPr>
          <w:sz w:val="24"/>
          <w:szCs w:val="24"/>
          <w:rtl w:val="0"/>
        </w:rPr>
        <w:t xml:space="preserve">Porter’s Five Forces framework is essential for evaluating a company’s strategic position and understanding its competitive advantages (PWC, 2023). For Dangote Group, the threat of substitutes is low, particularly in the cement and refining sectors. Few cost-effective alternatives exist for the products Dangote produces, making substitutes less of a concern (Dangote Group, 2023).</w:t>
      </w:r>
    </w:p>
    <w:p w:rsidR="00000000" w:rsidDel="00000000" w:rsidP="00000000" w:rsidRDefault="00000000" w:rsidRPr="00000000" w14:paraId="00000032">
      <w:pPr>
        <w:spacing w:after="240" w:before="240" w:lineRule="auto"/>
        <w:jc w:val="both"/>
        <w:rPr>
          <w:sz w:val="24"/>
          <w:szCs w:val="24"/>
        </w:rPr>
      </w:pPr>
      <w:r w:rsidDel="00000000" w:rsidR="00000000" w:rsidRPr="00000000">
        <w:rPr>
          <w:sz w:val="24"/>
          <w:szCs w:val="24"/>
          <w:rtl w:val="0"/>
        </w:rPr>
        <w:t xml:space="preserve">Finally, competitive rivalry in the cement sector can be categorized as moderate to high. While Dangote Group is the leading player in the industry, it faces competition from other cement manufacturers, such as BUA Cement, which create a dynamic and competitive market environment. Porter’s Five Forces provides a comprehensive framework for Dangote Group to evaluate its market position, understand competitive dynamics, and refine its strategic planning.</w:t>
      </w:r>
    </w:p>
    <w:p w:rsidR="00000000" w:rsidDel="00000000" w:rsidP="00000000" w:rsidRDefault="00000000" w:rsidRPr="00000000" w14:paraId="00000033">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34">
      <w:pPr>
        <w:spacing w:after="240" w:before="240" w:lineRule="auto"/>
        <w:jc w:val="both"/>
        <w:rPr>
          <w:b w:val="1"/>
          <w:bCs w:val="1"/>
          <w:sz w:val="24"/>
          <w:szCs w:val="24"/>
        </w:rPr>
      </w:pPr>
      <w:r w:rsidDel="00000000" w:rsidR="00000000" w:rsidRPr="00000000">
        <w:rPr>
          <w:b w:val="1"/>
          <w:bCs w:val="1"/>
          <w:sz w:val="24"/>
          <w:szCs w:val="24"/>
          <w:rtl w:val="0"/>
        </w:rPr>
        <w:t xml:space="preserve">SWOT Analysis and Growth Strategies Using Ansoff’s Matrix of Dangote Group </w:t>
      </w:r>
    </w:p>
    <w:p w:rsidR="00000000" w:rsidDel="00000000" w:rsidP="00000000" w:rsidRDefault="00000000" w:rsidRPr="00000000" w14:paraId="00000035">
      <w:pPr>
        <w:spacing w:after="240" w:before="240" w:lineRule="auto"/>
        <w:jc w:val="both"/>
        <w:rPr>
          <w:sz w:val="24"/>
          <w:szCs w:val="24"/>
        </w:rPr>
      </w:pPr>
      <w:r w:rsidDel="00000000" w:rsidR="00000000" w:rsidRPr="00000000">
        <w:rPr>
          <w:sz w:val="24"/>
          <w:szCs w:val="24"/>
          <w:rtl w:val="0"/>
        </w:rPr>
        <w:t xml:space="preserve">Dangote Group demonstrates significant competitive strength through its dominant position in the cement and refinery industries across Africa (Dangote Group, 2023). Its vertically integrated structure, extensive supply chain control, and cost-efficient production systems enable the company to maintain product quality while sustaining competitive pricing. Strong brand recognition further reinforces its leadership position (Dangote Group, 2023). Nevertheless, certain weaknesses persist, including heavy reliance on raw material inputs that are subject to price volatility. Operational constraints such as inadequate transport infrastructure and inconsistent power supply increase costs. In addition, exposure to political uncertainty, regulatory instability, inflationary pressures, and currency fluctuations across African markets presents ongoing risks.</w:t>
      </w:r>
    </w:p>
    <w:p w:rsidR="00000000" w:rsidDel="00000000" w:rsidP="00000000" w:rsidRDefault="00000000" w:rsidRPr="00000000" w14:paraId="00000036">
      <w:pPr>
        <w:spacing w:after="240" w:before="240" w:lineRule="auto"/>
        <w:jc w:val="both"/>
        <w:rPr>
          <w:sz w:val="24"/>
          <w:szCs w:val="24"/>
        </w:rPr>
      </w:pPr>
      <w:r w:rsidDel="00000000" w:rsidR="00000000" w:rsidRPr="00000000">
        <w:rPr>
          <w:sz w:val="24"/>
          <w:szCs w:val="24"/>
          <w:rtl w:val="0"/>
        </w:rPr>
        <w:t xml:space="preserve">Despite these constraints, considerable growth opportunities remain. Rapid urbanisation and infrastructure development across Africa create expanding demand, while regional trade integration enhances export prospects (The Economist, 2023). Diversification into related and emerging sectors also offers long-term strategic benefits. However, increasing competition, macroeconomic instability, and evolving regulatory frameworks continue to threaten market share.</w:t>
      </w:r>
    </w:p>
    <w:p w:rsidR="00000000" w:rsidDel="00000000" w:rsidP="00000000" w:rsidRDefault="00000000" w:rsidRPr="00000000" w14:paraId="00000037">
      <w:pPr>
        <w:spacing w:after="240" w:before="240" w:lineRule="auto"/>
        <w:jc w:val="both"/>
        <w:rPr>
          <w:sz w:val="24"/>
          <w:szCs w:val="24"/>
        </w:rPr>
      </w:pPr>
      <w:r w:rsidDel="00000000" w:rsidR="00000000" w:rsidRPr="00000000">
        <w:rPr>
          <w:sz w:val="24"/>
          <w:szCs w:val="24"/>
          <w:rtl w:val="0"/>
        </w:rPr>
        <w:t xml:space="preserve">To respond strategically, Ansoff’s Matrix provides a structured growth framework. Market penetration can be achieved by consolidating existing markets and refining pricing strategies (Ansoff, 1957). Market development involves expansion into underserved African regions. Product development requires broadening the product portfolio within core sectors, while diversification into new industries can reduce sectoral dependence and strengthen long-term resilience (Shafa, 2023).</w:t>
      </w:r>
    </w:p>
    <w:p w:rsidR="00000000" w:rsidDel="00000000" w:rsidP="00000000" w:rsidRDefault="00000000" w:rsidRPr="00000000" w14:paraId="00000038">
      <w:pPr>
        <w:spacing w:after="240" w:before="240" w:lineRule="auto"/>
        <w:jc w:val="both"/>
        <w:rPr>
          <w:sz w:val="24"/>
          <w:szCs w:val="24"/>
        </w:rPr>
      </w:pPr>
      <w:r w:rsidDel="00000000" w:rsidR="00000000" w:rsidRPr="00000000">
        <w:rPr>
          <w:b w:val="1"/>
          <w:bCs w:val="1"/>
          <w:sz w:val="24"/>
          <w:szCs w:val="24"/>
          <w:rtl w:val="0"/>
        </w:rPr>
        <w:t xml:space="preserve">Strategic Recommendations</w:t>
        <w:br w:type="textWrapping"/>
      </w:r>
      <w:r w:rsidDel="00000000" w:rsidR="00000000" w:rsidRPr="00000000">
        <w:rPr>
          <w:sz w:val="24"/>
          <w:szCs w:val="24"/>
          <w:rtl w:val="0"/>
        </w:rPr>
        <w:t xml:space="preserve">Based on the analysis using Porter’s Five Forces, SWOT, and Ansoff’s Matrix, Dangote Group should invest in renewable energy to reduce costs and reliance on fossil fuels. Additionally, enhancing environmental sustainability through eco-friendly technologies will improve its reputation. Investing in education, healthcare, and infrastructure will strengthen community relationships and brand loyalty (Hoffman &amp;  Henn, 2023).</w:t>
      </w:r>
    </w:p>
    <w:p w:rsidR="00000000" w:rsidDel="00000000" w:rsidP="00000000" w:rsidRDefault="00000000" w:rsidRPr="00000000" w14:paraId="00000039">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A">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B">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C">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D">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E">
      <w:pPr>
        <w:spacing w:after="240" w:before="240" w:lineRule="auto"/>
        <w:jc w:val="both"/>
        <w:rPr>
          <w:b w:val="1"/>
          <w:bCs w:val="1"/>
          <w:sz w:val="24"/>
          <w:szCs w:val="24"/>
        </w:rPr>
      </w:pPr>
      <w:r w:rsidDel="00000000" w:rsidR="00000000" w:rsidRPr="00000000">
        <w:rPr>
          <w:b w:val="1"/>
          <w:bCs w:val="1"/>
          <w:sz w:val="24"/>
          <w:szCs w:val="24"/>
          <w:rtl w:val="0"/>
        </w:rPr>
        <w:t xml:space="preserve">Conclusion</w:t>
      </w:r>
    </w:p>
    <w:p w:rsidR="00000000" w:rsidDel="00000000" w:rsidP="00000000" w:rsidRDefault="00000000" w:rsidRPr="00000000" w14:paraId="0000003F">
      <w:pPr>
        <w:spacing w:after="240" w:before="240" w:lineRule="auto"/>
        <w:jc w:val="both"/>
        <w:rPr>
          <w:sz w:val="24"/>
          <w:szCs w:val="24"/>
        </w:rPr>
      </w:pPr>
      <w:r w:rsidDel="00000000" w:rsidR="00000000" w:rsidRPr="00000000">
        <w:rPr>
          <w:sz w:val="24"/>
          <w:szCs w:val="24"/>
          <w:rtl w:val="0"/>
        </w:rPr>
        <w:t xml:space="preserve">Dangote Group is a leading industrial conglomerate in Africa, achieving sustained success through strong brand positioning and strategic expansion across key markets. By applying analytical frameworks such as Porter’s Five Forces, SWOT analysis, and Ansoff’s Matrix, the company has been able to prioritise market penetration, product development, and diversification as core growth strategies. These tools support informed decision-making and enhance its competitive positioning within the industrial sector. A key recommendation is that Dangote should increase investment in renewable energy initiatives to address both internal operational constraints and external environmental challenges. Such a strategic move would not only improve long-term cost efficiency and sustainability but also strengthen the company’s corporate reputation. Overall, this approach would further reinforce Dangote Group’s leadership within Africa’s industrial landscape.</w:t>
      </w:r>
    </w:p>
    <w:p w:rsidR="00000000" w:rsidDel="00000000" w:rsidP="00000000" w:rsidRDefault="00000000" w:rsidRPr="00000000" w14:paraId="00000040">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41">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42">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3">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4">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5">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6">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7">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8">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9">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A">
      <w:pPr>
        <w:spacing w:after="480" w:before="48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4B">
      <w:pPr>
        <w:spacing w:after="240" w:before="240" w:lineRule="auto"/>
        <w:rPr>
          <w:b w:val="1"/>
          <w:bCs w:val="1"/>
          <w:sz w:val="24"/>
          <w:szCs w:val="24"/>
        </w:rPr>
      </w:pPr>
      <w:r w:rsidDel="00000000" w:rsidR="00000000" w:rsidRPr="00000000">
        <w:rPr>
          <w:b w:val="1"/>
          <w:bCs w:val="1"/>
          <w:sz w:val="24"/>
          <w:szCs w:val="24"/>
          <w:rtl w:val="0"/>
        </w:rPr>
        <w:t xml:space="preserve">Reference</w:t>
      </w:r>
    </w:p>
    <w:p w:rsidR="00000000" w:rsidDel="00000000" w:rsidP="00000000" w:rsidRDefault="00000000" w:rsidRPr="00000000" w14:paraId="0000004C">
      <w:pPr>
        <w:spacing w:after="240" w:before="240" w:lineRule="auto"/>
        <w:rPr/>
      </w:pPr>
      <w:r w:rsidDel="00000000" w:rsidR="00000000" w:rsidRPr="00000000">
        <w:rPr>
          <w:rtl w:val="0"/>
        </w:rPr>
        <w:t xml:space="preserve">Adamu, I. (2023). "The Evolution of Dangote Group from Trading to Manufacturing". Business and Economic Journal, 16(4), pp. 123-137.</w:t>
      </w:r>
    </w:p>
    <w:p w:rsidR="00000000" w:rsidDel="00000000" w:rsidP="00000000" w:rsidRDefault="00000000" w:rsidRPr="00000000" w14:paraId="0000004D">
      <w:pPr>
        <w:spacing w:after="240" w:before="240" w:lineRule="auto"/>
        <w:rPr/>
      </w:pPr>
      <w:r w:rsidDel="00000000" w:rsidR="00000000" w:rsidRPr="00000000">
        <w:rPr>
          <w:rtl w:val="0"/>
        </w:rPr>
        <w:t xml:space="preserve">African Business Magazine. (2023). "Dangote Group’s Strategic Response to Political Instability in Africa". African Business Magazine, 15(6), pp. 35-48.</w:t>
      </w:r>
    </w:p>
    <w:p w:rsidR="00000000" w:rsidDel="00000000" w:rsidP="00000000" w:rsidRDefault="00000000" w:rsidRPr="00000000" w14:paraId="0000004E">
      <w:pPr>
        <w:spacing w:after="240" w:before="240" w:lineRule="auto"/>
        <w:rPr/>
      </w:pPr>
      <w:r w:rsidDel="00000000" w:rsidR="00000000" w:rsidRPr="00000000">
        <w:rPr>
          <w:rtl w:val="0"/>
        </w:rPr>
        <w:t xml:space="preserve">African Business Magazine (2023). "Technological and Legal Frameworks Influencing African Industrial Growth". African Business Magazine, 18(7), pp. 23-36.</w:t>
      </w:r>
    </w:p>
    <w:p w:rsidR="00000000" w:rsidDel="00000000" w:rsidP="00000000" w:rsidRDefault="00000000" w:rsidRPr="00000000" w14:paraId="0000004F">
      <w:pPr>
        <w:spacing w:after="240" w:before="240" w:lineRule="auto"/>
        <w:rPr/>
      </w:pPr>
      <w:r w:rsidDel="00000000" w:rsidR="00000000" w:rsidRPr="00000000">
        <w:rPr>
          <w:rtl w:val="0"/>
        </w:rPr>
        <w:t xml:space="preserve">African Development Bank (AfDB). (2023). Infrastructure Challenges in Africa: A Roadblock to Industrial Growth. [online] Available at:</w:t>
      </w:r>
      <w:hyperlink r:id="rId7">
        <w:r w:rsidDel="00000000" w:rsidR="00000000" w:rsidRPr="00000000">
          <w:rPr>
            <w:rtl w:val="0"/>
          </w:rPr>
          <w:t xml:space="preserve"> </w:t>
        </w:r>
      </w:hyperlink>
      <w:hyperlink r:id="rId8">
        <w:r w:rsidDel="00000000" w:rsidR="00000000" w:rsidRPr="00000000">
          <w:rPr>
            <w:color w:val="1155cc"/>
            <w:u w:val="single"/>
            <w:rtl w:val="0"/>
          </w:rPr>
          <w:t xml:space="preserve">https://www.afdb.org/en</w:t>
        </w:r>
      </w:hyperlink>
      <w:r w:rsidDel="00000000" w:rsidR="00000000" w:rsidRPr="00000000">
        <w:rPr>
          <w:rtl w:val="0"/>
        </w:rPr>
        <w:t xml:space="preserve"> [Accessed 26 Feb. 2026].</w:t>
      </w:r>
    </w:p>
    <w:p w:rsidR="00000000" w:rsidDel="00000000" w:rsidP="00000000" w:rsidRDefault="00000000" w:rsidRPr="00000000" w14:paraId="00000050">
      <w:pPr>
        <w:spacing w:after="240" w:before="240" w:lineRule="auto"/>
        <w:rPr/>
      </w:pPr>
      <w:r w:rsidDel="00000000" w:rsidR="00000000" w:rsidRPr="00000000">
        <w:rPr>
          <w:rtl w:val="0"/>
        </w:rPr>
        <w:t xml:space="preserve">African Union (2023). Challenges of Urbanization and Population Growth on African Industry [online] Available at:</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https://www.au.int</w:t>
        </w:r>
      </w:hyperlink>
      <w:r w:rsidDel="00000000" w:rsidR="00000000" w:rsidRPr="00000000">
        <w:rPr>
          <w:rtl w:val="0"/>
        </w:rPr>
        <w:t xml:space="preserve"> [Accessed 26 Feb. 2026].</w:t>
      </w:r>
    </w:p>
    <w:p w:rsidR="00000000" w:rsidDel="00000000" w:rsidP="00000000" w:rsidRDefault="00000000" w:rsidRPr="00000000" w14:paraId="00000051">
      <w:pPr>
        <w:spacing w:after="240" w:before="240" w:lineRule="auto"/>
        <w:rPr/>
      </w:pPr>
      <w:r w:rsidDel="00000000" w:rsidR="00000000" w:rsidRPr="00000000">
        <w:rPr>
          <w:rtl w:val="0"/>
        </w:rPr>
        <w:t xml:space="preserve">Akintoye, I. (2023). "Macroeconomic Shifts and Their Impact on African Manufacturing Firms". Journal of African Business Economics, 22(4), pp. 150-167.</w:t>
      </w:r>
    </w:p>
    <w:p w:rsidR="00000000" w:rsidDel="00000000" w:rsidP="00000000" w:rsidRDefault="00000000" w:rsidRPr="00000000" w14:paraId="00000052">
      <w:pPr>
        <w:spacing w:after="240" w:before="240" w:lineRule="auto"/>
        <w:rPr/>
      </w:pPr>
      <w:r w:rsidDel="00000000" w:rsidR="00000000" w:rsidRPr="00000000">
        <w:rPr>
          <w:rtl w:val="0"/>
        </w:rPr>
        <w:t xml:space="preserve">Akinwale, A. (2023). "Dangote Group’s Sustainability and Strategic Initiatives in Sub-Saharan Africa". International Journal of Business and Development, 15(1), pp. 88-101.</w:t>
      </w:r>
    </w:p>
    <w:p w:rsidR="00000000" w:rsidDel="00000000" w:rsidP="00000000" w:rsidRDefault="00000000" w:rsidRPr="00000000" w14:paraId="00000053">
      <w:pPr>
        <w:spacing w:after="240" w:before="240" w:lineRule="auto"/>
        <w:rPr/>
      </w:pPr>
      <w:r w:rsidDel="00000000" w:rsidR="00000000" w:rsidRPr="00000000">
        <w:rPr>
          <w:rtl w:val="0"/>
        </w:rPr>
        <w:t xml:space="preserve">Aliko Dangote Foundation. (2023). Sustainability and Corporate Social Responsibility at Dangote Group. [online] Available at:</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https://www.dangote.com/foundation</w:t>
        </w:r>
      </w:hyperlink>
      <w:r w:rsidDel="00000000" w:rsidR="00000000" w:rsidRPr="00000000">
        <w:rPr>
          <w:rtl w:val="0"/>
        </w:rPr>
        <w:t xml:space="preserve"> [Accessed 26 Feb. 2026].</w:t>
      </w:r>
    </w:p>
    <w:p w:rsidR="00000000" w:rsidDel="00000000" w:rsidP="00000000" w:rsidRDefault="00000000" w:rsidRPr="00000000" w14:paraId="00000054">
      <w:pPr>
        <w:spacing w:after="240" w:before="240" w:lineRule="auto"/>
        <w:rPr/>
      </w:pPr>
      <w:r w:rsidDel="00000000" w:rsidR="00000000" w:rsidRPr="00000000">
        <w:rPr>
          <w:rtl w:val="0"/>
        </w:rPr>
        <w:t xml:space="preserve">Dangote Group (2023). Corporate Profile: About Dangote Group. [online] Available at:</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https://www.dangote.com</w:t>
        </w:r>
      </w:hyperlink>
      <w:r w:rsidDel="00000000" w:rsidR="00000000" w:rsidRPr="00000000">
        <w:rPr>
          <w:rtl w:val="0"/>
        </w:rPr>
        <w:t xml:space="preserve"> [Accessed 26 February 2026].</w:t>
      </w:r>
    </w:p>
    <w:p w:rsidR="00000000" w:rsidDel="00000000" w:rsidP="00000000" w:rsidRDefault="00000000" w:rsidRPr="00000000" w14:paraId="00000055">
      <w:pPr>
        <w:spacing w:after="240" w:before="240" w:lineRule="auto"/>
        <w:rPr/>
      </w:pPr>
      <w:r w:rsidDel="00000000" w:rsidR="00000000" w:rsidRPr="00000000">
        <w:rPr>
          <w:rtl w:val="0"/>
        </w:rPr>
        <w:t xml:space="preserve">Dangote Group (2023). The Evolution of Dangote Group: From Trading to Manufacturing. [online] Available at:</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https://www.dangote.com</w:t>
        </w:r>
      </w:hyperlink>
      <w:r w:rsidDel="00000000" w:rsidR="00000000" w:rsidRPr="00000000">
        <w:rPr>
          <w:rtl w:val="0"/>
        </w:rPr>
        <w:t xml:space="preserve"> [Accessed 26 Feb. 2026].</w:t>
      </w:r>
    </w:p>
    <w:p w:rsidR="00000000" w:rsidDel="00000000" w:rsidP="00000000" w:rsidRDefault="00000000" w:rsidRPr="00000000" w14:paraId="00000056">
      <w:pPr>
        <w:spacing w:after="240" w:before="240" w:lineRule="auto"/>
        <w:rPr/>
      </w:pPr>
      <w:r w:rsidDel="00000000" w:rsidR="00000000" w:rsidRPr="00000000">
        <w:rPr>
          <w:rtl w:val="0"/>
        </w:rPr>
        <w:t xml:space="preserve">Dangote Group (2023). Porter’s Five Forces Analysis of Dangote Group: Strategic Implications in Cement and Refinery Markets. [online] Available at:</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https://www.dangote.com</w:t>
        </w:r>
      </w:hyperlink>
      <w:r w:rsidDel="00000000" w:rsidR="00000000" w:rsidRPr="00000000">
        <w:rPr>
          <w:rtl w:val="0"/>
        </w:rPr>
        <w:t xml:space="preserve"> [Accessed 26 Feb. 2026].</w:t>
      </w:r>
    </w:p>
    <w:p w:rsidR="00000000" w:rsidDel="00000000" w:rsidP="00000000" w:rsidRDefault="00000000" w:rsidRPr="00000000" w14:paraId="00000057">
      <w:pPr>
        <w:spacing w:after="240" w:before="240" w:lineRule="auto"/>
        <w:rPr/>
      </w:pPr>
      <w:r w:rsidDel="00000000" w:rsidR="00000000" w:rsidRPr="00000000">
        <w:rPr>
          <w:rtl w:val="0"/>
        </w:rPr>
        <w:t xml:space="preserve">GlobalData. (2023). Sustainability and Environmental Impact in Large-Scale Manufacturing [online] Available at:</w:t>
      </w:r>
      <w:hyperlink r:id="rId19">
        <w:r w:rsidDel="00000000" w:rsidR="00000000" w:rsidRPr="00000000">
          <w:rPr>
            <w:rtl w:val="0"/>
          </w:rPr>
          <w:t xml:space="preserve"> </w:t>
        </w:r>
      </w:hyperlink>
      <w:hyperlink r:id="rId20">
        <w:r w:rsidDel="00000000" w:rsidR="00000000" w:rsidRPr="00000000">
          <w:rPr>
            <w:color w:val="1155cc"/>
            <w:u w:val="single"/>
            <w:rtl w:val="0"/>
          </w:rPr>
          <w:t xml:space="preserve">https://www.globaldata.com</w:t>
        </w:r>
      </w:hyperlink>
      <w:r w:rsidDel="00000000" w:rsidR="00000000" w:rsidRPr="00000000">
        <w:rPr>
          <w:rtl w:val="0"/>
        </w:rPr>
        <w:t xml:space="preserve"> [Accessed 26 Feb. 2026].</w:t>
      </w:r>
    </w:p>
    <w:p w:rsidR="00000000" w:rsidDel="00000000" w:rsidP="00000000" w:rsidRDefault="00000000" w:rsidRPr="00000000" w14:paraId="00000058">
      <w:pPr>
        <w:spacing w:after="240" w:before="240" w:lineRule="auto"/>
        <w:rPr/>
      </w:pPr>
      <w:r w:rsidDel="00000000" w:rsidR="00000000" w:rsidRPr="00000000">
        <w:rPr>
          <w:rtl w:val="0"/>
        </w:rPr>
        <w:t xml:space="preserve">Hoffman, A. J. and Henn, R. (2023). The Role of Sustainability and Strategic Investments in African Conglomerates: A Case Study of Dangote Group. Journal of Business Strategy &amp; Sustainability, 34(2), pp. 122-135.</w:t>
      </w:r>
    </w:p>
    <w:p w:rsidR="00000000" w:rsidDel="00000000" w:rsidP="00000000" w:rsidRDefault="00000000" w:rsidRPr="00000000" w14:paraId="00000059">
      <w:pPr>
        <w:spacing w:after="240" w:before="240" w:lineRule="auto"/>
        <w:rPr/>
      </w:pPr>
      <w:r w:rsidDel="00000000" w:rsidR="00000000" w:rsidRPr="00000000">
        <w:rPr>
          <w:rtl w:val="0"/>
        </w:rPr>
        <w:t xml:space="preserve">International Labour Organization (ILO) (2023). Labour Laws and Regulatory Frameworks in African Manufacturing [online] Available at:</w:t>
      </w:r>
      <w:hyperlink r:id="rId21">
        <w:r w:rsidDel="00000000" w:rsidR="00000000" w:rsidRPr="00000000">
          <w:rPr>
            <w:rtl w:val="0"/>
          </w:rPr>
          <w:t xml:space="preserve"> </w:t>
        </w:r>
      </w:hyperlink>
      <w:hyperlink r:id="rId22">
        <w:r w:rsidDel="00000000" w:rsidR="00000000" w:rsidRPr="00000000">
          <w:rPr>
            <w:color w:val="1155cc"/>
            <w:u w:val="single"/>
            <w:rtl w:val="0"/>
          </w:rPr>
          <w:t xml:space="preserve">https://www.ilo.org</w:t>
        </w:r>
      </w:hyperlink>
      <w:r w:rsidDel="00000000" w:rsidR="00000000" w:rsidRPr="00000000">
        <w:rPr>
          <w:rtl w:val="0"/>
        </w:rPr>
        <w:t xml:space="preserve"> [Accessed 26 Feb. 2026].</w:t>
      </w:r>
    </w:p>
    <w:p w:rsidR="00000000" w:rsidDel="00000000" w:rsidP="00000000" w:rsidRDefault="00000000" w:rsidRPr="00000000" w14:paraId="0000005A">
      <w:pPr>
        <w:spacing w:after="240" w:before="240" w:lineRule="auto"/>
        <w:rPr/>
      </w:pPr>
      <w:r w:rsidDel="00000000" w:rsidR="00000000" w:rsidRPr="00000000">
        <w:rPr>
          <w:rtl w:val="0"/>
        </w:rPr>
        <w:t xml:space="preserve">International Monetary Fund (IMF) (2023). Sub-Saharan Africa: Regional Economic Outlook. [online] Available at:</w:t>
      </w:r>
      <w:hyperlink r:id="rId23">
        <w:r w:rsidDel="00000000" w:rsidR="00000000" w:rsidRPr="00000000">
          <w:rPr>
            <w:rtl w:val="0"/>
          </w:rPr>
          <w:t xml:space="preserve"> </w:t>
        </w:r>
      </w:hyperlink>
      <w:hyperlink r:id="rId24">
        <w:r w:rsidDel="00000000" w:rsidR="00000000" w:rsidRPr="00000000">
          <w:rPr>
            <w:color w:val="1155cc"/>
            <w:u w:val="single"/>
            <w:rtl w:val="0"/>
          </w:rPr>
          <w:t xml:space="preserve">https://www.imf.org/en/regions/africa</w:t>
        </w:r>
      </w:hyperlink>
      <w:r w:rsidDel="00000000" w:rsidR="00000000" w:rsidRPr="00000000">
        <w:rPr>
          <w:rtl w:val="0"/>
        </w:rPr>
        <w:t xml:space="preserve"> [Accessed 26 Feb. 2026].</w:t>
      </w:r>
    </w:p>
    <w:p w:rsidR="00000000" w:rsidDel="00000000" w:rsidP="00000000" w:rsidRDefault="00000000" w:rsidRPr="00000000" w14:paraId="0000005B">
      <w:pPr>
        <w:spacing w:after="240" w:before="240" w:lineRule="auto"/>
        <w:rPr/>
      </w:pPr>
      <w:r w:rsidDel="00000000" w:rsidR="00000000" w:rsidRPr="00000000">
        <w:rPr>
          <w:rtl w:val="0"/>
        </w:rPr>
        <w:t xml:space="preserve">International Trade Centre (ITC). (2023). Impact of Global Trade Uncertainty on African Manufacturing. [online] Available at:</w:t>
      </w:r>
      <w:hyperlink r:id="rId25">
        <w:r w:rsidDel="00000000" w:rsidR="00000000" w:rsidRPr="00000000">
          <w:rPr>
            <w:rtl w:val="0"/>
          </w:rPr>
          <w:t xml:space="preserve"> </w:t>
        </w:r>
      </w:hyperlink>
      <w:hyperlink r:id="rId26">
        <w:r w:rsidDel="00000000" w:rsidR="00000000" w:rsidRPr="00000000">
          <w:rPr>
            <w:color w:val="1155cc"/>
            <w:u w:val="single"/>
            <w:rtl w:val="0"/>
          </w:rPr>
          <w:t xml:space="preserve">https://www.intracen.org</w:t>
        </w:r>
      </w:hyperlink>
      <w:r w:rsidDel="00000000" w:rsidR="00000000" w:rsidRPr="00000000">
        <w:rPr>
          <w:rtl w:val="0"/>
        </w:rPr>
        <w:t xml:space="preserve"> [Accessed 26 Feb. 2026].</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bCs w:val="1"/>
          <w:sz w:val="24"/>
          <w:szCs w:val="24"/>
        </w:rPr>
      </w:pPr>
      <w:r w:rsidDel="00000000" w:rsidR="00000000" w:rsidRPr="00000000">
        <w:rPr>
          <w:rtl w:val="0"/>
        </w:rPr>
      </w:r>
    </w:p>
    <w:sectPr>
      <w:headerReference r:id="rId27" w:type="default"/>
      <w:footerReference r:id="rId2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globaldata.com/" TargetMode="External"/><Relationship Id="rId22" Type="http://schemas.openxmlformats.org/officeDocument/2006/relationships/hyperlink" Target="https://www.ilo.org/" TargetMode="External"/><Relationship Id="rId21" Type="http://schemas.openxmlformats.org/officeDocument/2006/relationships/hyperlink" Target="https://www.ilo.org/" TargetMode="External"/><Relationship Id="rId24" Type="http://schemas.openxmlformats.org/officeDocument/2006/relationships/hyperlink" Target="https://www.imf.org/en/regions/africa" TargetMode="External"/><Relationship Id="rId23" Type="http://schemas.openxmlformats.org/officeDocument/2006/relationships/hyperlink" Target="https://www.imf.org/en/regions/afric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u.int/" TargetMode="External"/><Relationship Id="rId26" Type="http://schemas.openxmlformats.org/officeDocument/2006/relationships/hyperlink" Target="https://www.intracen.org/" TargetMode="External"/><Relationship Id="rId25" Type="http://schemas.openxmlformats.org/officeDocument/2006/relationships/hyperlink" Target="https://www.intracen.org/" TargetMode="External"/><Relationship Id="rId28" Type="http://schemas.openxmlformats.org/officeDocument/2006/relationships/footer" Target="footer1.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fdb.org/en" TargetMode="External"/><Relationship Id="rId8" Type="http://schemas.openxmlformats.org/officeDocument/2006/relationships/hyperlink" Target="https://www.afdb.org/en" TargetMode="External"/><Relationship Id="rId11" Type="http://schemas.openxmlformats.org/officeDocument/2006/relationships/hyperlink" Target="https://www.dangote.com/foundation" TargetMode="External"/><Relationship Id="rId10" Type="http://schemas.openxmlformats.org/officeDocument/2006/relationships/hyperlink" Target="https://www.au.int/" TargetMode="External"/><Relationship Id="rId13" Type="http://schemas.openxmlformats.org/officeDocument/2006/relationships/hyperlink" Target="https://www.dangote.com/" TargetMode="External"/><Relationship Id="rId12" Type="http://schemas.openxmlformats.org/officeDocument/2006/relationships/hyperlink" Target="https://www.dangote.com/foundation" TargetMode="External"/><Relationship Id="rId15" Type="http://schemas.openxmlformats.org/officeDocument/2006/relationships/hyperlink" Target="https://www.dangote.com/" TargetMode="External"/><Relationship Id="rId14" Type="http://schemas.openxmlformats.org/officeDocument/2006/relationships/hyperlink" Target="https://www.dangote.com/" TargetMode="External"/><Relationship Id="rId17" Type="http://schemas.openxmlformats.org/officeDocument/2006/relationships/hyperlink" Target="https://www.dangote.com/" TargetMode="External"/><Relationship Id="rId16" Type="http://schemas.openxmlformats.org/officeDocument/2006/relationships/hyperlink" Target="https://www.dangote.com/" TargetMode="External"/><Relationship Id="rId19" Type="http://schemas.openxmlformats.org/officeDocument/2006/relationships/hyperlink" Target="https://www.globaldata.com/" TargetMode="External"/><Relationship Id="rId18" Type="http://schemas.openxmlformats.org/officeDocument/2006/relationships/hyperlink" Target="https://www.dango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3cTOPkEcFktGl2zQ56HOz9VZtA==">CgMxLjAyDmguN3dkcXZ3aXI0d2x0Mg5oLnJ5M2lxbW9wMHoxajgAciExN3A0bTgzdFVQNzVKUEFoWkdFQ2hyUXUyaFNaVG1LX2Y=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