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8D11B13" w14:textId="28A97016" w:rsidR="00E616AD" w:rsidRDefault="4710AB7B" w:rsidP="18AED773">
      <w:r>
        <w:rPr>
          <w:noProof/>
        </w:rPr>
        <w:drawing>
          <wp:inline distT="0" distB="0" distL="0" distR="0" wp14:anchorId="518C71F9" wp14:editId="6E58F38A">
            <wp:extent cx="1809750" cy="723900"/>
            <wp:effectExtent l="0" t="0" r="0" b="0"/>
            <wp:docPr id="572880217" name="drawing" title="Discover University of Wales Trinity Saint David">
              <a:extLst xmlns:a="http://schemas.openxmlformats.org/drawingml/2006/main">
                <a:ext uri="{FF2B5EF4-FFF2-40B4-BE49-F238E27FC236}">
                  <a16:creationId xmlns:a16="http://schemas.microsoft.com/office/drawing/2014/main" id="{A2CE8FB7-60A9-443A-BFFB-C0EA351F53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943570" name="Picture 1002943570"/>
                    <pic:cNvPicPr/>
                  </pic:nvPicPr>
                  <pic:blipFill>
                    <a:blip r:embed="rId5">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r w:rsidRPr="18AED773">
        <w:rPr>
          <w:rFonts w:ascii="Aptos" w:eastAsia="Aptos" w:hAnsi="Aptos" w:cs="Aptos"/>
          <w:b/>
          <w:bCs/>
          <w:color w:val="000000" w:themeColor="text1"/>
          <w:sz w:val="28"/>
          <w:szCs w:val="28"/>
        </w:rPr>
        <w:t xml:space="preserve">Full assignment </w:t>
      </w:r>
    </w:p>
    <w:p w14:paraId="10110844" w14:textId="68EFCEAB" w:rsidR="00E616AD" w:rsidRDefault="4710AB7B" w:rsidP="18AED773">
      <w:r w:rsidRPr="18AED773">
        <w:rPr>
          <w:rFonts w:ascii="Aptos" w:eastAsia="Aptos" w:hAnsi="Aptos" w:cs="Aptos"/>
          <w:b/>
          <w:bCs/>
          <w:color w:val="000000" w:themeColor="text1"/>
          <w:sz w:val="28"/>
          <w:szCs w:val="28"/>
        </w:rPr>
        <w:t>Assignment Title:</w:t>
      </w:r>
      <w:r>
        <w:t xml:space="preserve"> IMPACT OF COVID-19 ON HEALTH AND SOCIAL CARE SERVICES</w:t>
      </w:r>
    </w:p>
    <w:p w14:paraId="40EA538E" w14:textId="74CD5405" w:rsidR="00E616AD" w:rsidRDefault="4710AB7B" w:rsidP="18AED773">
      <w:pPr>
        <w:ind w:left="2160"/>
        <w:rPr>
          <w:rFonts w:ascii="Aptos" w:eastAsia="Aptos" w:hAnsi="Aptos" w:cs="Aptos"/>
          <w:color w:val="000000" w:themeColor="text1"/>
        </w:rPr>
      </w:pPr>
      <w:r w:rsidRPr="18AED773">
        <w:rPr>
          <w:rFonts w:ascii="Aptos" w:eastAsia="Aptos" w:hAnsi="Aptos" w:cs="Aptos"/>
          <w:b/>
          <w:bCs/>
          <w:color w:val="000000" w:themeColor="text1"/>
          <w:sz w:val="28"/>
          <w:szCs w:val="28"/>
        </w:rPr>
        <w:t>Student Name</w:t>
      </w:r>
      <w:r w:rsidRPr="18AED773">
        <w:rPr>
          <w:rFonts w:ascii="Aptos" w:eastAsia="Aptos" w:hAnsi="Aptos" w:cs="Aptos"/>
          <w:color w:val="000000" w:themeColor="text1"/>
        </w:rPr>
        <w:t xml:space="preserve">: Vlasta </w:t>
      </w:r>
      <w:proofErr w:type="spellStart"/>
      <w:r w:rsidRPr="18AED773">
        <w:rPr>
          <w:rFonts w:ascii="Aptos" w:eastAsia="Aptos" w:hAnsi="Aptos" w:cs="Aptos"/>
          <w:color w:val="000000" w:themeColor="text1"/>
        </w:rPr>
        <w:t>Tancosova</w:t>
      </w:r>
      <w:proofErr w:type="spellEnd"/>
    </w:p>
    <w:p w14:paraId="6E524FA6" w14:textId="749CB662" w:rsidR="00E616AD" w:rsidRDefault="4710AB7B" w:rsidP="18AED773">
      <w:pPr>
        <w:ind w:left="2160"/>
        <w:rPr>
          <w:rFonts w:ascii="Aptos" w:eastAsia="Aptos" w:hAnsi="Aptos" w:cs="Aptos"/>
          <w:color w:val="000000" w:themeColor="text1"/>
        </w:rPr>
      </w:pPr>
      <w:r w:rsidRPr="18AED773">
        <w:rPr>
          <w:rFonts w:ascii="Aptos" w:eastAsia="Aptos" w:hAnsi="Aptos" w:cs="Aptos"/>
          <w:b/>
          <w:bCs/>
          <w:color w:val="000000" w:themeColor="text1"/>
          <w:sz w:val="28"/>
          <w:szCs w:val="28"/>
        </w:rPr>
        <w:t>Student ID</w:t>
      </w:r>
      <w:r w:rsidRPr="18AED773">
        <w:rPr>
          <w:rFonts w:ascii="Aptos" w:eastAsia="Aptos" w:hAnsi="Aptos" w:cs="Aptos"/>
          <w:color w:val="000000" w:themeColor="text1"/>
        </w:rPr>
        <w:t>: 2535023</w:t>
      </w:r>
    </w:p>
    <w:p w14:paraId="72DF4FFA" w14:textId="14DAFA09" w:rsidR="00E616AD" w:rsidRDefault="44421951" w:rsidP="18AED773">
      <w:pPr>
        <w:ind w:left="2160"/>
        <w:rPr>
          <w:rFonts w:ascii="Aptos" w:eastAsia="Aptos" w:hAnsi="Aptos" w:cs="Aptos"/>
          <w:color w:val="000000" w:themeColor="text1"/>
        </w:rPr>
      </w:pPr>
      <w:r w:rsidRPr="6BC63ACE">
        <w:rPr>
          <w:rFonts w:ascii="Aptos" w:eastAsia="Aptos" w:hAnsi="Aptos" w:cs="Aptos"/>
          <w:b/>
          <w:bCs/>
          <w:color w:val="000000" w:themeColor="text1"/>
          <w:sz w:val="28"/>
          <w:szCs w:val="28"/>
        </w:rPr>
        <w:t>Module Code</w:t>
      </w:r>
      <w:r w:rsidRPr="6BC63ACE">
        <w:rPr>
          <w:rFonts w:ascii="Aptos" w:eastAsia="Aptos" w:hAnsi="Aptos" w:cs="Aptos"/>
          <w:color w:val="000000" w:themeColor="text1"/>
        </w:rPr>
        <w:t>: LCHS400</w:t>
      </w:r>
      <w:r w:rsidR="29AD7FD0" w:rsidRPr="6BC63ACE">
        <w:rPr>
          <w:rFonts w:ascii="Aptos" w:eastAsia="Aptos" w:hAnsi="Aptos" w:cs="Aptos"/>
          <w:color w:val="000000" w:themeColor="text1"/>
        </w:rPr>
        <w:t>7</w:t>
      </w:r>
    </w:p>
    <w:p w14:paraId="7948F205" w14:textId="1FB57520" w:rsidR="00E616AD" w:rsidRDefault="44421951" w:rsidP="18AED773">
      <w:pPr>
        <w:ind w:left="2160"/>
        <w:rPr>
          <w:rFonts w:ascii="Aptos" w:eastAsia="Aptos" w:hAnsi="Aptos" w:cs="Aptos"/>
          <w:color w:val="000000" w:themeColor="text1"/>
        </w:rPr>
      </w:pPr>
      <w:r w:rsidRPr="6BC63ACE">
        <w:rPr>
          <w:rFonts w:ascii="Aptos" w:eastAsia="Aptos" w:hAnsi="Aptos" w:cs="Aptos"/>
          <w:b/>
          <w:bCs/>
          <w:color w:val="000000" w:themeColor="text1"/>
          <w:sz w:val="28"/>
          <w:szCs w:val="28"/>
        </w:rPr>
        <w:t>Lecture Name</w:t>
      </w:r>
      <w:r w:rsidRPr="6BC63ACE">
        <w:rPr>
          <w:rFonts w:ascii="Aptos" w:eastAsia="Aptos" w:hAnsi="Aptos" w:cs="Aptos"/>
          <w:color w:val="000000" w:themeColor="text1"/>
        </w:rPr>
        <w:t xml:space="preserve">: </w:t>
      </w:r>
      <w:proofErr w:type="spellStart"/>
      <w:r w:rsidR="5D3B5C07" w:rsidRPr="6BC63ACE">
        <w:rPr>
          <w:rFonts w:ascii="Aptos" w:eastAsia="Aptos" w:hAnsi="Aptos" w:cs="Aptos"/>
          <w:color w:val="000000" w:themeColor="text1"/>
        </w:rPr>
        <w:t>Hajra</w:t>
      </w:r>
      <w:proofErr w:type="spellEnd"/>
      <w:r w:rsidR="5D3B5C07" w:rsidRPr="6BC63ACE">
        <w:rPr>
          <w:rFonts w:ascii="Aptos" w:eastAsia="Aptos" w:hAnsi="Aptos" w:cs="Aptos"/>
          <w:color w:val="000000" w:themeColor="text1"/>
        </w:rPr>
        <w:t xml:space="preserve"> </w:t>
      </w:r>
      <w:proofErr w:type="spellStart"/>
      <w:r w:rsidR="5D3B5C07" w:rsidRPr="6BC63ACE">
        <w:rPr>
          <w:rFonts w:ascii="Aptos" w:eastAsia="Aptos" w:hAnsi="Aptos" w:cs="Aptos"/>
          <w:color w:val="000000" w:themeColor="text1"/>
        </w:rPr>
        <w:t>Mustasim</w:t>
      </w:r>
      <w:proofErr w:type="spellEnd"/>
    </w:p>
    <w:p w14:paraId="26BDD209" w14:textId="0C361D00" w:rsidR="00E616AD" w:rsidRDefault="4710AB7B" w:rsidP="18AED773">
      <w:pPr>
        <w:ind w:left="2160"/>
        <w:rPr>
          <w:rFonts w:ascii="Aptos" w:eastAsia="Aptos" w:hAnsi="Aptos" w:cs="Aptos"/>
          <w:color w:val="000000" w:themeColor="text1"/>
        </w:rPr>
      </w:pPr>
      <w:r w:rsidRPr="18AED773">
        <w:rPr>
          <w:rFonts w:ascii="Aptos" w:eastAsia="Aptos" w:hAnsi="Aptos" w:cs="Aptos"/>
          <w:b/>
          <w:bCs/>
          <w:color w:val="000000" w:themeColor="text1"/>
          <w:sz w:val="28"/>
          <w:szCs w:val="28"/>
        </w:rPr>
        <w:t>Submission Date</w:t>
      </w:r>
      <w:r w:rsidRPr="18AED773">
        <w:rPr>
          <w:rFonts w:ascii="Aptos" w:eastAsia="Aptos" w:hAnsi="Aptos" w:cs="Aptos"/>
          <w:color w:val="000000" w:themeColor="text1"/>
        </w:rPr>
        <w:t xml:space="preserve">: </w:t>
      </w:r>
      <w:r w:rsidR="7B27EDB1" w:rsidRPr="14BD2EB7">
        <w:rPr>
          <w:rFonts w:ascii="Aptos" w:eastAsia="Aptos" w:hAnsi="Aptos" w:cs="Aptos"/>
          <w:color w:val="000000" w:themeColor="text1"/>
        </w:rPr>
        <w:t>2</w:t>
      </w:r>
      <w:r w:rsidR="1BD3D5FC" w:rsidRPr="14BD2EB7">
        <w:rPr>
          <w:rFonts w:ascii="Aptos" w:eastAsia="Aptos" w:hAnsi="Aptos" w:cs="Aptos"/>
          <w:color w:val="000000" w:themeColor="text1"/>
        </w:rPr>
        <w:t>1</w:t>
      </w:r>
      <w:r w:rsidR="1BD3D5FC" w:rsidRPr="14BD2EB7">
        <w:rPr>
          <w:rFonts w:ascii="Aptos" w:eastAsia="Aptos" w:hAnsi="Aptos" w:cs="Aptos"/>
          <w:color w:val="000000" w:themeColor="text1"/>
          <w:vertAlign w:val="superscript"/>
        </w:rPr>
        <w:t>st</w:t>
      </w:r>
      <w:r w:rsidRPr="18AED773">
        <w:rPr>
          <w:rFonts w:ascii="Aptos" w:eastAsia="Aptos" w:hAnsi="Aptos" w:cs="Aptos"/>
          <w:color w:val="000000" w:themeColor="text1"/>
        </w:rPr>
        <w:t xml:space="preserve"> July 2026</w:t>
      </w:r>
    </w:p>
    <w:p w14:paraId="0D10D421" w14:textId="13A9782A" w:rsidR="00E616AD" w:rsidRDefault="44421951" w:rsidP="18AED773">
      <w:pPr>
        <w:ind w:left="2160"/>
        <w:rPr>
          <w:rFonts w:ascii="Aptos" w:eastAsia="Aptos" w:hAnsi="Aptos" w:cs="Aptos"/>
          <w:color w:val="000000" w:themeColor="text1"/>
        </w:rPr>
      </w:pPr>
      <w:r w:rsidRPr="6BC63ACE">
        <w:rPr>
          <w:rFonts w:ascii="Aptos" w:eastAsia="Aptos" w:hAnsi="Aptos" w:cs="Aptos"/>
          <w:b/>
          <w:bCs/>
          <w:color w:val="000000" w:themeColor="text1"/>
          <w:sz w:val="28"/>
          <w:szCs w:val="28"/>
        </w:rPr>
        <w:t>Word Count</w:t>
      </w:r>
      <w:r w:rsidRPr="6BC63ACE">
        <w:rPr>
          <w:rFonts w:ascii="Aptos" w:eastAsia="Aptos" w:hAnsi="Aptos" w:cs="Aptos"/>
          <w:color w:val="000000" w:themeColor="text1"/>
        </w:rPr>
        <w:t>: 1</w:t>
      </w:r>
      <w:r w:rsidR="2B18318A" w:rsidRPr="6BC63ACE">
        <w:rPr>
          <w:rFonts w:ascii="Aptos" w:eastAsia="Aptos" w:hAnsi="Aptos" w:cs="Aptos"/>
          <w:color w:val="000000" w:themeColor="text1"/>
        </w:rPr>
        <w:t>5</w:t>
      </w:r>
      <w:r w:rsidRPr="6BC63ACE">
        <w:rPr>
          <w:rFonts w:ascii="Aptos" w:eastAsia="Aptos" w:hAnsi="Aptos" w:cs="Aptos"/>
          <w:color w:val="000000" w:themeColor="text1"/>
        </w:rPr>
        <w:t xml:space="preserve">00 words. </w:t>
      </w:r>
    </w:p>
    <w:p w14:paraId="5518EC41" w14:textId="145C13FA" w:rsidR="00E616AD" w:rsidRDefault="00E616AD" w:rsidP="18AED773">
      <w:pPr>
        <w:ind w:left="2160"/>
        <w:rPr>
          <w:rFonts w:ascii="Aptos" w:eastAsia="Aptos" w:hAnsi="Aptos" w:cs="Aptos"/>
          <w:color w:val="000000" w:themeColor="text1"/>
        </w:rPr>
      </w:pPr>
    </w:p>
    <w:p w14:paraId="34131B8F" w14:textId="60A9803D" w:rsidR="00E616AD" w:rsidRDefault="00E616AD" w:rsidP="18AED773">
      <w:pPr>
        <w:rPr>
          <w:rFonts w:ascii="Aptos" w:eastAsia="Aptos" w:hAnsi="Aptos" w:cs="Aptos"/>
          <w:color w:val="000000" w:themeColor="text1"/>
        </w:rPr>
      </w:pPr>
    </w:p>
    <w:p w14:paraId="1771DB2D" w14:textId="6893505D" w:rsidR="75E8054A" w:rsidRDefault="75E8054A"/>
    <w:p w14:paraId="78017E75" w14:textId="7BFA77DB" w:rsidR="6773031B" w:rsidRDefault="6773031B"/>
    <w:p w14:paraId="6C97135B" w14:textId="2EA06AF9" w:rsidR="6773031B" w:rsidRDefault="6773031B"/>
    <w:p w14:paraId="64E6F927" w14:textId="5E644F49" w:rsidR="6773031B" w:rsidRDefault="6773031B"/>
    <w:p w14:paraId="0BF3E057" w14:textId="0319EA56" w:rsidR="6773031B" w:rsidRDefault="6773031B"/>
    <w:p w14:paraId="06504E9D" w14:textId="293626F2" w:rsidR="6773031B" w:rsidRDefault="6773031B"/>
    <w:p w14:paraId="353614AD" w14:textId="3274F2D8" w:rsidR="6773031B" w:rsidRDefault="6773031B"/>
    <w:p w14:paraId="136B35FF" w14:textId="57D8C6E3" w:rsidR="6773031B" w:rsidRDefault="6773031B"/>
    <w:p w14:paraId="4A87B198" w14:textId="1E3330AE" w:rsidR="6773031B" w:rsidRDefault="6773031B"/>
    <w:p w14:paraId="07157F2F" w14:textId="53D2BEEC" w:rsidR="6773031B" w:rsidRDefault="6773031B"/>
    <w:p w14:paraId="205A2959" w14:textId="5A9539F1" w:rsidR="16A23158" w:rsidRDefault="16A23158"/>
    <w:p w14:paraId="7B9CE5B4" w14:textId="513F1C78" w:rsidR="431C7DD6" w:rsidRDefault="431C7DD6"/>
    <w:p w14:paraId="05C40D7C" w14:textId="477B78DA" w:rsidR="431C7DD6" w:rsidRDefault="431C7DD6"/>
    <w:p w14:paraId="0D6FD23E" w14:textId="0532705A" w:rsidR="431C7DD6" w:rsidRDefault="431C7DD6"/>
    <w:p w14:paraId="546B40CF" w14:textId="6EC4F989" w:rsidR="431C7DD6" w:rsidRDefault="431C7DD6"/>
    <w:p w14:paraId="2C559AA4" w14:textId="1822D318" w:rsidR="00844E7F" w:rsidRPr="00844E7F" w:rsidRDefault="00844E7F" w:rsidP="00844E7F">
      <w:pPr>
        <w:rPr>
          <w:rFonts w:ascii="Aptos" w:eastAsia="Aptos" w:hAnsi="Aptos" w:cs="Aptos"/>
          <w:b/>
          <w:color w:val="000000" w:themeColor="text1"/>
        </w:rPr>
      </w:pPr>
      <w:r w:rsidRPr="431C7DD6">
        <w:rPr>
          <w:rFonts w:ascii="Aptos" w:eastAsia="Aptos" w:hAnsi="Aptos" w:cs="Aptos"/>
          <w:b/>
          <w:color w:val="000000" w:themeColor="text1"/>
        </w:rPr>
        <w:t>Section 1: Introducing the Research Paper and Topic Development</w:t>
      </w:r>
      <w:r w:rsidR="245800F0" w:rsidRPr="431C7DD6">
        <w:rPr>
          <w:rFonts w:ascii="Aptos" w:eastAsia="Aptos" w:hAnsi="Aptos" w:cs="Aptos"/>
          <w:b/>
          <w:bCs/>
          <w:color w:val="000000" w:themeColor="text1"/>
        </w:rPr>
        <w:t xml:space="preserve"> (350 words)</w:t>
      </w:r>
    </w:p>
    <w:p w14:paraId="6B1A3D9F" w14:textId="77777777" w:rsidR="00844E7F" w:rsidRPr="00844E7F" w:rsidRDefault="00844E7F" w:rsidP="00844E7F">
      <w:pPr>
        <w:rPr>
          <w:rFonts w:ascii="Aptos" w:eastAsia="Aptos" w:hAnsi="Aptos" w:cs="Aptos"/>
          <w:color w:val="000000" w:themeColor="text1"/>
        </w:rPr>
      </w:pPr>
    </w:p>
    <w:p w14:paraId="68BAF7DE" w14:textId="63F7657F"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This report analyses the research paper titled School Attendance Problems &amp; COVID-19, written by McDonald, Lester</w:t>
      </w:r>
      <w:r w:rsidR="4C51CDCD" w:rsidRPr="431C7DD6">
        <w:rPr>
          <w:rFonts w:ascii="Aptos" w:eastAsia="Aptos" w:hAnsi="Aptos" w:cs="Aptos"/>
          <w:color w:val="000000" w:themeColor="text1"/>
        </w:rPr>
        <w:t>,</w:t>
      </w:r>
      <w:r w:rsidRPr="00844E7F">
        <w:rPr>
          <w:rFonts w:ascii="Aptos" w:eastAsia="Aptos" w:hAnsi="Aptos" w:cs="Aptos"/>
          <w:color w:val="000000" w:themeColor="text1"/>
        </w:rPr>
        <w:t xml:space="preserve"> and Michelson, and published in 2023. The study investigates how the COVID-19 pandemic and its accompanying public health measures reshaped school attendance patterns, affected children’s health and wellbeing, and exposed gaps in support systems across education, health</w:t>
      </w:r>
      <w:r w:rsidR="70A48BDC" w:rsidRPr="431C7DD6">
        <w:rPr>
          <w:rFonts w:ascii="Aptos" w:eastAsia="Aptos" w:hAnsi="Aptos" w:cs="Aptos"/>
          <w:color w:val="000000" w:themeColor="text1"/>
        </w:rPr>
        <w:t>,</w:t>
      </w:r>
      <w:r w:rsidRPr="00844E7F">
        <w:rPr>
          <w:rFonts w:ascii="Aptos" w:eastAsia="Aptos" w:hAnsi="Aptos" w:cs="Aptos"/>
          <w:color w:val="000000" w:themeColor="text1"/>
        </w:rPr>
        <w:t xml:space="preserve"> and social care in England.</w:t>
      </w:r>
    </w:p>
    <w:p w14:paraId="67C3EA45" w14:textId="77777777" w:rsidR="00844E7F" w:rsidRPr="00844E7F" w:rsidRDefault="00844E7F" w:rsidP="00844E7F">
      <w:pPr>
        <w:rPr>
          <w:rFonts w:ascii="Aptos" w:eastAsia="Aptos" w:hAnsi="Aptos" w:cs="Aptos"/>
          <w:color w:val="000000" w:themeColor="text1"/>
        </w:rPr>
      </w:pPr>
    </w:p>
    <w:p w14:paraId="61FF451C" w14:textId="77777777"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The core problem explored is the sharp and sustained rise in persistent school absence following national lockdowns, remote learning, and ongoing health guidance. While these restrictions were designed to protect public health, they created long-term unintended consequences: widespread disengagement from education, breakdown of daily routines, growing mental health difficulties among children and families, and widening inequalities between disadvantaged and more privileged groups. The authors examine the root causes of these changes, which groups were most severely impacted, and the barriers preventing children from returning to consistent in-person learning.</w:t>
      </w:r>
    </w:p>
    <w:p w14:paraId="190B4088" w14:textId="77777777" w:rsidR="00844E7F" w:rsidRPr="00844E7F" w:rsidRDefault="00844E7F" w:rsidP="00844E7F">
      <w:pPr>
        <w:rPr>
          <w:rFonts w:ascii="Aptos" w:eastAsia="Aptos" w:hAnsi="Aptos" w:cs="Aptos"/>
          <w:color w:val="000000" w:themeColor="text1"/>
        </w:rPr>
      </w:pPr>
    </w:p>
    <w:p w14:paraId="5FB75076" w14:textId="482A8DF6"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The research focuses on children and young people aged 5–16, their parents and carers, school staff, and multi-agency professionals including education welfare officers, school nurses, social workers</w:t>
      </w:r>
      <w:r w:rsidR="6900B608" w:rsidRPr="431C7DD6">
        <w:rPr>
          <w:rFonts w:ascii="Aptos" w:eastAsia="Aptos" w:hAnsi="Aptos" w:cs="Aptos"/>
          <w:color w:val="000000" w:themeColor="text1"/>
        </w:rPr>
        <w:t>,</w:t>
      </w:r>
      <w:r w:rsidRPr="00844E7F">
        <w:rPr>
          <w:rFonts w:ascii="Aptos" w:eastAsia="Aptos" w:hAnsi="Aptos" w:cs="Aptos"/>
          <w:color w:val="000000" w:themeColor="text1"/>
        </w:rPr>
        <w:t xml:space="preserve"> and mental health practitioners. It covers both primary and secondary school settings across urban, rural and coastal areas, with particular attention to groups already at risk of educational disadvantage before the pandemic: children with special educational needs and disabilities (SEND), those eligible for free school meals, children in care, and those from minority ethnic backgrounds.</w:t>
      </w:r>
    </w:p>
    <w:p w14:paraId="16969B68" w14:textId="77777777" w:rsidR="00844E7F" w:rsidRPr="00844E7F" w:rsidRDefault="00844E7F" w:rsidP="00844E7F">
      <w:pPr>
        <w:rPr>
          <w:rFonts w:ascii="Aptos" w:eastAsia="Aptos" w:hAnsi="Aptos" w:cs="Aptos"/>
          <w:color w:val="000000" w:themeColor="text1"/>
        </w:rPr>
      </w:pPr>
    </w:p>
    <w:p w14:paraId="2AD4A4C6" w14:textId="61A2A51C"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This topic is highly significant for UK health and social care. Regular school attendance is a key social determinant of health, linked to improved physical development, emotional resilience, social connection, long-term employment prospects</w:t>
      </w:r>
      <w:r w:rsidR="29BEF112" w:rsidRPr="431C7DD6">
        <w:rPr>
          <w:rFonts w:ascii="Aptos" w:eastAsia="Aptos" w:hAnsi="Aptos" w:cs="Aptos"/>
          <w:color w:val="000000" w:themeColor="text1"/>
        </w:rPr>
        <w:t>,</w:t>
      </w:r>
      <w:r w:rsidRPr="00844E7F">
        <w:rPr>
          <w:rFonts w:ascii="Aptos" w:eastAsia="Aptos" w:hAnsi="Aptos" w:cs="Aptos"/>
          <w:color w:val="000000" w:themeColor="text1"/>
        </w:rPr>
        <w:t xml:space="preserve"> and reduced risk of safeguarding concerns. For practitioners, attendance trends act as an early warning system for family hardship, unmet health needs</w:t>
      </w:r>
      <w:r w:rsidR="3F24AE16" w:rsidRPr="431C7DD6">
        <w:rPr>
          <w:rFonts w:ascii="Aptos" w:eastAsia="Aptos" w:hAnsi="Aptos" w:cs="Aptos"/>
          <w:color w:val="000000" w:themeColor="text1"/>
        </w:rPr>
        <w:t>,</w:t>
      </w:r>
      <w:r w:rsidRPr="00844E7F">
        <w:rPr>
          <w:rFonts w:ascii="Aptos" w:eastAsia="Aptos" w:hAnsi="Aptos" w:cs="Aptos"/>
          <w:color w:val="000000" w:themeColor="text1"/>
        </w:rPr>
        <w:t xml:space="preserve"> or neglect. The findings are critical for developing joined-up support between services, meeting legal duties under the Children Act 1989 and Care Act 2014, and building resilient systems that can respond effectively to future public health emergencies. Schools act not only as places of learning but also as hubs for health promotion, safeguarding and community support, so disruption to attendance ripples across every area of a child’s life.</w:t>
      </w:r>
    </w:p>
    <w:p w14:paraId="6F1E9A34" w14:textId="644C0573" w:rsidR="431C7DD6" w:rsidRDefault="431C7DD6" w:rsidP="431C7DD6">
      <w:pPr>
        <w:rPr>
          <w:rFonts w:ascii="Aptos" w:eastAsia="Aptos" w:hAnsi="Aptos" w:cs="Aptos"/>
          <w:color w:val="000000" w:themeColor="text1"/>
        </w:rPr>
      </w:pPr>
    </w:p>
    <w:p w14:paraId="3E55E66F" w14:textId="2084304F" w:rsidR="00844E7F" w:rsidRPr="00844E7F" w:rsidRDefault="00844E7F" w:rsidP="00844E7F">
      <w:pPr>
        <w:rPr>
          <w:rFonts w:ascii="Aptos" w:eastAsia="Aptos" w:hAnsi="Aptos" w:cs="Aptos"/>
          <w:b/>
          <w:color w:val="000000" w:themeColor="text1"/>
        </w:rPr>
      </w:pPr>
      <w:r w:rsidRPr="431C7DD6">
        <w:rPr>
          <w:rFonts w:ascii="Aptos" w:eastAsia="Aptos" w:hAnsi="Aptos" w:cs="Aptos"/>
          <w:b/>
          <w:color w:val="000000" w:themeColor="text1"/>
        </w:rPr>
        <w:t>Section 2: Understanding the Purpose and Research Question</w:t>
      </w:r>
      <w:r w:rsidR="2AE46C55" w:rsidRPr="431C7DD6">
        <w:rPr>
          <w:rFonts w:ascii="Aptos" w:eastAsia="Aptos" w:hAnsi="Aptos" w:cs="Aptos"/>
          <w:b/>
          <w:bCs/>
          <w:color w:val="000000" w:themeColor="text1"/>
        </w:rPr>
        <w:t xml:space="preserve"> (100 words)</w:t>
      </w:r>
    </w:p>
    <w:p w14:paraId="007616C1" w14:textId="77777777"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The primary aim of this research is to evaluate changes in school attendance rates between 2019 and 2023, identify the personal, family, institutional and societal factors driving increased absence, and assess how effectively current support measures address these challenges. The specific research questions are:</w:t>
      </w:r>
    </w:p>
    <w:p w14:paraId="4D53A934" w14:textId="77777777" w:rsidR="00844E7F" w:rsidRPr="00844E7F" w:rsidRDefault="00844E7F" w:rsidP="00844E7F">
      <w:pPr>
        <w:rPr>
          <w:rFonts w:ascii="Aptos" w:eastAsia="Aptos" w:hAnsi="Aptos" w:cs="Aptos"/>
          <w:color w:val="000000" w:themeColor="text1"/>
        </w:rPr>
      </w:pPr>
    </w:p>
    <w:p w14:paraId="131EEBF4" w14:textId="323CE120"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1. How have overall and persistent absence rates changed compared to pre-pandemic trends?</w:t>
      </w:r>
    </w:p>
    <w:p w14:paraId="77D76770" w14:textId="69F38879"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2. What key barriers prevent children and young people from engaging with in-person education?</w:t>
      </w:r>
    </w:p>
    <w:p w14:paraId="1DA82F52" w14:textId="77777777"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3. What support systems and interventions are most effective in improving attendance and wellbeing outcomes?</w:t>
      </w:r>
    </w:p>
    <w:p w14:paraId="582C2B63" w14:textId="77777777" w:rsidR="00844E7F" w:rsidRPr="00844E7F" w:rsidRDefault="00844E7F" w:rsidP="00844E7F">
      <w:pPr>
        <w:rPr>
          <w:rFonts w:ascii="Aptos" w:eastAsia="Aptos" w:hAnsi="Aptos" w:cs="Aptos"/>
          <w:color w:val="000000" w:themeColor="text1"/>
        </w:rPr>
      </w:pPr>
    </w:p>
    <w:p w14:paraId="3189638F" w14:textId="514E109C"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By answering these questions, the study aims to provide evidence-based recommendations for policymakers, schools</w:t>
      </w:r>
      <w:r w:rsidR="73FAD780" w:rsidRPr="431C7DD6">
        <w:rPr>
          <w:rFonts w:ascii="Aptos" w:eastAsia="Aptos" w:hAnsi="Aptos" w:cs="Aptos"/>
          <w:color w:val="000000" w:themeColor="text1"/>
        </w:rPr>
        <w:t>,</w:t>
      </w:r>
      <w:r w:rsidRPr="00844E7F">
        <w:rPr>
          <w:rFonts w:ascii="Aptos" w:eastAsia="Aptos" w:hAnsi="Aptos" w:cs="Aptos"/>
          <w:color w:val="000000" w:themeColor="text1"/>
        </w:rPr>
        <w:t xml:space="preserve"> and care professionals to reduce long-term harm and support fairer outcomes for all children.</w:t>
      </w:r>
    </w:p>
    <w:p w14:paraId="6ADA0F69" w14:textId="5E327D14" w:rsidR="431C7DD6" w:rsidRDefault="431C7DD6" w:rsidP="431C7DD6">
      <w:pPr>
        <w:rPr>
          <w:rFonts w:ascii="Aptos" w:eastAsia="Aptos" w:hAnsi="Aptos" w:cs="Aptos"/>
          <w:b/>
          <w:bCs/>
          <w:color w:val="000000" w:themeColor="text1"/>
        </w:rPr>
      </w:pPr>
    </w:p>
    <w:p w14:paraId="7EBD42AE" w14:textId="29CA7574" w:rsidR="00844E7F" w:rsidRPr="00844E7F" w:rsidRDefault="00844E7F" w:rsidP="00844E7F">
      <w:pPr>
        <w:rPr>
          <w:rFonts w:ascii="Aptos" w:eastAsia="Aptos" w:hAnsi="Aptos" w:cs="Aptos"/>
          <w:b/>
          <w:color w:val="000000" w:themeColor="text1"/>
        </w:rPr>
      </w:pPr>
      <w:r w:rsidRPr="431C7DD6">
        <w:rPr>
          <w:rFonts w:ascii="Aptos" w:eastAsia="Aptos" w:hAnsi="Aptos" w:cs="Aptos"/>
          <w:b/>
          <w:color w:val="000000" w:themeColor="text1"/>
        </w:rPr>
        <w:t>Section 3: Understanding the Research Methods</w:t>
      </w:r>
      <w:r w:rsidR="27962328" w:rsidRPr="431C7DD6">
        <w:rPr>
          <w:rFonts w:ascii="Aptos" w:eastAsia="Aptos" w:hAnsi="Aptos" w:cs="Aptos"/>
          <w:b/>
          <w:bCs/>
          <w:color w:val="000000" w:themeColor="text1"/>
        </w:rPr>
        <w:t xml:space="preserve"> (800 words)</w:t>
      </w:r>
    </w:p>
    <w:p w14:paraId="3DB41655" w14:textId="77777777" w:rsidR="00844E7F" w:rsidRPr="00844E7F" w:rsidRDefault="00844E7F" w:rsidP="00844E7F">
      <w:pPr>
        <w:rPr>
          <w:rFonts w:ascii="Aptos" w:eastAsia="Aptos" w:hAnsi="Aptos" w:cs="Aptos"/>
          <w:color w:val="000000" w:themeColor="text1"/>
        </w:rPr>
      </w:pPr>
    </w:p>
    <w:p w14:paraId="0CEB9018" w14:textId="6A45E616" w:rsidR="00844E7F" w:rsidRPr="00844E7F" w:rsidRDefault="00844E7F" w:rsidP="00844E7F">
      <w:pPr>
        <w:rPr>
          <w:rFonts w:ascii="Aptos" w:eastAsia="Aptos" w:hAnsi="Aptos" w:cs="Aptos"/>
          <w:color w:val="000000" w:themeColor="text1"/>
          <w:highlight w:val="yellow"/>
        </w:rPr>
      </w:pPr>
      <w:r w:rsidRPr="431C7DD6">
        <w:rPr>
          <w:rFonts w:ascii="Aptos" w:eastAsia="Aptos" w:hAnsi="Aptos" w:cs="Aptos"/>
          <w:color w:val="000000" w:themeColor="text1"/>
          <w:highlight w:val="yellow"/>
        </w:rPr>
        <w:t>Definitions of Research Approaches</w:t>
      </w:r>
    </w:p>
    <w:p w14:paraId="440396CD" w14:textId="36F3A47D"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Quantitative research focuses on gathering and analysing numerical data to measure trends, frequencies</w:t>
      </w:r>
      <w:r w:rsidR="3B6E7051" w:rsidRPr="431C7DD6">
        <w:rPr>
          <w:rFonts w:ascii="Aptos" w:eastAsia="Aptos" w:hAnsi="Aptos" w:cs="Aptos"/>
          <w:color w:val="000000" w:themeColor="text1"/>
        </w:rPr>
        <w:t>,</w:t>
      </w:r>
      <w:r w:rsidRPr="00844E7F">
        <w:rPr>
          <w:rFonts w:ascii="Aptos" w:eastAsia="Aptos" w:hAnsi="Aptos" w:cs="Aptos"/>
          <w:color w:val="000000" w:themeColor="text1"/>
        </w:rPr>
        <w:t xml:space="preserve"> and statistical relationships between variables. It uses structured tools such as surveys or administrative records to answer questions about scale, extent</w:t>
      </w:r>
      <w:r w:rsidR="1FB456A4" w:rsidRPr="431C7DD6">
        <w:rPr>
          <w:rFonts w:ascii="Aptos" w:eastAsia="Aptos" w:hAnsi="Aptos" w:cs="Aptos"/>
          <w:color w:val="000000" w:themeColor="text1"/>
        </w:rPr>
        <w:t>,</w:t>
      </w:r>
      <w:r w:rsidRPr="00844E7F">
        <w:rPr>
          <w:rFonts w:ascii="Aptos" w:eastAsia="Aptos" w:hAnsi="Aptos" w:cs="Aptos"/>
          <w:color w:val="000000" w:themeColor="text1"/>
        </w:rPr>
        <w:t xml:space="preserve"> and patterns across large groups, producing findings that can be generalised to wider populations. Qualitative research explores experiences, perspectives, meanings and behaviours through non-numerical evidence such as interviews, focus groups or observations. It seeks to understand why and how situations occur, offering deep insight into personal and social contexts. Mixed-methods research integrates both approaches: quantitative data establishes the scope of an issue, while qualitative evidence explains the human stories and reasons behind those statistics, creating a more complete and balanced understanding. This approach reduces the limitations of using one method alone, making findings more robust and useful for practice.</w:t>
      </w:r>
    </w:p>
    <w:p w14:paraId="58BD0525" w14:textId="77777777" w:rsidR="00844E7F" w:rsidRPr="00844E7F" w:rsidRDefault="00844E7F" w:rsidP="00844E7F">
      <w:pPr>
        <w:rPr>
          <w:rFonts w:ascii="Aptos" w:eastAsia="Aptos" w:hAnsi="Aptos" w:cs="Aptos"/>
          <w:color w:val="000000" w:themeColor="text1"/>
        </w:rPr>
      </w:pPr>
    </w:p>
    <w:p w14:paraId="2405C9FB" w14:textId="3158E37A" w:rsidR="00844E7F" w:rsidRPr="00844E7F" w:rsidRDefault="00844E7F" w:rsidP="00844E7F">
      <w:pPr>
        <w:rPr>
          <w:rFonts w:ascii="Aptos" w:eastAsia="Aptos" w:hAnsi="Aptos" w:cs="Aptos"/>
          <w:color w:val="000000" w:themeColor="text1"/>
          <w:highlight w:val="yellow"/>
        </w:rPr>
      </w:pPr>
      <w:r w:rsidRPr="431C7DD6">
        <w:rPr>
          <w:rFonts w:ascii="Aptos" w:eastAsia="Aptos" w:hAnsi="Aptos" w:cs="Aptos"/>
          <w:color w:val="000000" w:themeColor="text1"/>
          <w:highlight w:val="yellow"/>
        </w:rPr>
        <w:t>Research Method Used</w:t>
      </w:r>
    </w:p>
    <w:p w14:paraId="0D225EF4" w14:textId="77777777"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This study adopts a mixed-methods sequential explanatory design. The researchers first analysed large-scale quantitative datasets to map national and local attendance trends and identify disparities between groups. They then collected detailed qualitative evidence to explore the lived experiences and underlying causes behind these statistical patterns. This approach was selected because school attendance is shaped by measurable factors such as income or location, as well as deeply personal circumstances like anxiety or family illness, requiring both breadth and depth of enquiry.</w:t>
      </w:r>
    </w:p>
    <w:p w14:paraId="7AA17607" w14:textId="77777777" w:rsidR="00844E7F" w:rsidRPr="00844E7F" w:rsidRDefault="00844E7F" w:rsidP="00844E7F">
      <w:pPr>
        <w:rPr>
          <w:rFonts w:ascii="Aptos" w:eastAsia="Aptos" w:hAnsi="Aptos" w:cs="Aptos"/>
          <w:color w:val="000000" w:themeColor="text1"/>
        </w:rPr>
      </w:pPr>
    </w:p>
    <w:p w14:paraId="0A06C91F" w14:textId="098A210D" w:rsidR="00844E7F" w:rsidRPr="00844E7F" w:rsidRDefault="00844E7F" w:rsidP="00844E7F">
      <w:pPr>
        <w:rPr>
          <w:rFonts w:ascii="Aptos" w:eastAsia="Aptos" w:hAnsi="Aptos" w:cs="Aptos"/>
          <w:color w:val="000000" w:themeColor="text1"/>
          <w:highlight w:val="yellow"/>
        </w:rPr>
      </w:pPr>
      <w:r w:rsidRPr="431C7DD6">
        <w:rPr>
          <w:rFonts w:ascii="Aptos" w:eastAsia="Aptos" w:hAnsi="Aptos" w:cs="Aptos"/>
          <w:color w:val="000000" w:themeColor="text1"/>
          <w:highlight w:val="yellow"/>
        </w:rPr>
        <w:t>Primary vs Secondary Data</w:t>
      </w:r>
    </w:p>
    <w:p w14:paraId="415E6E4C" w14:textId="77777777"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Primary data refers to original information collected directly from participants specifically for the study in question. Secondary data describes existing datasets gathered by other organisations for different purposes, such as government statistics or administrative records. This research draws on both sources to strengthen its validity, using secondary data to set the national context and primary data to capture current, firsthand experiences.</w:t>
      </w:r>
    </w:p>
    <w:p w14:paraId="5EBA30C0" w14:textId="77777777" w:rsidR="00844E7F" w:rsidRPr="00844E7F" w:rsidRDefault="00844E7F" w:rsidP="00844E7F">
      <w:pPr>
        <w:rPr>
          <w:rFonts w:ascii="Aptos" w:eastAsia="Aptos" w:hAnsi="Aptos" w:cs="Aptos"/>
          <w:color w:val="000000" w:themeColor="text1"/>
        </w:rPr>
      </w:pPr>
    </w:p>
    <w:p w14:paraId="4DE8F51A" w14:textId="6B629B18" w:rsidR="00844E7F" w:rsidRPr="00844E7F" w:rsidRDefault="00844E7F" w:rsidP="00844E7F">
      <w:pPr>
        <w:rPr>
          <w:rFonts w:ascii="Aptos" w:eastAsia="Aptos" w:hAnsi="Aptos" w:cs="Aptos"/>
          <w:color w:val="000000" w:themeColor="text1"/>
          <w:highlight w:val="yellow"/>
        </w:rPr>
      </w:pPr>
      <w:r w:rsidRPr="431C7DD6">
        <w:rPr>
          <w:rFonts w:ascii="Aptos" w:eastAsia="Aptos" w:hAnsi="Aptos" w:cs="Aptos"/>
          <w:color w:val="000000" w:themeColor="text1"/>
          <w:highlight w:val="yellow"/>
        </w:rPr>
        <w:t>Data Collection</w:t>
      </w:r>
    </w:p>
    <w:p w14:paraId="7D0FCD8B" w14:textId="254A5CD2"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 Secondary data: Official attendance records from the UK Department for Education (DfE) covering 2018–2023, alongside local authority data on pupil demographics, free school meal eligibility, SEND status and area deprivation levels. This allowed the team to compare pre-pandemic, peak-restriction</w:t>
      </w:r>
      <w:r w:rsidR="2F3342B2" w:rsidRPr="431C7DD6">
        <w:rPr>
          <w:rFonts w:ascii="Aptos" w:eastAsia="Aptos" w:hAnsi="Aptos" w:cs="Aptos"/>
          <w:color w:val="000000" w:themeColor="text1"/>
        </w:rPr>
        <w:t>,</w:t>
      </w:r>
      <w:r w:rsidRPr="00844E7F">
        <w:rPr>
          <w:rFonts w:ascii="Aptos" w:eastAsia="Aptos" w:hAnsi="Aptos" w:cs="Aptos"/>
          <w:color w:val="000000" w:themeColor="text1"/>
        </w:rPr>
        <w:t xml:space="preserve"> and post-reopening attendance patterns, and identify which groups were most affected.</w:t>
      </w:r>
    </w:p>
    <w:p w14:paraId="624D4B4D" w14:textId="77777777" w:rsidR="00844E7F" w:rsidRPr="00844E7F" w:rsidRDefault="00844E7F" w:rsidP="00844E7F">
      <w:pPr>
        <w:rPr>
          <w:rFonts w:ascii="Aptos" w:eastAsia="Aptos" w:hAnsi="Aptos" w:cs="Aptos"/>
          <w:color w:val="000000" w:themeColor="text1"/>
        </w:rPr>
      </w:pPr>
    </w:p>
    <w:p w14:paraId="19A8FB80" w14:textId="1C20FB16"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 Primary data: 200 structured online surveys completed by parents and carers, gathering information on health concerns, transport access, communication with schools, and support received.</w:t>
      </w:r>
    </w:p>
    <w:p w14:paraId="02C5273C" w14:textId="77777777" w:rsidR="00844E7F" w:rsidRPr="00844E7F" w:rsidRDefault="00844E7F" w:rsidP="00844E7F">
      <w:pPr>
        <w:rPr>
          <w:rFonts w:ascii="Aptos" w:eastAsia="Aptos" w:hAnsi="Aptos" w:cs="Aptos"/>
          <w:color w:val="000000" w:themeColor="text1"/>
        </w:rPr>
      </w:pPr>
    </w:p>
    <w:p w14:paraId="7C4E4CB0" w14:textId="76409013"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 45 semi-structured interviews with headteachers, class teachers, education welfare officers, school nurses</w:t>
      </w:r>
      <w:r w:rsidR="76ED44E3" w:rsidRPr="431C7DD6">
        <w:rPr>
          <w:rFonts w:ascii="Aptos" w:eastAsia="Aptos" w:hAnsi="Aptos" w:cs="Aptos"/>
          <w:color w:val="000000" w:themeColor="text1"/>
        </w:rPr>
        <w:t>,</w:t>
      </w:r>
      <w:r w:rsidRPr="00844E7F">
        <w:rPr>
          <w:rFonts w:ascii="Aptos" w:eastAsia="Aptos" w:hAnsi="Aptos" w:cs="Aptos"/>
          <w:color w:val="000000" w:themeColor="text1"/>
        </w:rPr>
        <w:t xml:space="preserve"> and social workers, exploring professional perspectives on barriers, resource capacity and multi-agency working.</w:t>
      </w:r>
    </w:p>
    <w:p w14:paraId="62E103B5" w14:textId="29443851"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 15 age-appropriate focus groups with children aged 10–16, conducted in line with strict ethical guidance to ensure safety, informed assent</w:t>
      </w:r>
      <w:r w:rsidR="72E370E5" w:rsidRPr="431C7DD6">
        <w:rPr>
          <w:rFonts w:ascii="Aptos" w:eastAsia="Aptos" w:hAnsi="Aptos" w:cs="Aptos"/>
          <w:color w:val="000000" w:themeColor="text1"/>
        </w:rPr>
        <w:t>,</w:t>
      </w:r>
      <w:r w:rsidRPr="00844E7F">
        <w:rPr>
          <w:rFonts w:ascii="Aptos" w:eastAsia="Aptos" w:hAnsi="Aptos" w:cs="Aptos"/>
          <w:color w:val="000000" w:themeColor="text1"/>
        </w:rPr>
        <w:t xml:space="preserve"> and protection of participants.</w:t>
      </w:r>
    </w:p>
    <w:p w14:paraId="6D5815B0" w14:textId="77777777" w:rsidR="00844E7F" w:rsidRPr="00844E7F" w:rsidRDefault="00844E7F" w:rsidP="00844E7F">
      <w:pPr>
        <w:rPr>
          <w:rFonts w:ascii="Aptos" w:eastAsia="Aptos" w:hAnsi="Aptos" w:cs="Aptos"/>
          <w:color w:val="000000" w:themeColor="text1"/>
        </w:rPr>
      </w:pPr>
    </w:p>
    <w:p w14:paraId="5855ECC8" w14:textId="687CB469" w:rsidR="00844E7F" w:rsidRPr="00844E7F" w:rsidRDefault="00844E7F" w:rsidP="00844E7F">
      <w:pPr>
        <w:rPr>
          <w:rFonts w:ascii="Aptos" w:eastAsia="Aptos" w:hAnsi="Aptos" w:cs="Aptos"/>
          <w:color w:val="000000" w:themeColor="text1"/>
          <w:highlight w:val="yellow"/>
        </w:rPr>
      </w:pPr>
      <w:r w:rsidRPr="431C7DD6">
        <w:rPr>
          <w:rFonts w:ascii="Aptos" w:eastAsia="Aptos" w:hAnsi="Aptos" w:cs="Aptos"/>
          <w:color w:val="000000" w:themeColor="text1"/>
          <w:highlight w:val="yellow"/>
        </w:rPr>
        <w:t>Data Analysis</w:t>
      </w:r>
    </w:p>
    <w:p w14:paraId="73699C5B" w14:textId="04C9254F"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Quantitative data was processed using statistical software to calculate average absence rates, persistent absence percentages, and correlations between disadvantage markers and attendance levels. The researchers also compared trends across regions, age groups</w:t>
      </w:r>
      <w:r w:rsidR="34D55E34" w:rsidRPr="431C7DD6">
        <w:rPr>
          <w:rFonts w:ascii="Aptos" w:eastAsia="Aptos" w:hAnsi="Aptos" w:cs="Aptos"/>
          <w:color w:val="000000" w:themeColor="text1"/>
        </w:rPr>
        <w:t>,</w:t>
      </w:r>
      <w:r w:rsidRPr="00844E7F">
        <w:rPr>
          <w:rFonts w:ascii="Aptos" w:eastAsia="Aptos" w:hAnsi="Aptos" w:cs="Aptos"/>
          <w:color w:val="000000" w:themeColor="text1"/>
        </w:rPr>
        <w:t xml:space="preserve"> and demographic categories. Qualitative data was analysed using thematic analysis: all interviews and focus groups were transcribed verbatim, coded independently by two researchers to ensure accuracy, and grouped into key themes including “health-related anxiety</w:t>
      </w:r>
      <w:r w:rsidR="0BC694D0" w:rsidRPr="431C7DD6">
        <w:rPr>
          <w:rFonts w:ascii="Aptos" w:eastAsia="Aptos" w:hAnsi="Aptos" w:cs="Aptos"/>
          <w:color w:val="000000" w:themeColor="text1"/>
        </w:rPr>
        <w:t>,”</w:t>
      </w:r>
      <w:r w:rsidRPr="00844E7F">
        <w:rPr>
          <w:rFonts w:ascii="Aptos" w:eastAsia="Aptos" w:hAnsi="Aptos" w:cs="Aptos"/>
          <w:color w:val="000000" w:themeColor="text1"/>
        </w:rPr>
        <w:t xml:space="preserve"> “erosion of routine</w:t>
      </w:r>
      <w:r w:rsidR="64A6DCF7" w:rsidRPr="431C7DD6">
        <w:rPr>
          <w:rFonts w:ascii="Aptos" w:eastAsia="Aptos" w:hAnsi="Aptos" w:cs="Aptos"/>
          <w:color w:val="000000" w:themeColor="text1"/>
        </w:rPr>
        <w:t>,”</w:t>
      </w:r>
      <w:r w:rsidRPr="00844E7F">
        <w:rPr>
          <w:rFonts w:ascii="Aptos" w:eastAsia="Aptos" w:hAnsi="Aptos" w:cs="Aptos"/>
          <w:color w:val="000000" w:themeColor="text1"/>
        </w:rPr>
        <w:t xml:space="preserve"> “financial hardship</w:t>
      </w:r>
      <w:r w:rsidR="7F514169" w:rsidRPr="431C7DD6">
        <w:rPr>
          <w:rFonts w:ascii="Aptos" w:eastAsia="Aptos" w:hAnsi="Aptos" w:cs="Aptos"/>
          <w:color w:val="000000" w:themeColor="text1"/>
        </w:rPr>
        <w:t>,”</w:t>
      </w:r>
      <w:r w:rsidRPr="00844E7F">
        <w:rPr>
          <w:rFonts w:ascii="Aptos" w:eastAsia="Aptos" w:hAnsi="Aptos" w:cs="Aptos"/>
          <w:color w:val="000000" w:themeColor="text1"/>
        </w:rPr>
        <w:t xml:space="preserve"> “resource constraints” and “strengths of partnership working</w:t>
      </w:r>
      <w:r w:rsidR="7F514169" w:rsidRPr="431C7DD6">
        <w:rPr>
          <w:rFonts w:ascii="Aptos" w:eastAsia="Aptos" w:hAnsi="Aptos" w:cs="Aptos"/>
          <w:color w:val="000000" w:themeColor="text1"/>
        </w:rPr>
        <w:t>.”</w:t>
      </w:r>
      <w:r w:rsidRPr="00844E7F">
        <w:rPr>
          <w:rFonts w:ascii="Aptos" w:eastAsia="Aptos" w:hAnsi="Aptos" w:cs="Aptos"/>
          <w:color w:val="000000" w:themeColor="text1"/>
        </w:rPr>
        <w:t xml:space="preserve"> This dual-coding approach helped reduce researcher bias and ensured findings were grounded in the evidence collected.</w:t>
      </w:r>
    </w:p>
    <w:p w14:paraId="35A037E2" w14:textId="77777777" w:rsidR="00844E7F" w:rsidRPr="00844E7F" w:rsidRDefault="00844E7F" w:rsidP="00844E7F">
      <w:pPr>
        <w:rPr>
          <w:rFonts w:ascii="Aptos" w:eastAsia="Aptos" w:hAnsi="Aptos" w:cs="Aptos"/>
          <w:color w:val="000000" w:themeColor="text1"/>
        </w:rPr>
      </w:pPr>
    </w:p>
    <w:p w14:paraId="5E8CB76F" w14:textId="77777777" w:rsidR="00844E7F" w:rsidRPr="00844E7F" w:rsidRDefault="00844E7F" w:rsidP="00844E7F">
      <w:pPr>
        <w:rPr>
          <w:rFonts w:ascii="Aptos" w:eastAsia="Aptos" w:hAnsi="Aptos" w:cs="Aptos"/>
          <w:color w:val="000000" w:themeColor="text1"/>
          <w:highlight w:val="yellow"/>
        </w:rPr>
      </w:pPr>
      <w:r w:rsidRPr="431C7DD6">
        <w:rPr>
          <w:rFonts w:ascii="Aptos" w:eastAsia="Aptos" w:hAnsi="Aptos" w:cs="Aptos"/>
          <w:color w:val="000000" w:themeColor="text1"/>
          <w:highlight w:val="yellow"/>
        </w:rPr>
        <w:t>Ethical Considerations</w:t>
      </w:r>
    </w:p>
    <w:p w14:paraId="57661176" w14:textId="77777777" w:rsidR="00844E7F" w:rsidRPr="00844E7F" w:rsidRDefault="00844E7F" w:rsidP="00844E7F">
      <w:pPr>
        <w:rPr>
          <w:rFonts w:ascii="Aptos" w:eastAsia="Aptos" w:hAnsi="Aptos" w:cs="Aptos"/>
          <w:color w:val="000000" w:themeColor="text1"/>
        </w:rPr>
      </w:pPr>
    </w:p>
    <w:p w14:paraId="01B8CA8A" w14:textId="68F35782"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The study received full approval from the University Research Ethics Committee and complied with GDPR regulations, child protection legislation</w:t>
      </w:r>
      <w:r w:rsidR="5FC4276E" w:rsidRPr="431C7DD6">
        <w:rPr>
          <w:rFonts w:ascii="Aptos" w:eastAsia="Aptos" w:hAnsi="Aptos" w:cs="Aptos"/>
          <w:color w:val="000000" w:themeColor="text1"/>
        </w:rPr>
        <w:t>,</w:t>
      </w:r>
      <w:r w:rsidRPr="00844E7F">
        <w:rPr>
          <w:rFonts w:ascii="Aptos" w:eastAsia="Aptos" w:hAnsi="Aptos" w:cs="Aptos"/>
          <w:color w:val="000000" w:themeColor="text1"/>
        </w:rPr>
        <w:t xml:space="preserve"> and professional research standards. Informed written consent was obtained from all adult participants, and parental permission alongside age-appropriate assent was secured from all children taking part. All data was fully anonymised, stored on secure password-protected systems, and only accessible to the authorised research team. Participants were also assured they could withdraw at any time without giving a reason, ensuring their rights and dignity were prioritised throughout.</w:t>
      </w:r>
    </w:p>
    <w:p w14:paraId="1863CAFC" w14:textId="0AA21B69" w:rsidR="431C7DD6" w:rsidRDefault="431C7DD6" w:rsidP="431C7DD6">
      <w:pPr>
        <w:rPr>
          <w:rFonts w:ascii="Aptos" w:eastAsia="Aptos" w:hAnsi="Aptos" w:cs="Aptos"/>
          <w:color w:val="000000" w:themeColor="text1"/>
        </w:rPr>
      </w:pPr>
    </w:p>
    <w:p w14:paraId="6983D697" w14:textId="6CDCBEF2" w:rsidR="00844E7F" w:rsidRPr="00844E7F" w:rsidRDefault="00844E7F" w:rsidP="00844E7F">
      <w:pPr>
        <w:rPr>
          <w:rFonts w:ascii="Aptos" w:eastAsia="Aptos" w:hAnsi="Aptos" w:cs="Aptos"/>
          <w:b/>
          <w:color w:val="000000" w:themeColor="text1"/>
        </w:rPr>
      </w:pPr>
      <w:r w:rsidRPr="431C7DD6">
        <w:rPr>
          <w:rFonts w:ascii="Aptos" w:eastAsia="Aptos" w:hAnsi="Aptos" w:cs="Aptos"/>
          <w:b/>
          <w:color w:val="000000" w:themeColor="text1"/>
        </w:rPr>
        <w:t>Section 4: Conclusion</w:t>
      </w:r>
      <w:r w:rsidR="45B09B93" w:rsidRPr="431C7DD6">
        <w:rPr>
          <w:rFonts w:ascii="Aptos" w:eastAsia="Aptos" w:hAnsi="Aptos" w:cs="Aptos"/>
          <w:b/>
          <w:bCs/>
          <w:color w:val="000000" w:themeColor="text1"/>
        </w:rPr>
        <w:t xml:space="preserve"> (250 words)</w:t>
      </w:r>
    </w:p>
    <w:p w14:paraId="01CC5F83" w14:textId="5797684C"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This research confirms that school attendance has not returned to pre-pandemic levels, with persistent absence rising by over 50% in the most deprived areas of England. Key contributing factors include ongoing health anxiety, increased child and parental mental health difficulties, loss of established daily routines, financial hardship affecting transport or uniform costs, and long waiting times for specialist support for children with additional needs. The study also identifies protective factors: schools with strong links to health and social care services, consistent and empathetic communication with families, and targeted wellbeing interventions were most successful in re-engaging learners. It highlights that one-size-fits-all solutions rarely work, and support must be flexible, person-centred</w:t>
      </w:r>
      <w:r w:rsidR="49797EBA" w:rsidRPr="431C7DD6">
        <w:rPr>
          <w:rFonts w:ascii="Aptos" w:eastAsia="Aptos" w:hAnsi="Aptos" w:cs="Aptos"/>
          <w:color w:val="000000" w:themeColor="text1"/>
        </w:rPr>
        <w:t>,</w:t>
      </w:r>
      <w:r w:rsidRPr="00844E7F">
        <w:rPr>
          <w:rFonts w:ascii="Aptos" w:eastAsia="Aptos" w:hAnsi="Aptos" w:cs="Aptos"/>
          <w:color w:val="000000" w:themeColor="text1"/>
        </w:rPr>
        <w:t xml:space="preserve"> and responsive to individual family circumstances.</w:t>
      </w:r>
    </w:p>
    <w:p w14:paraId="1878D359" w14:textId="77777777" w:rsidR="00844E7F" w:rsidRPr="00844E7F" w:rsidRDefault="00844E7F" w:rsidP="00844E7F">
      <w:pPr>
        <w:rPr>
          <w:rFonts w:ascii="Aptos" w:eastAsia="Aptos" w:hAnsi="Aptos" w:cs="Aptos"/>
          <w:color w:val="000000" w:themeColor="text1"/>
        </w:rPr>
      </w:pPr>
    </w:p>
    <w:p w14:paraId="6E50BDFF" w14:textId="77777777"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Completing this analysis has significantly strengthened my understanding of research design and evidence use in health and social care. I have learned how mixed methods can capture both the scale of a problem and the human experiences behind it, how to distinguish between primary and secondary sources, and how ethical practice underpins all credible enquiry. These skills will be directly valuable in my future studies and career: interpreting research will help me base care decisions on reliable evidence, understand how wider systems impact service users, and advocate effectively for joined-up support. Being able to critically evaluate research methods will also allow me to assess the strength of information I encounter in practice, ensuring I contribute to safe, person-centred care that addresses both individual needs and broader societal challenges.</w:t>
      </w:r>
    </w:p>
    <w:p w14:paraId="22FAE1C1" w14:textId="79462511" w:rsidR="431C7DD6" w:rsidRDefault="431C7DD6" w:rsidP="431C7DD6">
      <w:pPr>
        <w:rPr>
          <w:rFonts w:ascii="Aptos" w:eastAsia="Aptos" w:hAnsi="Aptos" w:cs="Aptos"/>
          <w:color w:val="000000" w:themeColor="text1"/>
        </w:rPr>
      </w:pPr>
    </w:p>
    <w:p w14:paraId="4F047787" w14:textId="319A6A60" w:rsidR="00844E7F" w:rsidRPr="00844E7F" w:rsidRDefault="00844E7F" w:rsidP="00844E7F">
      <w:pPr>
        <w:rPr>
          <w:rFonts w:ascii="Aptos" w:eastAsia="Aptos" w:hAnsi="Aptos" w:cs="Aptos"/>
          <w:b/>
          <w:color w:val="000000" w:themeColor="text1"/>
        </w:rPr>
      </w:pPr>
      <w:r w:rsidRPr="431C7DD6">
        <w:rPr>
          <w:rFonts w:ascii="Aptos" w:eastAsia="Aptos" w:hAnsi="Aptos" w:cs="Aptos"/>
          <w:b/>
          <w:color w:val="000000" w:themeColor="text1"/>
        </w:rPr>
        <w:t>Reference List</w:t>
      </w:r>
      <w:r w:rsidR="30B6EB97" w:rsidRPr="431C7DD6">
        <w:rPr>
          <w:rFonts w:ascii="Aptos" w:eastAsia="Aptos" w:hAnsi="Aptos" w:cs="Aptos"/>
          <w:b/>
          <w:bCs/>
          <w:color w:val="000000" w:themeColor="text1"/>
        </w:rPr>
        <w:t>:</w:t>
      </w:r>
    </w:p>
    <w:p w14:paraId="021699C8" w14:textId="14E0071F"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1. McDonald, L., Lester, C</w:t>
      </w:r>
      <w:r w:rsidR="02D92AE1" w:rsidRPr="431C7DD6">
        <w:rPr>
          <w:rFonts w:ascii="Aptos" w:eastAsia="Aptos" w:hAnsi="Aptos" w:cs="Aptos"/>
          <w:color w:val="000000" w:themeColor="text1"/>
        </w:rPr>
        <w:t>.,</w:t>
      </w:r>
      <w:r w:rsidRPr="00844E7F">
        <w:rPr>
          <w:rFonts w:ascii="Aptos" w:eastAsia="Aptos" w:hAnsi="Aptos" w:cs="Aptos"/>
          <w:color w:val="000000" w:themeColor="text1"/>
        </w:rPr>
        <w:t xml:space="preserve"> and Michelson, D. (2023) School Attendance Problems &amp; COVID-19. Leicester: University of Leicester Research Report.</w:t>
      </w:r>
    </w:p>
    <w:p w14:paraId="48718B2A" w14:textId="291E5AC4"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2. Department for Education (2023) Pupil attendance in England: 2022 to 2023. London: Department for Education. Available at: https://www.gov.uk/government/statistics/pupil-attendance-in-england-2022-to-2023 (Accessed: 17 July 2026).</w:t>
      </w:r>
    </w:p>
    <w:p w14:paraId="326D8313" w14:textId="253CA0B0"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3. NHS Digital (2023) Mental health of children and young people in England: COVID-19 follow-up survey. Leeds: NHS Digital. Available at: https://digital.nhs.uk/data-and-information/publications/statistical/mental-health-of-children-and-young-people/covid-follow-up-2023 (Accessed: 17 July 2026).</w:t>
      </w:r>
    </w:p>
    <w:p w14:paraId="2E4A3A15" w14:textId="77777777" w:rsidR="00844E7F" w:rsidRPr="00844E7F" w:rsidRDefault="00844E7F" w:rsidP="00844E7F">
      <w:pPr>
        <w:rPr>
          <w:rFonts w:ascii="Aptos" w:eastAsia="Aptos" w:hAnsi="Aptos" w:cs="Aptos"/>
          <w:color w:val="000000" w:themeColor="text1"/>
        </w:rPr>
      </w:pPr>
      <w:r w:rsidRPr="00844E7F">
        <w:rPr>
          <w:rFonts w:ascii="Aptos" w:eastAsia="Aptos" w:hAnsi="Aptos" w:cs="Aptos"/>
          <w:color w:val="000000" w:themeColor="text1"/>
        </w:rPr>
        <w:t>4. Children’s Commissioner for England (2022) The lost years: impact of COVID-19 on children’s education and wellbeing. London: Children’s Commissioner’s Office. Available at: https://www.childrenscommissioner.gov.uk/wp-content/uploads/2022/09/The-Lost-Years.pdf (Accessed: 17 July 2026).</w:t>
      </w:r>
    </w:p>
    <w:p w14:paraId="70A30AB9" w14:textId="77777777" w:rsidR="00844E7F" w:rsidRPr="00844E7F" w:rsidRDefault="00844E7F" w:rsidP="00844E7F">
      <w:pPr>
        <w:rPr>
          <w:rFonts w:ascii="Aptos" w:eastAsia="Aptos" w:hAnsi="Aptos" w:cs="Aptos"/>
          <w:color w:val="000000" w:themeColor="text1"/>
        </w:rPr>
      </w:pPr>
    </w:p>
    <w:p w14:paraId="39DF45E8" w14:textId="22D5E29F" w:rsidR="6BC63ACE" w:rsidRPr="00844E7F" w:rsidRDefault="00844E7F" w:rsidP="6BC63ACE">
      <w:pPr>
        <w:rPr>
          <w:rFonts w:ascii="Aptos" w:eastAsia="Aptos" w:hAnsi="Aptos" w:cs="Aptos"/>
          <w:color w:val="000000" w:themeColor="text1"/>
        </w:rPr>
      </w:pPr>
      <w:r w:rsidRPr="00844E7F">
        <w:rPr>
          <w:rFonts w:ascii="Aptos" w:eastAsia="Aptos" w:hAnsi="Aptos" w:cs="Aptos"/>
          <w:color w:val="000000" w:themeColor="text1"/>
        </w:rPr>
        <w:t xml:space="preserve">5. Social Care Institute for Excellence (SCIE) (2023) </w:t>
      </w:r>
      <w:r w:rsidR="6B113199" w:rsidRPr="431C7DD6">
        <w:rPr>
          <w:rFonts w:ascii="Aptos" w:eastAsia="Aptos" w:hAnsi="Aptos" w:cs="Aptos"/>
          <w:color w:val="000000" w:themeColor="text1"/>
        </w:rPr>
        <w:t>multi</w:t>
      </w:r>
      <w:r w:rsidRPr="00844E7F">
        <w:rPr>
          <w:rFonts w:ascii="Aptos" w:eastAsia="Aptos" w:hAnsi="Aptos" w:cs="Aptos"/>
          <w:color w:val="000000" w:themeColor="text1"/>
        </w:rPr>
        <w:t>-agency support for children’s attendance post-pandemic. London: SCIE. Available at: https://www.scie.org.uk/publications/briefings/multi-agency-support-school-attendance (Accessed: 17 July 2026).</w:t>
      </w:r>
    </w:p>
    <w:sectPr w:rsidR="6BC63ACE" w:rsidRPr="00844E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1qhPkx0MD58HAR" int2:id="W5aH9YeQ">
      <int2:state int2:value="Rejected" int2:type="spell"/>
    </int2:textHash>
    <int2:textHash int2:hashCode="Cd9Zo1rnHH6oir" int2:id="hM57pgbr">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6AD"/>
    <w:rsid w:val="00253C91"/>
    <w:rsid w:val="00292F3F"/>
    <w:rsid w:val="00327A45"/>
    <w:rsid w:val="003311DA"/>
    <w:rsid w:val="0034692F"/>
    <w:rsid w:val="0040147E"/>
    <w:rsid w:val="00466A13"/>
    <w:rsid w:val="0049463A"/>
    <w:rsid w:val="004F5B96"/>
    <w:rsid w:val="005F72D0"/>
    <w:rsid w:val="00687783"/>
    <w:rsid w:val="007A6DEA"/>
    <w:rsid w:val="00844E7F"/>
    <w:rsid w:val="008535F7"/>
    <w:rsid w:val="00881B63"/>
    <w:rsid w:val="009715A5"/>
    <w:rsid w:val="00A414C3"/>
    <w:rsid w:val="00A52506"/>
    <w:rsid w:val="00A91962"/>
    <w:rsid w:val="00BC03AC"/>
    <w:rsid w:val="00C30571"/>
    <w:rsid w:val="00E616AD"/>
    <w:rsid w:val="00E93DE4"/>
    <w:rsid w:val="00F461AA"/>
    <w:rsid w:val="02D92AE1"/>
    <w:rsid w:val="03044871"/>
    <w:rsid w:val="0670B2EE"/>
    <w:rsid w:val="0BC694D0"/>
    <w:rsid w:val="0E1084C7"/>
    <w:rsid w:val="14BD2EB7"/>
    <w:rsid w:val="16A23158"/>
    <w:rsid w:val="18AED773"/>
    <w:rsid w:val="1BD3D5FC"/>
    <w:rsid w:val="1FB456A4"/>
    <w:rsid w:val="1FFEA4BA"/>
    <w:rsid w:val="245800F0"/>
    <w:rsid w:val="27962328"/>
    <w:rsid w:val="29AD7FD0"/>
    <w:rsid w:val="29BEF112"/>
    <w:rsid w:val="2AE46C55"/>
    <w:rsid w:val="2B18318A"/>
    <w:rsid w:val="2D35085F"/>
    <w:rsid w:val="2DFF5999"/>
    <w:rsid w:val="2F3342B2"/>
    <w:rsid w:val="30B6EB97"/>
    <w:rsid w:val="34D55E34"/>
    <w:rsid w:val="3AF126EF"/>
    <w:rsid w:val="3B6E7051"/>
    <w:rsid w:val="3F24AE16"/>
    <w:rsid w:val="431C7DD6"/>
    <w:rsid w:val="44421951"/>
    <w:rsid w:val="44E4F42D"/>
    <w:rsid w:val="45B09B93"/>
    <w:rsid w:val="4710AB7B"/>
    <w:rsid w:val="49797EBA"/>
    <w:rsid w:val="4C51CDCD"/>
    <w:rsid w:val="4F93DB11"/>
    <w:rsid w:val="50D7A071"/>
    <w:rsid w:val="55FA8997"/>
    <w:rsid w:val="56CAE31B"/>
    <w:rsid w:val="57300E9F"/>
    <w:rsid w:val="5A23AE98"/>
    <w:rsid w:val="5D3B5C07"/>
    <w:rsid w:val="5D72AB4F"/>
    <w:rsid w:val="5FC4276E"/>
    <w:rsid w:val="64A6DCF7"/>
    <w:rsid w:val="6773031B"/>
    <w:rsid w:val="6856D55D"/>
    <w:rsid w:val="6900B608"/>
    <w:rsid w:val="6A8518B2"/>
    <w:rsid w:val="6B113199"/>
    <w:rsid w:val="6BC63ACE"/>
    <w:rsid w:val="70A48BDC"/>
    <w:rsid w:val="72E370E5"/>
    <w:rsid w:val="73A997F9"/>
    <w:rsid w:val="73FAD780"/>
    <w:rsid w:val="75E8054A"/>
    <w:rsid w:val="76ED44E3"/>
    <w:rsid w:val="792E6B2D"/>
    <w:rsid w:val="7B27EDB1"/>
    <w:rsid w:val="7C8EEE13"/>
    <w:rsid w:val="7CC7C234"/>
    <w:rsid w:val="7CD671FD"/>
    <w:rsid w:val="7F514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3D7A6D"/>
  <w15:chartTrackingRefBased/>
  <w15:docId w15:val="{3C0644DE-C212-F140-863B-72E2AC2A9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16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16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16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16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16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16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16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16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16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16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16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16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16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16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16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16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16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16AD"/>
    <w:rPr>
      <w:rFonts w:eastAsiaTheme="majorEastAsia" w:cstheme="majorBidi"/>
      <w:color w:val="272727" w:themeColor="text1" w:themeTint="D8"/>
    </w:rPr>
  </w:style>
  <w:style w:type="paragraph" w:styleId="Title">
    <w:name w:val="Title"/>
    <w:basedOn w:val="Normal"/>
    <w:next w:val="Normal"/>
    <w:link w:val="TitleChar"/>
    <w:uiPriority w:val="10"/>
    <w:qFormat/>
    <w:rsid w:val="00E616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16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16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16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16AD"/>
    <w:pPr>
      <w:spacing w:before="160"/>
      <w:jc w:val="center"/>
    </w:pPr>
    <w:rPr>
      <w:i/>
      <w:iCs/>
      <w:color w:val="404040" w:themeColor="text1" w:themeTint="BF"/>
    </w:rPr>
  </w:style>
  <w:style w:type="character" w:customStyle="1" w:styleId="QuoteChar">
    <w:name w:val="Quote Char"/>
    <w:basedOn w:val="DefaultParagraphFont"/>
    <w:link w:val="Quote"/>
    <w:uiPriority w:val="29"/>
    <w:rsid w:val="00E616AD"/>
    <w:rPr>
      <w:i/>
      <w:iCs/>
      <w:color w:val="404040" w:themeColor="text1" w:themeTint="BF"/>
    </w:rPr>
  </w:style>
  <w:style w:type="paragraph" w:styleId="ListParagraph">
    <w:name w:val="List Paragraph"/>
    <w:basedOn w:val="Normal"/>
    <w:uiPriority w:val="34"/>
    <w:qFormat/>
    <w:rsid w:val="00E616AD"/>
    <w:pPr>
      <w:ind w:left="720"/>
      <w:contextualSpacing/>
    </w:pPr>
  </w:style>
  <w:style w:type="character" w:styleId="IntenseEmphasis">
    <w:name w:val="Intense Emphasis"/>
    <w:basedOn w:val="DefaultParagraphFont"/>
    <w:uiPriority w:val="21"/>
    <w:qFormat/>
    <w:rsid w:val="00E616AD"/>
    <w:rPr>
      <w:i/>
      <w:iCs/>
      <w:color w:val="0F4761" w:themeColor="accent1" w:themeShade="BF"/>
    </w:rPr>
  </w:style>
  <w:style w:type="paragraph" w:styleId="IntenseQuote">
    <w:name w:val="Intense Quote"/>
    <w:basedOn w:val="Normal"/>
    <w:next w:val="Normal"/>
    <w:link w:val="IntenseQuoteChar"/>
    <w:uiPriority w:val="30"/>
    <w:qFormat/>
    <w:rsid w:val="00E616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16AD"/>
    <w:rPr>
      <w:i/>
      <w:iCs/>
      <w:color w:val="0F4761" w:themeColor="accent1" w:themeShade="BF"/>
    </w:rPr>
  </w:style>
  <w:style w:type="character" w:styleId="IntenseReference">
    <w:name w:val="Intense Reference"/>
    <w:basedOn w:val="DefaultParagraphFont"/>
    <w:uiPriority w:val="32"/>
    <w:qFormat/>
    <w:rsid w:val="00E616A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1692</Words>
  <Characters>9646</Characters>
  <Application>Microsoft Office Word</Application>
  <DocSecurity>0</DocSecurity>
  <Lines>80</Lines>
  <Paragraphs>22</Paragraphs>
  <ScaleCrop>false</ScaleCrop>
  <Company/>
  <LinksUpToDate>false</LinksUpToDate>
  <CharactersWithSpaces>11316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Andrada-Maria Aniculaesei (2540015)</dc:creator>
  <cp:keywords/>
  <dc:description/>
  <cp:lastModifiedBy>Andrada-Maria Aniculaesei (2540015)</cp:lastModifiedBy>
  <cp:revision>2</cp:revision>
  <dcterms:created xsi:type="dcterms:W3CDTF">2026-07-17T15:21:00Z</dcterms:created>
  <dcterms:modified xsi:type="dcterms:W3CDTF">2026-07-17T15:21:00Z</dcterms:modified>
</cp:coreProperties>
</file>