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09E6C" w14:textId="77777777" w:rsidR="008743D2" w:rsidRPr="00ED53AE" w:rsidRDefault="008743D2" w:rsidP="00C40E0A">
      <w:pPr>
        <w:spacing w:line="360" w:lineRule="auto"/>
        <w:jc w:val="center"/>
        <w:rPr>
          <w:rFonts w:ascii="Times New Roman" w:hAnsi="Times New Roman" w:cs="Times New Roman"/>
          <w:b/>
          <w:bCs/>
          <w:sz w:val="96"/>
          <w:szCs w:val="96"/>
          <w:shd w:val="clear" w:color="auto" w:fill="FFFFFF"/>
        </w:rPr>
      </w:pPr>
      <w:r w:rsidRPr="00ED53AE">
        <w:rPr>
          <w:rFonts w:ascii="Times New Roman" w:hAnsi="Times New Roman" w:cs="Times New Roman"/>
          <w:b/>
          <w:bCs/>
          <w:sz w:val="96"/>
          <w:szCs w:val="96"/>
          <w:shd w:val="clear" w:color="auto" w:fill="FFFFFF"/>
        </w:rPr>
        <w:t>Legal Process</w:t>
      </w:r>
    </w:p>
    <w:p w14:paraId="274A9A62" w14:textId="77777777" w:rsidR="008743D2" w:rsidRPr="00C40E0A" w:rsidRDefault="008743D2" w:rsidP="00C40E0A">
      <w:pPr>
        <w:spacing w:line="360" w:lineRule="auto"/>
        <w:jc w:val="center"/>
        <w:rPr>
          <w:rFonts w:ascii="Times New Roman" w:hAnsi="Times New Roman" w:cs="Times New Roman"/>
          <w:b/>
          <w:bCs/>
          <w:sz w:val="40"/>
          <w:szCs w:val="40"/>
          <w:shd w:val="clear" w:color="auto" w:fill="FFFFFF"/>
        </w:rPr>
      </w:pPr>
    </w:p>
    <w:p w14:paraId="26AAC39A" w14:textId="77777777" w:rsidR="00ED53AE" w:rsidRDefault="00ED53AE" w:rsidP="00C40E0A">
      <w:pPr>
        <w:spacing w:line="360" w:lineRule="auto"/>
        <w:jc w:val="center"/>
        <w:rPr>
          <w:rFonts w:ascii="Times New Roman" w:hAnsi="Times New Roman" w:cs="Times New Roman"/>
          <w:b/>
          <w:bCs/>
          <w:sz w:val="40"/>
          <w:szCs w:val="40"/>
          <w:shd w:val="clear" w:color="auto" w:fill="FFFFFF"/>
        </w:rPr>
      </w:pPr>
    </w:p>
    <w:p w14:paraId="324E7FCB" w14:textId="77777777" w:rsidR="00ED53AE" w:rsidRDefault="00ED53AE" w:rsidP="00C40E0A">
      <w:pPr>
        <w:spacing w:line="360" w:lineRule="auto"/>
        <w:jc w:val="center"/>
        <w:rPr>
          <w:rFonts w:ascii="Times New Roman" w:hAnsi="Times New Roman" w:cs="Times New Roman"/>
          <w:b/>
          <w:bCs/>
          <w:sz w:val="40"/>
          <w:szCs w:val="40"/>
          <w:shd w:val="clear" w:color="auto" w:fill="FFFFFF"/>
        </w:rPr>
      </w:pPr>
    </w:p>
    <w:p w14:paraId="741172E5" w14:textId="001EA28C" w:rsidR="008743D2" w:rsidRPr="00C40E0A" w:rsidRDefault="008743D2" w:rsidP="00C40E0A">
      <w:pPr>
        <w:spacing w:line="360" w:lineRule="auto"/>
        <w:jc w:val="center"/>
        <w:rPr>
          <w:rFonts w:ascii="Times New Roman" w:hAnsi="Times New Roman" w:cs="Times New Roman"/>
          <w:b/>
          <w:bCs/>
          <w:sz w:val="40"/>
          <w:szCs w:val="40"/>
          <w:shd w:val="clear" w:color="auto" w:fill="FFFFFF"/>
        </w:rPr>
      </w:pPr>
      <w:r w:rsidRPr="00C40E0A">
        <w:rPr>
          <w:rFonts w:ascii="Times New Roman" w:hAnsi="Times New Roman" w:cs="Times New Roman"/>
          <w:b/>
          <w:bCs/>
          <w:sz w:val="40"/>
          <w:szCs w:val="40"/>
          <w:shd w:val="clear" w:color="auto" w:fill="FFFFFF"/>
        </w:rPr>
        <w:t xml:space="preserve">Student </w:t>
      </w:r>
      <w:r w:rsidR="0060665D" w:rsidRPr="00C40E0A">
        <w:rPr>
          <w:rFonts w:ascii="Times New Roman" w:hAnsi="Times New Roman" w:cs="Times New Roman"/>
          <w:b/>
          <w:bCs/>
          <w:sz w:val="40"/>
          <w:szCs w:val="40"/>
          <w:shd w:val="clear" w:color="auto" w:fill="FFFFFF"/>
        </w:rPr>
        <w:t>N</w:t>
      </w:r>
      <w:r w:rsidRPr="00C40E0A">
        <w:rPr>
          <w:rFonts w:ascii="Times New Roman" w:hAnsi="Times New Roman" w:cs="Times New Roman"/>
          <w:b/>
          <w:bCs/>
          <w:sz w:val="40"/>
          <w:szCs w:val="40"/>
          <w:shd w:val="clear" w:color="auto" w:fill="FFFFFF"/>
        </w:rPr>
        <w:t>ame</w:t>
      </w:r>
      <w:r w:rsidR="00133EFC">
        <w:rPr>
          <w:rFonts w:ascii="Times New Roman" w:hAnsi="Times New Roman" w:cs="Times New Roman"/>
          <w:b/>
          <w:bCs/>
          <w:sz w:val="40"/>
          <w:szCs w:val="40"/>
          <w:shd w:val="clear" w:color="auto" w:fill="FFFFFF"/>
        </w:rPr>
        <w:t xml:space="preserve">: </w:t>
      </w:r>
      <w:r w:rsidR="00185884">
        <w:rPr>
          <w:rFonts w:ascii="Times New Roman" w:hAnsi="Times New Roman" w:cs="Times New Roman"/>
          <w:b/>
          <w:bCs/>
          <w:sz w:val="40"/>
          <w:szCs w:val="40"/>
          <w:shd w:val="clear" w:color="auto" w:fill="FFFFFF"/>
        </w:rPr>
        <w:t>Bogdan Calinoiu</w:t>
      </w:r>
    </w:p>
    <w:p w14:paraId="5C71BE77" w14:textId="77777777" w:rsidR="008743D2" w:rsidRPr="00C40E0A" w:rsidRDefault="008743D2" w:rsidP="00C40E0A">
      <w:pPr>
        <w:spacing w:line="360" w:lineRule="auto"/>
        <w:jc w:val="center"/>
        <w:rPr>
          <w:rFonts w:ascii="Times New Roman" w:hAnsi="Times New Roman" w:cs="Times New Roman"/>
          <w:b/>
          <w:bCs/>
          <w:sz w:val="40"/>
          <w:szCs w:val="40"/>
          <w:shd w:val="clear" w:color="auto" w:fill="FFFFFF"/>
        </w:rPr>
      </w:pPr>
    </w:p>
    <w:p w14:paraId="12A4BE10" w14:textId="6E0D14C3" w:rsidR="008743D2" w:rsidRPr="00C40E0A" w:rsidRDefault="008743D2" w:rsidP="00C40E0A">
      <w:pPr>
        <w:spacing w:line="360" w:lineRule="auto"/>
        <w:jc w:val="center"/>
        <w:rPr>
          <w:rFonts w:ascii="Times New Roman" w:hAnsi="Times New Roman" w:cs="Times New Roman"/>
          <w:b/>
          <w:bCs/>
          <w:sz w:val="40"/>
          <w:szCs w:val="40"/>
          <w:shd w:val="clear" w:color="auto" w:fill="FFFFFF"/>
        </w:rPr>
      </w:pPr>
      <w:r w:rsidRPr="00C40E0A">
        <w:rPr>
          <w:rFonts w:ascii="Times New Roman" w:hAnsi="Times New Roman" w:cs="Times New Roman"/>
          <w:b/>
          <w:bCs/>
          <w:sz w:val="40"/>
          <w:szCs w:val="40"/>
          <w:shd w:val="clear" w:color="auto" w:fill="FFFFFF"/>
        </w:rPr>
        <w:t>I</w:t>
      </w:r>
      <w:r w:rsidR="00D81781" w:rsidRPr="00C40E0A">
        <w:rPr>
          <w:rFonts w:ascii="Times New Roman" w:hAnsi="Times New Roman" w:cs="Times New Roman"/>
          <w:b/>
          <w:bCs/>
          <w:sz w:val="40"/>
          <w:szCs w:val="40"/>
          <w:shd w:val="clear" w:color="auto" w:fill="FFFFFF"/>
        </w:rPr>
        <w:t>D</w:t>
      </w:r>
      <w:r w:rsidRPr="00C40E0A">
        <w:rPr>
          <w:rFonts w:ascii="Times New Roman" w:hAnsi="Times New Roman" w:cs="Times New Roman"/>
          <w:b/>
          <w:bCs/>
          <w:sz w:val="40"/>
          <w:szCs w:val="40"/>
          <w:shd w:val="clear" w:color="auto" w:fill="FFFFFF"/>
        </w:rPr>
        <w:t xml:space="preserve"> </w:t>
      </w:r>
      <w:r w:rsidR="00D81781" w:rsidRPr="00C40E0A">
        <w:rPr>
          <w:rFonts w:ascii="Times New Roman" w:hAnsi="Times New Roman" w:cs="Times New Roman"/>
          <w:b/>
          <w:bCs/>
          <w:sz w:val="40"/>
          <w:szCs w:val="40"/>
          <w:shd w:val="clear" w:color="auto" w:fill="FFFFFF"/>
        </w:rPr>
        <w:t>N</w:t>
      </w:r>
      <w:r w:rsidRPr="00C40E0A">
        <w:rPr>
          <w:rFonts w:ascii="Times New Roman" w:hAnsi="Times New Roman" w:cs="Times New Roman"/>
          <w:b/>
          <w:bCs/>
          <w:sz w:val="40"/>
          <w:szCs w:val="40"/>
          <w:shd w:val="clear" w:color="auto" w:fill="FFFFFF"/>
        </w:rPr>
        <w:t>umber</w:t>
      </w:r>
      <w:r w:rsidR="00133EFC">
        <w:rPr>
          <w:rFonts w:ascii="Times New Roman" w:hAnsi="Times New Roman" w:cs="Times New Roman"/>
          <w:b/>
          <w:bCs/>
          <w:sz w:val="40"/>
          <w:szCs w:val="40"/>
          <w:shd w:val="clear" w:color="auto" w:fill="FFFFFF"/>
        </w:rPr>
        <w:t>:</w:t>
      </w:r>
      <w:r w:rsidR="00185884">
        <w:rPr>
          <w:rFonts w:ascii="Times New Roman" w:hAnsi="Times New Roman" w:cs="Times New Roman"/>
          <w:b/>
          <w:bCs/>
          <w:sz w:val="40"/>
          <w:szCs w:val="40"/>
          <w:shd w:val="clear" w:color="auto" w:fill="FFFFFF"/>
        </w:rPr>
        <w:t>2224514</w:t>
      </w:r>
    </w:p>
    <w:p w14:paraId="551C35B1" w14:textId="77777777" w:rsidR="008743D2" w:rsidRPr="00C40E0A" w:rsidRDefault="008743D2" w:rsidP="00C40E0A">
      <w:pPr>
        <w:spacing w:line="360" w:lineRule="auto"/>
        <w:jc w:val="center"/>
        <w:rPr>
          <w:rFonts w:ascii="Times New Roman" w:hAnsi="Times New Roman" w:cs="Times New Roman"/>
          <w:b/>
          <w:bCs/>
          <w:sz w:val="40"/>
          <w:szCs w:val="40"/>
          <w:shd w:val="clear" w:color="auto" w:fill="FFFFFF"/>
        </w:rPr>
      </w:pPr>
    </w:p>
    <w:p w14:paraId="3644A4E3" w14:textId="0F26746F" w:rsidR="008743D2" w:rsidRPr="00C40E0A" w:rsidRDefault="008743D2" w:rsidP="00C40E0A">
      <w:pPr>
        <w:spacing w:line="360" w:lineRule="auto"/>
        <w:jc w:val="center"/>
        <w:rPr>
          <w:rFonts w:ascii="Times New Roman" w:hAnsi="Times New Roman" w:cs="Times New Roman"/>
          <w:sz w:val="40"/>
          <w:szCs w:val="40"/>
        </w:rPr>
      </w:pPr>
      <w:r w:rsidRPr="00C40E0A">
        <w:rPr>
          <w:rFonts w:ascii="Times New Roman" w:hAnsi="Times New Roman" w:cs="Times New Roman"/>
          <w:b/>
          <w:bCs/>
          <w:sz w:val="40"/>
          <w:szCs w:val="40"/>
          <w:shd w:val="clear" w:color="auto" w:fill="FFFFFF"/>
        </w:rPr>
        <w:t>Date of submission</w:t>
      </w:r>
      <w:r w:rsidR="005F5672">
        <w:rPr>
          <w:rFonts w:ascii="Times New Roman" w:hAnsi="Times New Roman" w:cs="Times New Roman"/>
          <w:b/>
          <w:bCs/>
          <w:sz w:val="40"/>
          <w:szCs w:val="40"/>
          <w:shd w:val="clear" w:color="auto" w:fill="FFFFFF"/>
        </w:rPr>
        <w:t>:</w:t>
      </w:r>
      <w:r w:rsidR="00ED53AE">
        <w:rPr>
          <w:rFonts w:ascii="Times New Roman" w:hAnsi="Times New Roman" w:cs="Times New Roman"/>
          <w:b/>
          <w:bCs/>
          <w:sz w:val="40"/>
          <w:szCs w:val="40"/>
          <w:shd w:val="clear" w:color="auto" w:fill="FFFFFF"/>
        </w:rPr>
        <w:t>10.03.2023</w:t>
      </w:r>
    </w:p>
    <w:p w14:paraId="02766D4A" w14:textId="77777777" w:rsidR="008743D2" w:rsidRPr="002A7A73" w:rsidRDefault="008743D2" w:rsidP="002A7A73">
      <w:pPr>
        <w:spacing w:line="360" w:lineRule="auto"/>
        <w:rPr>
          <w:rFonts w:ascii="Times New Roman" w:hAnsi="Times New Roman" w:cs="Times New Roman"/>
          <w:sz w:val="24"/>
          <w:szCs w:val="24"/>
        </w:rPr>
      </w:pPr>
      <w:r w:rsidRPr="002A7A73">
        <w:rPr>
          <w:rFonts w:ascii="Times New Roman" w:hAnsi="Times New Roman" w:cs="Times New Roman"/>
          <w:sz w:val="24"/>
          <w:szCs w:val="24"/>
        </w:rPr>
        <w:br w:type="page"/>
      </w:r>
    </w:p>
    <w:p w14:paraId="26E62C45" w14:textId="1E3DA918" w:rsidR="00FB5586" w:rsidRPr="002A7A73" w:rsidRDefault="00FB5586" w:rsidP="002A7A73">
      <w:pPr>
        <w:spacing w:line="360" w:lineRule="auto"/>
        <w:jc w:val="both"/>
        <w:rPr>
          <w:rFonts w:ascii="Times New Roman" w:hAnsi="Times New Roman" w:cs="Times New Roman"/>
          <w:b/>
          <w:bCs/>
          <w:sz w:val="24"/>
          <w:szCs w:val="24"/>
        </w:rPr>
      </w:pPr>
      <w:r w:rsidRPr="002A7A73">
        <w:rPr>
          <w:rFonts w:ascii="Times New Roman" w:hAnsi="Times New Roman" w:cs="Times New Roman"/>
          <w:b/>
          <w:bCs/>
          <w:sz w:val="24"/>
          <w:szCs w:val="24"/>
        </w:rPr>
        <w:lastRenderedPageBreak/>
        <w:t>The common law</w:t>
      </w:r>
    </w:p>
    <w:p w14:paraId="144B54AD" w14:textId="4C63ACBA"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 xml:space="preserve">The majority of the English Legal System is founded on the principles of common law, which have developed over the course of time </w:t>
      </w:r>
      <w:proofErr w:type="gramStart"/>
      <w:r w:rsidRPr="002A7A73">
        <w:rPr>
          <w:rFonts w:ascii="Times New Roman" w:hAnsi="Times New Roman" w:cs="Times New Roman"/>
          <w:sz w:val="24"/>
          <w:szCs w:val="24"/>
        </w:rPr>
        <w:t>as a result of</w:t>
      </w:r>
      <w:proofErr w:type="gramEnd"/>
      <w:r w:rsidRPr="002A7A73">
        <w:rPr>
          <w:rFonts w:ascii="Times New Roman" w:hAnsi="Times New Roman" w:cs="Times New Roman"/>
          <w:sz w:val="24"/>
          <w:szCs w:val="24"/>
        </w:rPr>
        <w:t xml:space="preserve"> judicial judgments and precedents (Holland, 2013). This indicates that decisions made by judges in previous cases serve as a precedent for future cases with facts and legal problems that are comparable to those from the past. According to Elliott and Quinn (2017), this judicial system is predicated on the principle of stare demises, which stipulates </w:t>
      </w:r>
      <w:r w:rsidR="00DD5554" w:rsidRPr="002A7A73">
        <w:rPr>
          <w:rFonts w:ascii="Times New Roman" w:hAnsi="Times New Roman" w:cs="Times New Roman"/>
          <w:sz w:val="24"/>
          <w:szCs w:val="24"/>
        </w:rPr>
        <w:t>that judge</w:t>
      </w:r>
      <w:r w:rsidRPr="002A7A73">
        <w:rPr>
          <w:rFonts w:ascii="Times New Roman" w:hAnsi="Times New Roman" w:cs="Times New Roman"/>
          <w:sz w:val="24"/>
          <w:szCs w:val="24"/>
        </w:rPr>
        <w:t xml:space="preserve"> are required to adhere to the decisions handed down by higher courts in cases that are substantially identical to the one before them. The principles of common law will serve as the basis for the investigation that this study of the English legal system will undertake.</w:t>
      </w:r>
    </w:p>
    <w:p w14:paraId="28FC2B72"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 xml:space="preserve">Using reasoning that is based on previous cases, which is also referred to as the doctrine of stare demises, is a foundational method that judges in common law systems employ </w:t>
      </w:r>
      <w:proofErr w:type="gramStart"/>
      <w:r w:rsidRPr="002A7A73">
        <w:rPr>
          <w:rFonts w:ascii="Times New Roman" w:hAnsi="Times New Roman" w:cs="Times New Roman"/>
          <w:sz w:val="24"/>
          <w:szCs w:val="24"/>
        </w:rPr>
        <w:t>in order to</w:t>
      </w:r>
      <w:proofErr w:type="gramEnd"/>
      <w:r w:rsidRPr="002A7A73">
        <w:rPr>
          <w:rFonts w:ascii="Times New Roman" w:hAnsi="Times New Roman" w:cs="Times New Roman"/>
          <w:sz w:val="24"/>
          <w:szCs w:val="24"/>
        </w:rPr>
        <w:t xml:space="preserve"> create and interpret legal norms. According to Black's Law Dictionary (2010), the concept of precedent refers to the idea that previous judicial decisions should be adhered to in cases that are analogous to one another, with later cases being constrained by the decisions of earlier cases. The reasoning behind this doctrine is that similar cases ought to be handled in the same manner, and that legal principles ought to evolve gradually and incrementally through a process of refining and adapting to new circumstances.</w:t>
      </w:r>
    </w:p>
    <w:p w14:paraId="6D1B808A"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The doctrine of precedent, the statutory provisions, and the practice declaration are the three primary components that make up the doctrine of precedent, as stated by Lord Denning (1968). The portion of a decision that is legally binding and that lays out the principle of the law that must be adhered to in subsequent cases is called the ratio decadent. Opinions expressed by the judges in their obiter dicta are statements that are not strictly required for the decision, but which may be convincing in subsequent cases. In conclusion, the practice statement grants the House of Lords, which is now known as the Supreme Court, the authority to depart from decisions made in the past under specific conditions. These conditions include situations in which a decision was made per incur am as well as situations in which the law has significantly progressed since a previous decision (House of Lords Practice Statement (Judicial Precedent), 1966).</w:t>
      </w:r>
    </w:p>
    <w:p w14:paraId="531F1CF3"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lastRenderedPageBreak/>
        <w:t xml:space="preserve">However, precedent is not an inflexible doctrine because courts are able to differentiate between previous cases and apply legal principles to new circumstances. This allows precedent to be applied to new situations. This paves the way for the expansion of the legal system over the course of time, as new legal principles are formulated and established while older principles are either improved upon or phased out entirely. For instance, in the case of R v. Brown (1993), the House of Lords established a new legal principle in which it stated that consensual sexual actions that caused harm or injury could still be considered criminal, </w:t>
      </w:r>
      <w:proofErr w:type="gramStart"/>
      <w:r w:rsidRPr="002A7A73">
        <w:rPr>
          <w:rFonts w:ascii="Times New Roman" w:hAnsi="Times New Roman" w:cs="Times New Roman"/>
          <w:sz w:val="24"/>
          <w:szCs w:val="24"/>
        </w:rPr>
        <w:t>despite the fact that</w:t>
      </w:r>
      <w:proofErr w:type="gramEnd"/>
      <w:r w:rsidRPr="002A7A73">
        <w:rPr>
          <w:rFonts w:ascii="Times New Roman" w:hAnsi="Times New Roman" w:cs="Times New Roman"/>
          <w:sz w:val="24"/>
          <w:szCs w:val="24"/>
        </w:rPr>
        <w:t xml:space="preserve"> there was no complainant in the case. This judgment overturned a prior precedent and reflected a shift in society's attitudes toward sexual conduct. </w:t>
      </w:r>
    </w:p>
    <w:p w14:paraId="6BA688FD"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 xml:space="preserve">The process of statutory interpretation is one that is both intricate and nuanced, and there are a variety of rules and principles that guide the judges in their interpretation of statutes. One of these principles is known as the literal rule, and it stipulates that the courts must give the words of a legislation their natural and common meaning, unless doing so would result in an absurdity (Elliott and Quinn, 2017). Another principle is known as the purposive approach, and it includes focusing on the overall goals of a piece of legislation rather than its individual provisions (Craik, 2015). The golden rule is another method of judicial interpretation that enables the courts to depart from the literal meaning of the words in situations </w:t>
      </w:r>
      <w:proofErr w:type="gramStart"/>
      <w:r w:rsidRPr="002A7A73">
        <w:rPr>
          <w:rFonts w:ascii="Times New Roman" w:hAnsi="Times New Roman" w:cs="Times New Roman"/>
          <w:sz w:val="24"/>
          <w:szCs w:val="24"/>
        </w:rPr>
        <w:t>where</w:t>
      </w:r>
      <w:proofErr w:type="gramEnd"/>
      <w:r w:rsidRPr="002A7A73">
        <w:rPr>
          <w:rFonts w:ascii="Times New Roman" w:hAnsi="Times New Roman" w:cs="Times New Roman"/>
          <w:sz w:val="24"/>
          <w:szCs w:val="24"/>
        </w:rPr>
        <w:t xml:space="preserve"> doing so would result in absurdity. However, the golden rule does not go as far as the purposive strategy does (Elliott and Quinn, 2017).</w:t>
      </w:r>
    </w:p>
    <w:p w14:paraId="6EE255A2" w14:textId="77777777" w:rsidR="008743D2" w:rsidRPr="002A7A73" w:rsidRDefault="008743D2" w:rsidP="002A7A73">
      <w:pPr>
        <w:spacing w:line="360" w:lineRule="auto"/>
        <w:jc w:val="both"/>
        <w:rPr>
          <w:rFonts w:ascii="Times New Roman" w:hAnsi="Times New Roman" w:cs="Times New Roman"/>
          <w:sz w:val="24"/>
          <w:szCs w:val="24"/>
        </w:rPr>
      </w:pPr>
      <w:proofErr w:type="gramStart"/>
      <w:r w:rsidRPr="002A7A73">
        <w:rPr>
          <w:rFonts w:ascii="Times New Roman" w:hAnsi="Times New Roman" w:cs="Times New Roman"/>
          <w:sz w:val="24"/>
          <w:szCs w:val="24"/>
        </w:rPr>
        <w:t>Due to the fact that</w:t>
      </w:r>
      <w:proofErr w:type="gramEnd"/>
      <w:r w:rsidRPr="002A7A73">
        <w:rPr>
          <w:rFonts w:ascii="Times New Roman" w:hAnsi="Times New Roman" w:cs="Times New Roman"/>
          <w:sz w:val="24"/>
          <w:szCs w:val="24"/>
        </w:rPr>
        <w:t xml:space="preserve"> courts are tasked with determining the facts of a case on the basis of the evidence that is presented, fact-finding is another essential component of the legal process. This requires evaluating information that contradicts one another and determining which witnesses can be believed (Craik, 2015). The burden of proof and the standard of proof are two examples of legal rules and principles that judges are required to take into consideration when deciding cases (Elliott and Quinn, 2017). The procedure of fact-finding is significant because it ensures that the court's decision will be based on an accurate comprehension of the case's facts, which is essential for ensuring that justice will be served in the situation.</w:t>
      </w:r>
    </w:p>
    <w:p w14:paraId="7BFC0E46"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 xml:space="preserve">Craik (2015) draws attention to the differences between civil law and common law systems by pointing out that civil law systems rely primarily on written laws and codes enacted by the legislative branch of government, whereas common law systems rely on judicial decisions and </w:t>
      </w:r>
      <w:r w:rsidRPr="002A7A73">
        <w:rPr>
          <w:rFonts w:ascii="Times New Roman" w:hAnsi="Times New Roman" w:cs="Times New Roman"/>
          <w:sz w:val="24"/>
          <w:szCs w:val="24"/>
        </w:rPr>
        <w:lastRenderedPageBreak/>
        <w:t>precedents. This highlights the contrast between the two types of legal systems. In addition, Zander (2014) explains that the common law system was established in England and then spread to other countries, including the United States. On the other hand, the civil law system was thought to have originated in ancient Rome and then spread to many countries in Europe.</w:t>
      </w:r>
    </w:p>
    <w:p w14:paraId="0FBC9F53"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 xml:space="preserve">The common law system and the civil law system take a very different approach to the law. These distinctions are fundamental. According to Holland (2013), laws are codified and published in legal systems that follow civil law, whereas in legal systems that follow common law, laws are produced through judicial decisions. Elliott and Quinn (2017) elaborate further by stating that common law systems are dependent on judiciary precedent and interpretation, whereas civil law systems </w:t>
      </w:r>
      <w:proofErr w:type="gramStart"/>
      <w:r w:rsidRPr="002A7A73">
        <w:rPr>
          <w:rFonts w:ascii="Times New Roman" w:hAnsi="Times New Roman" w:cs="Times New Roman"/>
          <w:sz w:val="24"/>
          <w:szCs w:val="24"/>
        </w:rPr>
        <w:t>have a tendency to</w:t>
      </w:r>
      <w:proofErr w:type="gramEnd"/>
      <w:r w:rsidRPr="002A7A73">
        <w:rPr>
          <w:rFonts w:ascii="Times New Roman" w:hAnsi="Times New Roman" w:cs="Times New Roman"/>
          <w:sz w:val="24"/>
          <w:szCs w:val="24"/>
        </w:rPr>
        <w:t xml:space="preserve"> have more centralized decision-making. In addition, Zander (2014) </w:t>
      </w:r>
      <w:proofErr w:type="gramStart"/>
      <w:r w:rsidRPr="002A7A73">
        <w:rPr>
          <w:rFonts w:ascii="Times New Roman" w:hAnsi="Times New Roman" w:cs="Times New Roman"/>
          <w:sz w:val="24"/>
          <w:szCs w:val="24"/>
        </w:rPr>
        <w:t>makes the observation</w:t>
      </w:r>
      <w:proofErr w:type="gramEnd"/>
      <w:r w:rsidRPr="002A7A73">
        <w:rPr>
          <w:rFonts w:ascii="Times New Roman" w:hAnsi="Times New Roman" w:cs="Times New Roman"/>
          <w:sz w:val="24"/>
          <w:szCs w:val="24"/>
        </w:rPr>
        <w:t xml:space="preserve"> that civil law systems are more rigid and structured, whereas common law systems have a more malleable and adaptable approach to the law regarding how it is applied.</w:t>
      </w:r>
    </w:p>
    <w:p w14:paraId="5238EB6C"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The origins of common law can be traced back to medieval England, which was a time when the judges in that region acknowledged and upheld the authority of local customs and traditions. Over the course of time, these traditions became more standardized, and judges started handing down decisions based on precedent rather than relying purely on regional practice. According to Lord Neuberger (2010), by the 16th century, the common law system had become the predominant legal system in England. As time went on, it was ultimately exported to other countries in the British Empire, such as Australia, Canada, and the United States.</w:t>
      </w:r>
    </w:p>
    <w:p w14:paraId="6CAC77E2" w14:textId="77777777" w:rsidR="008743D2"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There are numerous cases that demonstrate how the common law operates in actual situations. For instance, the House of Lords established the principle of carelessness in tort law in the case of Donoghue v. Stevenson (1932). This principle has since become an essential component of the common law system. Similarly, in the case of R v. Brown (1993), the House of Lords decided that consensual sexual acts that caused harm or injury could still be considered criminal. This decision, which has since become a landmark in the field of criminal law, held that sexual acts that were performed with the consent of both parties could still be considered illegal. These examples demonstrate how judicial judgments and previous cases have shaped and advanced the common law system over the course of its history.</w:t>
      </w:r>
    </w:p>
    <w:p w14:paraId="2F7FF74A" w14:textId="77777777" w:rsidR="00C64061" w:rsidRPr="002A7A73" w:rsidRDefault="008743D2" w:rsidP="002A7A73">
      <w:p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lastRenderedPageBreak/>
        <w:t xml:space="preserve">As a conclusion, the English Judicial System is founded on the principles of common law, which depend on the method of deducing a conclusion from a precedent </w:t>
      </w:r>
      <w:proofErr w:type="gramStart"/>
      <w:r w:rsidRPr="002A7A73">
        <w:rPr>
          <w:rFonts w:ascii="Times New Roman" w:hAnsi="Times New Roman" w:cs="Times New Roman"/>
          <w:sz w:val="24"/>
          <w:szCs w:val="24"/>
        </w:rPr>
        <w:t>in order to</w:t>
      </w:r>
      <w:proofErr w:type="gramEnd"/>
      <w:r w:rsidRPr="002A7A73">
        <w:rPr>
          <w:rFonts w:ascii="Times New Roman" w:hAnsi="Times New Roman" w:cs="Times New Roman"/>
          <w:sz w:val="24"/>
          <w:szCs w:val="24"/>
        </w:rPr>
        <w:t xml:space="preserve"> ensure that the law is consistent and predictable. Given that statutes are the primary source of law in the UK, one of the most essential legal techniques involves the interpretation of statutes. </w:t>
      </w:r>
      <w:proofErr w:type="gramStart"/>
      <w:r w:rsidRPr="002A7A73">
        <w:rPr>
          <w:rFonts w:ascii="Times New Roman" w:hAnsi="Times New Roman" w:cs="Times New Roman"/>
          <w:sz w:val="24"/>
          <w:szCs w:val="24"/>
        </w:rPr>
        <w:t>Due to the fact that</w:t>
      </w:r>
      <w:proofErr w:type="gramEnd"/>
      <w:r w:rsidRPr="002A7A73">
        <w:rPr>
          <w:rFonts w:ascii="Times New Roman" w:hAnsi="Times New Roman" w:cs="Times New Roman"/>
          <w:sz w:val="24"/>
          <w:szCs w:val="24"/>
        </w:rPr>
        <w:t xml:space="preserve"> courts are tasked with determining the facts of a case on the basis of the evidence that is presented, fact-finding is another essential component of the legal process.</w:t>
      </w:r>
    </w:p>
    <w:p w14:paraId="5B3E91CC" w14:textId="77777777" w:rsidR="008743D2" w:rsidRPr="002A7A73" w:rsidRDefault="008743D2" w:rsidP="002A7A73">
      <w:pPr>
        <w:spacing w:line="360" w:lineRule="auto"/>
        <w:jc w:val="both"/>
        <w:rPr>
          <w:rFonts w:ascii="Times New Roman" w:hAnsi="Times New Roman" w:cs="Times New Roman"/>
          <w:sz w:val="24"/>
          <w:szCs w:val="24"/>
        </w:rPr>
      </w:pPr>
    </w:p>
    <w:p w14:paraId="0A6C16A1" w14:textId="77777777" w:rsidR="008743D2" w:rsidRPr="002A7A73" w:rsidRDefault="008743D2" w:rsidP="002A7A73">
      <w:pPr>
        <w:spacing w:line="360" w:lineRule="auto"/>
        <w:jc w:val="both"/>
        <w:rPr>
          <w:rFonts w:ascii="Times New Roman" w:eastAsiaTheme="majorEastAsia" w:hAnsi="Times New Roman" w:cs="Times New Roman"/>
          <w:b/>
          <w:bCs/>
          <w:sz w:val="24"/>
          <w:szCs w:val="24"/>
        </w:rPr>
      </w:pPr>
      <w:r w:rsidRPr="002A7A73">
        <w:rPr>
          <w:rFonts w:ascii="Times New Roman" w:hAnsi="Times New Roman" w:cs="Times New Roman"/>
          <w:sz w:val="24"/>
          <w:szCs w:val="24"/>
        </w:rPr>
        <w:br w:type="page"/>
      </w:r>
    </w:p>
    <w:p w14:paraId="6FACD7F5" w14:textId="77777777" w:rsidR="008743D2" w:rsidRPr="002A7A73" w:rsidRDefault="008743D2" w:rsidP="002A7A73">
      <w:pPr>
        <w:pStyle w:val="Heading1"/>
        <w:spacing w:line="360" w:lineRule="auto"/>
        <w:jc w:val="both"/>
        <w:rPr>
          <w:rFonts w:ascii="Times New Roman" w:hAnsi="Times New Roman" w:cs="Times New Roman"/>
          <w:color w:val="auto"/>
          <w:sz w:val="24"/>
          <w:szCs w:val="24"/>
        </w:rPr>
      </w:pPr>
      <w:r w:rsidRPr="002A7A73">
        <w:rPr>
          <w:rFonts w:ascii="Times New Roman" w:hAnsi="Times New Roman" w:cs="Times New Roman"/>
          <w:color w:val="auto"/>
          <w:sz w:val="24"/>
          <w:szCs w:val="24"/>
        </w:rPr>
        <w:lastRenderedPageBreak/>
        <w:t xml:space="preserve">References </w:t>
      </w:r>
    </w:p>
    <w:p w14:paraId="54E5B80E"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Black's Law Dictionary. (2010). Stare Decisis. (9th ed.).</w:t>
      </w:r>
    </w:p>
    <w:p w14:paraId="0BD2DA37"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Craik, J. (2015). The art of statutory interpretation. Oxford University Press.</w:t>
      </w:r>
    </w:p>
    <w:p w14:paraId="330A1D63"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Denning, A. (1968). The Discipline of Law. Butterworths.</w:t>
      </w:r>
    </w:p>
    <w:p w14:paraId="26163BA7"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Elliott, C., &amp; Quinn, F. (2017). English legal system. Pearson Education Limited.</w:t>
      </w:r>
    </w:p>
    <w:p w14:paraId="3DFB4398"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Holland, J. (2013). Learning legal rules. Oxford University Press.</w:t>
      </w:r>
    </w:p>
    <w:p w14:paraId="6B5CF475"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House of Lords Practice Statement (Judicial Precedent). (1966). UKHL 1.</w:t>
      </w:r>
    </w:p>
    <w:p w14:paraId="681B2F54"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 xml:space="preserve">Lord Neuberger. (2010). Common law and statute. The University of Edinburgh, 10th Colin </w:t>
      </w:r>
      <w:proofErr w:type="spellStart"/>
      <w:r w:rsidRPr="002A7A73">
        <w:rPr>
          <w:rFonts w:ascii="Times New Roman" w:hAnsi="Times New Roman" w:cs="Times New Roman"/>
          <w:sz w:val="24"/>
          <w:szCs w:val="24"/>
        </w:rPr>
        <w:t>MacCabe</w:t>
      </w:r>
      <w:proofErr w:type="spellEnd"/>
      <w:r w:rsidRPr="002A7A73">
        <w:rPr>
          <w:rFonts w:ascii="Times New Roman" w:hAnsi="Times New Roman" w:cs="Times New Roman"/>
          <w:sz w:val="24"/>
          <w:szCs w:val="24"/>
        </w:rPr>
        <w:t xml:space="preserve"> Lecture.</w:t>
      </w:r>
    </w:p>
    <w:p w14:paraId="75F3890C"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Neuberger, D. (2010). The Common Law and the Constitution. Oxford University Press.</w:t>
      </w:r>
    </w:p>
    <w:p w14:paraId="1ADD81E7" w14:textId="77777777" w:rsidR="008743D2" w:rsidRPr="002A7A73" w:rsidRDefault="008743D2" w:rsidP="002A7A73">
      <w:pPr>
        <w:pStyle w:val="ListParagraph"/>
        <w:numPr>
          <w:ilvl w:val="0"/>
          <w:numId w:val="2"/>
        </w:numPr>
        <w:spacing w:line="360" w:lineRule="auto"/>
        <w:jc w:val="both"/>
        <w:rPr>
          <w:rFonts w:ascii="Times New Roman" w:hAnsi="Times New Roman" w:cs="Times New Roman"/>
          <w:sz w:val="24"/>
          <w:szCs w:val="24"/>
        </w:rPr>
      </w:pPr>
      <w:r w:rsidRPr="002A7A73">
        <w:rPr>
          <w:rFonts w:ascii="Times New Roman" w:hAnsi="Times New Roman" w:cs="Times New Roman"/>
          <w:sz w:val="24"/>
          <w:szCs w:val="24"/>
        </w:rPr>
        <w:t>Zander, M. (2014). The law-making process. Cambridge University Press.</w:t>
      </w:r>
    </w:p>
    <w:p w14:paraId="3ECD4E2A" w14:textId="77777777" w:rsidR="008743D2" w:rsidRPr="002A7A73" w:rsidRDefault="008743D2" w:rsidP="002A7A73">
      <w:pPr>
        <w:pStyle w:val="ListParagraph"/>
        <w:spacing w:line="360" w:lineRule="auto"/>
        <w:jc w:val="both"/>
        <w:rPr>
          <w:rFonts w:ascii="Times New Roman" w:hAnsi="Times New Roman" w:cs="Times New Roman"/>
          <w:sz w:val="24"/>
          <w:szCs w:val="24"/>
        </w:rPr>
      </w:pPr>
    </w:p>
    <w:sectPr w:rsidR="008743D2" w:rsidRPr="002A7A73" w:rsidSect="00C640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C322A"/>
    <w:multiLevelType w:val="hybridMultilevel"/>
    <w:tmpl w:val="67BC20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CF1B10"/>
    <w:multiLevelType w:val="hybridMultilevel"/>
    <w:tmpl w:val="C47A25F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743D2"/>
    <w:rsid w:val="00012CC2"/>
    <w:rsid w:val="0001414E"/>
    <w:rsid w:val="00133EFC"/>
    <w:rsid w:val="00185884"/>
    <w:rsid w:val="002A7A73"/>
    <w:rsid w:val="005F5672"/>
    <w:rsid w:val="0060665D"/>
    <w:rsid w:val="006D39AD"/>
    <w:rsid w:val="00767301"/>
    <w:rsid w:val="008743D2"/>
    <w:rsid w:val="00C40E0A"/>
    <w:rsid w:val="00C51647"/>
    <w:rsid w:val="00C64061"/>
    <w:rsid w:val="00D81781"/>
    <w:rsid w:val="00DD5554"/>
    <w:rsid w:val="00ED53AE"/>
    <w:rsid w:val="00F1426D"/>
    <w:rsid w:val="00FB55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8ECD0"/>
  <w15:docId w15:val="{ADBDF52A-B58D-49F4-A5C1-F2FE70956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061"/>
    <w:rPr>
      <w:lang w:val="en-GB"/>
    </w:rPr>
  </w:style>
  <w:style w:type="paragraph" w:styleId="Heading1">
    <w:name w:val="heading 1"/>
    <w:basedOn w:val="Normal"/>
    <w:next w:val="Normal"/>
    <w:link w:val="Heading1Char"/>
    <w:uiPriority w:val="9"/>
    <w:qFormat/>
    <w:rsid w:val="008743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3D2"/>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8743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6</Pages>
  <Words>1355</Words>
  <Characters>7724</Characters>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2023-03-06T07:39:00Z</dcterms:created>
  <dcterms:modified xsi:type="dcterms:W3CDTF">2023-03-10T18:47:00Z</dcterms:modified>
</cp:coreProperties>
</file>