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EF417" w14:textId="0EC1220A" w:rsidR="002E7F27" w:rsidRPr="002E7F27" w:rsidRDefault="002E7F27">
      <w:pPr>
        <w:rPr>
          <w:b/>
          <w:bCs/>
        </w:rPr>
      </w:pPr>
      <w:r w:rsidRPr="002E7F27">
        <w:rPr>
          <w:b/>
          <w:bCs/>
        </w:rPr>
        <w:t>‘The narrative of Adam and Eve in Genesis is a perfect example of misogynism.’ Examine this statement using both primary and secondary sources.</w:t>
      </w:r>
    </w:p>
    <w:p w14:paraId="2132DE1B" w14:textId="38F99D2D" w:rsidR="005550D0" w:rsidRDefault="00480AE0">
      <w:r>
        <w:t xml:space="preserve">This essay will seek to provide a reasonable </w:t>
      </w:r>
      <w:r w:rsidR="001042E1">
        <w:t xml:space="preserve">response to the above question. </w:t>
      </w:r>
      <w:r w:rsidR="00502A7F">
        <w:t>Firstly,</w:t>
      </w:r>
      <w:r w:rsidR="001042E1">
        <w:t xml:space="preserve"> an understanding </w:t>
      </w:r>
      <w:r w:rsidR="00AB4B7C">
        <w:t xml:space="preserve">and definition </w:t>
      </w:r>
      <w:r w:rsidR="001042E1">
        <w:t>of misogyn</w:t>
      </w:r>
      <w:r w:rsidR="00F63356">
        <w:t>y</w:t>
      </w:r>
      <w:r w:rsidR="001042E1">
        <w:t xml:space="preserve"> </w:t>
      </w:r>
      <w:r w:rsidR="00AB4B7C">
        <w:t xml:space="preserve">is needed to provide a suitable response. </w:t>
      </w:r>
      <w:r w:rsidR="00641F72">
        <w:t xml:space="preserve">Utilising the agreed </w:t>
      </w:r>
      <w:r w:rsidR="00D715D6">
        <w:t>definition,</w:t>
      </w:r>
      <w:r w:rsidR="00641F72">
        <w:t xml:space="preserve"> I will then seek to examine the biblical texts </w:t>
      </w:r>
      <w:r w:rsidR="0022756F">
        <w:t xml:space="preserve">and the narrative of Adam and Eve to </w:t>
      </w:r>
      <w:r w:rsidR="00113344">
        <w:t>determine w</w:t>
      </w:r>
      <w:r w:rsidR="005550D0">
        <w:t>h</w:t>
      </w:r>
      <w:r w:rsidR="00113344">
        <w:t xml:space="preserve">ether the narrative of Adam and Eve in Genesis is </w:t>
      </w:r>
      <w:r w:rsidR="005550D0">
        <w:t xml:space="preserve">a perfect example of misogynism. </w:t>
      </w:r>
      <w:r w:rsidR="00B64CEC">
        <w:t xml:space="preserve"> </w:t>
      </w:r>
    </w:p>
    <w:p w14:paraId="30A2FD40" w14:textId="52EDB709" w:rsidR="002E7F27" w:rsidRDefault="00B64CEC">
      <w:r>
        <w:t xml:space="preserve">Misogyny </w:t>
      </w:r>
      <w:r w:rsidR="006365E3">
        <w:t>f</w:t>
      </w:r>
      <w:r w:rsidR="00D26A04">
        <w:t xml:space="preserve">rom </w:t>
      </w:r>
      <w:r w:rsidR="006365E3">
        <w:t>the Greek</w:t>
      </w:r>
      <w:r w:rsidR="005550D0">
        <w:t xml:space="preserve"> language</w:t>
      </w:r>
      <w:r w:rsidR="006365E3">
        <w:t xml:space="preserve"> is broken into two words, the first ‘Miso’ meaning hatred, and then ‘Gyn</w:t>
      </w:r>
      <w:r w:rsidR="00D26A04">
        <w:t>e</w:t>
      </w:r>
      <w:r w:rsidR="006365E3">
        <w:t>’ meaning women. In short Misogyny could be literally translated to mean the hatred of women</w:t>
      </w:r>
      <w:r w:rsidR="00A176EC">
        <w:t>.</w:t>
      </w:r>
      <w:r w:rsidR="002E35DD">
        <w:rPr>
          <w:rStyle w:val="FootnoteReference"/>
        </w:rPr>
        <w:footnoteReference w:id="1"/>
      </w:r>
      <w:r w:rsidR="006365E3">
        <w:t xml:space="preserve"> </w:t>
      </w:r>
      <w:r w:rsidR="002E35DD">
        <w:t xml:space="preserve">This initial definition is expanded on within </w:t>
      </w:r>
      <w:r w:rsidR="00C6083B">
        <w:t xml:space="preserve">the </w:t>
      </w:r>
      <w:r w:rsidR="002E35DD">
        <w:t>article ‘call i</w:t>
      </w:r>
      <w:r w:rsidR="00C6083B">
        <w:t>t</w:t>
      </w:r>
      <w:r w:rsidR="002E35DD">
        <w:t xml:space="preserve"> misogyny’ </w:t>
      </w:r>
      <w:r w:rsidR="00D64731">
        <w:t>to include the hatred and contempt of women and girls.</w:t>
      </w:r>
      <w:r w:rsidR="00D64731">
        <w:rPr>
          <w:rStyle w:val="FootnoteReference"/>
        </w:rPr>
        <w:footnoteReference w:id="2"/>
      </w:r>
      <w:r w:rsidR="00205A48">
        <w:t xml:space="preserve"> The idea that misogyny is as exclusive to the hatred and contempt of women does not</w:t>
      </w:r>
      <w:r w:rsidR="00F226EC">
        <w:t xml:space="preserve"> however</w:t>
      </w:r>
      <w:r w:rsidR="00D061AE">
        <w:t xml:space="preserve"> go far enough to</w:t>
      </w:r>
      <w:r w:rsidR="00C6083B">
        <w:t xml:space="preserve"> arrive at</w:t>
      </w:r>
      <w:r w:rsidR="00D061AE">
        <w:t xml:space="preserve"> a suitable definition. K</w:t>
      </w:r>
      <w:r w:rsidR="00CB7E25">
        <w:t>ate</w:t>
      </w:r>
      <w:r w:rsidR="00D061AE">
        <w:t xml:space="preserve"> Manne </w:t>
      </w:r>
      <w:r w:rsidR="0034723A">
        <w:t xml:space="preserve">in her book </w:t>
      </w:r>
      <w:r w:rsidR="00CB7E25">
        <w:t>the</w:t>
      </w:r>
      <w:r w:rsidR="0034723A">
        <w:t xml:space="preserve"> logic of misogyny provides a broader definition, one more suited, particularly when examining </w:t>
      </w:r>
      <w:r w:rsidR="00227D5A">
        <w:t xml:space="preserve">history, current practises and </w:t>
      </w:r>
      <w:r w:rsidR="0034723A">
        <w:t xml:space="preserve">Biblical texts. </w:t>
      </w:r>
      <w:r w:rsidR="00522EEE">
        <w:t xml:space="preserve">Manne explains, </w:t>
      </w:r>
    </w:p>
    <w:p w14:paraId="3B921768" w14:textId="6885F84D" w:rsidR="00522EEE" w:rsidRDefault="00BF7FD5" w:rsidP="00522EEE">
      <w:pPr>
        <w:ind w:left="720"/>
      </w:pPr>
      <w:r>
        <w:t>W</w:t>
      </w:r>
      <w:r w:rsidRPr="00BF7FD5">
        <w:t>e should think of misogyny as serving to uphold patriarchal order, understood as one strand among various similar systems of domination (including racisms, xenophobia, classism, ageism, ableism, homophobia, transphobia, and so on). Misogyny does this by visiting hostile or adverse social consequences on a certain (more or less circumscribed) class of girls or women to enforce and police social norms that are gendered either in theory (i.e., content) or in practice (i.e., norm enforcement mechanisms).</w:t>
      </w:r>
      <w:r>
        <w:rPr>
          <w:rStyle w:val="FootnoteReference"/>
        </w:rPr>
        <w:footnoteReference w:id="3"/>
      </w:r>
    </w:p>
    <w:p w14:paraId="256B68B5" w14:textId="302C940F" w:rsidR="00BF7FD5" w:rsidRDefault="00755B4D" w:rsidP="00BF7FD5">
      <w:r>
        <w:t>R</w:t>
      </w:r>
      <w:r w:rsidR="0002756F">
        <w:t>achel</w:t>
      </w:r>
      <w:r>
        <w:t xml:space="preserve"> Loewen </w:t>
      </w:r>
      <w:r w:rsidR="00336DCD">
        <w:t xml:space="preserve">Walker </w:t>
      </w:r>
      <w:r w:rsidR="00F44909">
        <w:t>summarises</w:t>
      </w:r>
      <w:r w:rsidR="00336DCD">
        <w:t xml:space="preserve"> this well </w:t>
      </w:r>
      <w:r>
        <w:t xml:space="preserve">when using Mannes definition as </w:t>
      </w:r>
      <w:r w:rsidR="00336DCD">
        <w:t>explaining</w:t>
      </w:r>
      <w:r>
        <w:t xml:space="preserve"> that</w:t>
      </w:r>
      <w:r w:rsidR="00336DCD">
        <w:t xml:space="preserve"> women</w:t>
      </w:r>
      <w:r>
        <w:t xml:space="preserve"> a</w:t>
      </w:r>
      <w:r w:rsidR="00F71028">
        <w:t>cross history have been</w:t>
      </w:r>
      <w:r>
        <w:t xml:space="preserve"> </w:t>
      </w:r>
      <w:r w:rsidR="00F44909">
        <w:t>controlled, policed and punished</w:t>
      </w:r>
      <w:r w:rsidR="00F71028">
        <w:t xml:space="preserve"> in comparison to their male counterparts.</w:t>
      </w:r>
      <w:r w:rsidR="00F44909">
        <w:rPr>
          <w:rStyle w:val="FootnoteReference"/>
        </w:rPr>
        <w:footnoteReference w:id="4"/>
      </w:r>
      <w:r w:rsidR="00F44909">
        <w:t xml:space="preserve"> </w:t>
      </w:r>
    </w:p>
    <w:p w14:paraId="4BFFCA55" w14:textId="6FB154F3" w:rsidR="00704BB7" w:rsidRDefault="00FC6476">
      <w:r>
        <w:t xml:space="preserve">Having now found a definition of misogyny, deciding whether historical texts should be classed as misogynistic causes its own issue with conflicting views. </w:t>
      </w:r>
      <w:r w:rsidR="00706295">
        <w:t>Misogyny as a</w:t>
      </w:r>
      <w:r w:rsidR="00F94384">
        <w:t xml:space="preserve"> word has been around longer than the</w:t>
      </w:r>
      <w:r w:rsidR="001C791D">
        <w:t xml:space="preserve"> idea of misogyny. Which some would describe as the misogyny phenomena, </w:t>
      </w:r>
      <w:r w:rsidR="0055177B">
        <w:t>which began to get attention in the 1960’s</w:t>
      </w:r>
      <w:r w:rsidR="00F94384">
        <w:t>.</w:t>
      </w:r>
      <w:r w:rsidR="00F94384">
        <w:rPr>
          <w:rStyle w:val="FootnoteReference"/>
        </w:rPr>
        <w:footnoteReference w:id="5"/>
      </w:r>
      <w:r w:rsidR="00C14288">
        <w:t xml:space="preserve"> In deciding w</w:t>
      </w:r>
      <w:r w:rsidR="00A841CD">
        <w:t>h</w:t>
      </w:r>
      <w:r w:rsidR="00C14288">
        <w:t>ether</w:t>
      </w:r>
      <w:r w:rsidR="000704E7">
        <w:t xml:space="preserve"> historical records and life is inherently</w:t>
      </w:r>
      <w:r w:rsidR="00C14288">
        <w:t xml:space="preserve"> misogynistic </w:t>
      </w:r>
      <w:r w:rsidR="00BE5F36">
        <w:t>there are those who ask the question</w:t>
      </w:r>
      <w:r w:rsidR="002214B1">
        <w:t xml:space="preserve"> like</w:t>
      </w:r>
      <w:r w:rsidR="00BB02BA">
        <w:t xml:space="preserve"> J</w:t>
      </w:r>
      <w:r w:rsidR="00EB3AC6">
        <w:t>ohn</w:t>
      </w:r>
      <w:r w:rsidR="00BB02BA">
        <w:t xml:space="preserve"> Burkhart</w:t>
      </w:r>
      <w:r w:rsidR="00094021">
        <w:t>, do</w:t>
      </w:r>
      <w:r w:rsidR="00BE5F36">
        <w:t xml:space="preserve"> we need history to keep up with the present, and whether we need to rewrite history to address present issues.</w:t>
      </w:r>
      <w:r w:rsidR="00BB02BA">
        <w:rPr>
          <w:rStyle w:val="FootnoteReference"/>
        </w:rPr>
        <w:footnoteReference w:id="6"/>
      </w:r>
      <w:r w:rsidR="00094021">
        <w:t xml:space="preserve"> </w:t>
      </w:r>
      <w:r w:rsidR="000B0920">
        <w:t xml:space="preserve"> Another view point in support of </w:t>
      </w:r>
      <w:r w:rsidR="00491897">
        <w:t>Burkhart’s</w:t>
      </w:r>
      <w:r w:rsidR="000B0920">
        <w:t xml:space="preserve"> question </w:t>
      </w:r>
      <w:r w:rsidR="00491897">
        <w:t>would</w:t>
      </w:r>
      <w:r w:rsidR="000B0920">
        <w:t xml:space="preserve"> be those </w:t>
      </w:r>
      <w:r w:rsidR="00612631">
        <w:t>who believe as</w:t>
      </w:r>
      <w:r w:rsidR="001F097B">
        <w:t xml:space="preserve"> a particular behaviour and viewpoint of women</w:t>
      </w:r>
      <w:r w:rsidR="00612631">
        <w:t xml:space="preserve"> was universally held </w:t>
      </w:r>
      <w:r w:rsidR="00737DA7">
        <w:t>at</w:t>
      </w:r>
      <w:r w:rsidR="001F097B">
        <w:t xml:space="preserve"> a</w:t>
      </w:r>
      <w:r w:rsidR="00737DA7">
        <w:t xml:space="preserve"> time</w:t>
      </w:r>
      <w:r w:rsidR="001F097B">
        <w:t xml:space="preserve"> in history</w:t>
      </w:r>
      <w:r w:rsidR="000B0920">
        <w:t>,</w:t>
      </w:r>
      <w:r w:rsidR="00737DA7">
        <w:t xml:space="preserve"> </w:t>
      </w:r>
      <w:r w:rsidR="001F097B">
        <w:t xml:space="preserve">then </w:t>
      </w:r>
      <w:r w:rsidR="00737DA7">
        <w:t xml:space="preserve">those in the present would be harsh to </w:t>
      </w:r>
      <w:r w:rsidR="00737DA7">
        <w:lastRenderedPageBreak/>
        <w:t>impose the term misogyny</w:t>
      </w:r>
      <w:r w:rsidR="00B261ED">
        <w:t xml:space="preserve"> as we now understand it</w:t>
      </w:r>
      <w:r w:rsidR="001F097B">
        <w:t xml:space="preserve"> upon </w:t>
      </w:r>
      <w:r w:rsidR="00B261ED">
        <w:t>those historical records</w:t>
      </w:r>
      <w:r w:rsidR="000B5048">
        <w:t>.</w:t>
      </w:r>
      <w:r w:rsidR="000B5048">
        <w:rPr>
          <w:rStyle w:val="FootnoteReference"/>
        </w:rPr>
        <w:footnoteReference w:id="7"/>
      </w:r>
      <w:r w:rsidR="000B5048">
        <w:t xml:space="preserve"> </w:t>
      </w:r>
      <w:r w:rsidR="00F44909">
        <w:t xml:space="preserve">Whereas others </w:t>
      </w:r>
      <w:r w:rsidR="00433040">
        <w:t xml:space="preserve">such as Mary Daly </w:t>
      </w:r>
      <w:r w:rsidR="00F44909">
        <w:t xml:space="preserve">would argue that </w:t>
      </w:r>
      <w:r w:rsidR="0088250C">
        <w:t>history should be compared with present thought</w:t>
      </w:r>
      <w:r w:rsidR="00433040">
        <w:t>s</w:t>
      </w:r>
      <w:r w:rsidR="00BB02BA">
        <w:t>.</w:t>
      </w:r>
      <w:r w:rsidR="00BB02BA">
        <w:rPr>
          <w:rStyle w:val="FootnoteReference"/>
        </w:rPr>
        <w:footnoteReference w:id="8"/>
      </w:r>
      <w:r w:rsidR="00BB02BA">
        <w:t xml:space="preserve"> </w:t>
      </w:r>
    </w:p>
    <w:p w14:paraId="40A8E9D3" w14:textId="582698EC" w:rsidR="00433040" w:rsidRDefault="00465A17">
      <w:r>
        <w:t xml:space="preserve">Which ever </w:t>
      </w:r>
      <w:r w:rsidR="00CF0F9D">
        <w:t>view point one takes</w:t>
      </w:r>
      <w:r w:rsidR="00C923EF">
        <w:t xml:space="preserve">, it can only be positive that all </w:t>
      </w:r>
      <w:r w:rsidR="00FA4003">
        <w:t xml:space="preserve">history, biblical or not be examined through a reasonable feminist </w:t>
      </w:r>
      <w:r w:rsidR="00861D1F">
        <w:t>e</w:t>
      </w:r>
      <w:r w:rsidR="00FA4003">
        <w:t>nquiry to allow the reader to determine for themselves.</w:t>
      </w:r>
      <w:r w:rsidR="00FA4003">
        <w:rPr>
          <w:rStyle w:val="FootnoteReference"/>
        </w:rPr>
        <w:footnoteReference w:id="9"/>
      </w:r>
      <w:r w:rsidR="00FA4003">
        <w:t xml:space="preserve"> </w:t>
      </w:r>
      <w:r w:rsidR="00EC391E">
        <w:t xml:space="preserve">This reasonable feminist </w:t>
      </w:r>
      <w:r w:rsidR="00861D1F">
        <w:t xml:space="preserve">enquiry can be applied to examining the narrative of Adam and Eve. </w:t>
      </w:r>
    </w:p>
    <w:p w14:paraId="1B2ED0D7" w14:textId="77777777" w:rsidR="00BB5491" w:rsidRDefault="009051BC">
      <w:r>
        <w:t xml:space="preserve">At first glance it is easy to understand </w:t>
      </w:r>
      <w:r w:rsidR="00424CC9">
        <w:t>wh</w:t>
      </w:r>
      <w:r w:rsidR="004A7829">
        <w:t>ere misogyny could be found within the Adam and Eve narrative. There is more than one example where Adam appears favoured over Eve. For</w:t>
      </w:r>
      <w:r w:rsidR="00732041">
        <w:t xml:space="preserve"> </w:t>
      </w:r>
      <w:r w:rsidR="004A7829">
        <w:t xml:space="preserve">example Genesis 2, </w:t>
      </w:r>
      <w:r w:rsidR="00A02A0E">
        <w:t xml:space="preserve">Adam is formed first, not only formed first but </w:t>
      </w:r>
      <w:r w:rsidR="005848D0">
        <w:t xml:space="preserve">crafted by God </w:t>
      </w:r>
      <w:r w:rsidR="00D21C57">
        <w:t>from the dust of the earth and breathed into him the breath of life.</w:t>
      </w:r>
      <w:r w:rsidR="00D21C57">
        <w:rPr>
          <w:rStyle w:val="FootnoteReference"/>
        </w:rPr>
        <w:footnoteReference w:id="10"/>
      </w:r>
      <w:r w:rsidR="00D21C57">
        <w:t xml:space="preserve"> </w:t>
      </w:r>
      <w:r w:rsidR="00A208B9">
        <w:t xml:space="preserve">In contrast Eve was formed from man, not only this but it is man who </w:t>
      </w:r>
      <w:r w:rsidR="00606AA6">
        <w:t>provides the name for woman.</w:t>
      </w:r>
      <w:r w:rsidR="00606AA6">
        <w:rPr>
          <w:rStyle w:val="FootnoteReference"/>
        </w:rPr>
        <w:footnoteReference w:id="11"/>
      </w:r>
      <w:r w:rsidR="00606AA6">
        <w:t xml:space="preserve"> </w:t>
      </w:r>
      <w:r w:rsidR="006A73DC">
        <w:t xml:space="preserve">Furthermore </w:t>
      </w:r>
      <w:r w:rsidR="00B821D1">
        <w:t xml:space="preserve">Adam </w:t>
      </w:r>
      <w:r w:rsidR="006A73DC">
        <w:t xml:space="preserve">when </w:t>
      </w:r>
      <w:r w:rsidR="00B821D1">
        <w:t>asked by God whether he has eaten of the tree of knowledge which was forbidden, rather than answer this question, Adam is recorded as firstly blaming Eve, advising that she is t</w:t>
      </w:r>
      <w:r w:rsidR="00314E3D">
        <w:t>he one who gave it to him.</w:t>
      </w:r>
      <w:r w:rsidR="00314E3D">
        <w:rPr>
          <w:rStyle w:val="FootnoteReference"/>
        </w:rPr>
        <w:footnoteReference w:id="12"/>
      </w:r>
      <w:r w:rsidR="00314E3D">
        <w:t xml:space="preserve"> </w:t>
      </w:r>
      <w:r w:rsidR="002A5ADD">
        <w:t xml:space="preserve">As a result of the disobedience </w:t>
      </w:r>
      <w:r w:rsidR="00041E28">
        <w:t xml:space="preserve">of both Adam and Eve they are punished, </w:t>
      </w:r>
      <w:r w:rsidR="00B613E5">
        <w:t xml:space="preserve">included in </w:t>
      </w:r>
      <w:r w:rsidR="0019337A">
        <w:t>woman’s</w:t>
      </w:r>
      <w:r w:rsidR="00B613E5">
        <w:t xml:space="preserve"> punishment is that, her husbands shall rule over her</w:t>
      </w:r>
      <w:r w:rsidR="0019337A">
        <w:t>.</w:t>
      </w:r>
      <w:r w:rsidR="0019337A">
        <w:rPr>
          <w:rStyle w:val="FootnoteReference"/>
        </w:rPr>
        <w:footnoteReference w:id="13"/>
      </w:r>
      <w:r w:rsidR="0019337A">
        <w:t xml:space="preserve"> </w:t>
      </w:r>
      <w:r w:rsidR="00732041">
        <w:t xml:space="preserve">With Mannes earlier definition it is </w:t>
      </w:r>
      <w:r w:rsidR="00EC66E7">
        <w:t>clear how one could argue that the narrative of Adam and eve is</w:t>
      </w:r>
      <w:r w:rsidR="00EA5256">
        <w:t xml:space="preserve"> misogynistic.</w:t>
      </w:r>
      <w:r w:rsidR="00E71929">
        <w:t xml:space="preserve"> </w:t>
      </w:r>
    </w:p>
    <w:p w14:paraId="7A3AC174" w14:textId="7849325A" w:rsidR="00BB5491" w:rsidRDefault="00BB5491">
      <w:r>
        <w:t xml:space="preserve">A patriarchal system that still today has influence, as evidenced </w:t>
      </w:r>
      <w:r w:rsidR="00613F26">
        <w:t>with Suzanne Valdons painting ‘Adam and Eve’.</w:t>
      </w:r>
      <w:r w:rsidR="00613F26">
        <w:rPr>
          <w:rStyle w:val="FootnoteReference"/>
        </w:rPr>
        <w:footnoteReference w:id="14"/>
      </w:r>
      <w:r w:rsidR="00613F26">
        <w:t xml:space="preserve"> The first painting of male and female fully nude, however would only be displayed if the </w:t>
      </w:r>
      <w:r w:rsidR="00332B1B">
        <w:t>males’</w:t>
      </w:r>
      <w:r w:rsidR="00613F26">
        <w:t xml:space="preserve"> genitals were covered.</w:t>
      </w:r>
      <w:r w:rsidR="007B2CA0">
        <w:rPr>
          <w:rStyle w:val="FootnoteReference"/>
        </w:rPr>
        <w:footnoteReference w:id="15"/>
      </w:r>
      <w:r w:rsidR="00613F26">
        <w:t xml:space="preserve"> </w:t>
      </w:r>
      <w:r w:rsidR="007B2CA0">
        <w:t xml:space="preserve">Allowing the male form to maintain their dignity, whilst the female be laid bare for all to see. </w:t>
      </w:r>
    </w:p>
    <w:p w14:paraId="11213FAD" w14:textId="135BFB12" w:rsidR="009051BC" w:rsidRDefault="00E71929">
      <w:r>
        <w:t xml:space="preserve">The patriarchal theme can also be found elsewhere within biblical texts such as in Ezekiel </w:t>
      </w:r>
      <w:r w:rsidR="00951F24">
        <w:t>where he describes Isreal as menstruating woman</w:t>
      </w:r>
      <w:r w:rsidR="00B054D4">
        <w:t xml:space="preserve"> </w:t>
      </w:r>
      <w:r w:rsidR="004D3113">
        <w:t>in order to</w:t>
      </w:r>
      <w:r w:rsidR="00EA3676">
        <w:t xml:space="preserve"> convey a message.</w:t>
      </w:r>
      <w:r w:rsidR="003476C5">
        <w:rPr>
          <w:rStyle w:val="FootnoteReference"/>
        </w:rPr>
        <w:footnoteReference w:id="16"/>
      </w:r>
      <w:r w:rsidR="003476C5">
        <w:t xml:space="preserve"> This message however </w:t>
      </w:r>
      <w:r w:rsidR="00F02FF7">
        <w:t>as</w:t>
      </w:r>
      <w:r w:rsidR="0012123F">
        <w:t xml:space="preserve"> </w:t>
      </w:r>
      <w:r w:rsidR="0012123F">
        <w:lastRenderedPageBreak/>
        <w:t>Jonathan Stokl contends is not intended to be misogynistic</w:t>
      </w:r>
      <w:r w:rsidR="00542606">
        <w:t xml:space="preserve"> and </w:t>
      </w:r>
      <w:r w:rsidR="00D2204B">
        <w:t xml:space="preserve">explains that </w:t>
      </w:r>
      <w:r w:rsidR="00542606">
        <w:t>understanding the significance of the example is often overlooked when reading Ezekiel. T</w:t>
      </w:r>
      <w:r w:rsidR="00D05B89">
        <w:t xml:space="preserve">he way in which someone reads the biblical texts and understands it is one that I would argue </w:t>
      </w:r>
      <w:r w:rsidR="00A71D18">
        <w:t xml:space="preserve">allows for misinterpretation, or </w:t>
      </w:r>
      <w:r w:rsidR="00DD1839">
        <w:t xml:space="preserve">misrepresentation of ideas. </w:t>
      </w:r>
      <w:r w:rsidR="00231A82">
        <w:t>As John Calvin explains early in his book institutes to the Christ</w:t>
      </w:r>
      <w:r w:rsidR="00230D67">
        <w:t>ian</w:t>
      </w:r>
      <w:r w:rsidR="00231A82">
        <w:t xml:space="preserve"> Religion. </w:t>
      </w:r>
      <w:r w:rsidR="004F0B19">
        <w:t xml:space="preserve">Calvin explains that </w:t>
      </w:r>
      <w:r w:rsidR="00231A82">
        <w:t xml:space="preserve">People have a </w:t>
      </w:r>
      <w:r w:rsidR="00230D67">
        <w:t>tendency</w:t>
      </w:r>
      <w:r w:rsidR="00231A82">
        <w:t xml:space="preserve"> to imagine God </w:t>
      </w:r>
      <w:r w:rsidR="00230D67">
        <w:t>based on their own rashness and ideas have devised as opposed to conceiving him in the character in which he is manifested.</w:t>
      </w:r>
      <w:r w:rsidR="00230D67">
        <w:rPr>
          <w:rStyle w:val="FootnoteReference"/>
        </w:rPr>
        <w:footnoteReference w:id="17"/>
      </w:r>
      <w:r w:rsidR="00230D67">
        <w:t xml:space="preserve"> </w:t>
      </w:r>
    </w:p>
    <w:p w14:paraId="26779B87" w14:textId="5CF1A220" w:rsidR="0014772A" w:rsidRDefault="005F1BC4">
      <w:r>
        <w:t xml:space="preserve">It is true that by utilising the menstruating woman example in Ezekiel, men may avoid any sense of involvement and responsibility </w:t>
      </w:r>
      <w:r w:rsidR="00390FA0">
        <w:t xml:space="preserve">for the sins of the nation, </w:t>
      </w:r>
      <w:proofErr w:type="spellStart"/>
      <w:r w:rsidR="00390FA0">
        <w:t>Stokl</w:t>
      </w:r>
      <w:proofErr w:type="spellEnd"/>
      <w:r w:rsidR="00390FA0">
        <w:t xml:space="preserve"> acknowledges this himself.</w:t>
      </w:r>
      <w:r w:rsidR="00D74D65">
        <w:rPr>
          <w:rStyle w:val="FootnoteReference"/>
        </w:rPr>
        <w:footnoteReference w:id="18"/>
      </w:r>
      <w:r w:rsidR="00390FA0">
        <w:t xml:space="preserve"> However </w:t>
      </w:r>
      <w:proofErr w:type="spellStart"/>
      <w:r w:rsidR="00F012AC">
        <w:t>Stokl</w:t>
      </w:r>
      <w:proofErr w:type="spellEnd"/>
      <w:r w:rsidR="00F012AC">
        <w:t xml:space="preserve"> explains that Ezekiel was not seeking to degenerate women, but </w:t>
      </w:r>
      <w:r w:rsidR="006F0A02">
        <w:t xml:space="preserve">exhort men to grow in their acceptance of collective responsibility </w:t>
      </w:r>
      <w:r w:rsidR="005B161D">
        <w:t xml:space="preserve">as </w:t>
      </w:r>
      <w:r w:rsidR="00641AB3">
        <w:t>covenant</w:t>
      </w:r>
      <w:r w:rsidR="005B161D">
        <w:t xml:space="preserve"> partners with God</w:t>
      </w:r>
      <w:r w:rsidR="00641AB3">
        <w:t>, acknowledging and taking responsibility for their part to play in the sin</w:t>
      </w:r>
      <w:r w:rsidR="005B161D">
        <w:t>.</w:t>
      </w:r>
      <w:r w:rsidR="00641AB3">
        <w:rPr>
          <w:rStyle w:val="FootnoteReference"/>
        </w:rPr>
        <w:footnoteReference w:id="19"/>
      </w:r>
      <w:r w:rsidR="00BF324F">
        <w:t xml:space="preserve"> Furthermore the menstruating woman is used </w:t>
      </w:r>
      <w:r w:rsidR="003D2003">
        <w:t xml:space="preserve">as an example in Ezekiel to make a point with the readers, understanding that the readers at the time would know the implications of a menstruation period, </w:t>
      </w:r>
      <w:r w:rsidR="009A6223">
        <w:t xml:space="preserve">and the measures needed to make one clean again, compared to a male </w:t>
      </w:r>
      <w:r w:rsidR="003A55CA">
        <w:t>discharge.</w:t>
      </w:r>
      <w:r w:rsidR="00E27731">
        <w:rPr>
          <w:rStyle w:val="FootnoteReference"/>
        </w:rPr>
        <w:footnoteReference w:id="20"/>
      </w:r>
      <w:r w:rsidR="003A55CA">
        <w:t xml:space="preserve"> The message Ezekiel was trying to convey is how far the nation had fallen into sin</w:t>
      </w:r>
      <w:r w:rsidR="00E27731">
        <w:t xml:space="preserve">. </w:t>
      </w:r>
    </w:p>
    <w:p w14:paraId="0C2BDB71" w14:textId="1C7C702B" w:rsidR="0079555D" w:rsidRDefault="00A15764">
      <w:r>
        <w:t xml:space="preserve">Context and understanding of biblical </w:t>
      </w:r>
      <w:r w:rsidR="009A3C2C">
        <w:t>traditions</w:t>
      </w:r>
      <w:r>
        <w:t xml:space="preserve"> therefor </w:t>
      </w:r>
      <w:proofErr w:type="gramStart"/>
      <w:r>
        <w:t>is</w:t>
      </w:r>
      <w:proofErr w:type="gramEnd"/>
      <w:r>
        <w:t xml:space="preserve"> key when examining biblical texts</w:t>
      </w:r>
      <w:r w:rsidR="009A3C2C">
        <w:t xml:space="preserve"> to prevent us as Calvin explained imposing our own ideas upon </w:t>
      </w:r>
      <w:r w:rsidR="00C41869">
        <w:t>the character of God</w:t>
      </w:r>
      <w:r>
        <w:t xml:space="preserve">. </w:t>
      </w:r>
      <w:r w:rsidR="0079555D">
        <w:t xml:space="preserve">This also is true when examining the narrative of Adam and Eve. </w:t>
      </w:r>
    </w:p>
    <w:p w14:paraId="5A1EB5D2" w14:textId="2B845960" w:rsidR="006B7BDE" w:rsidRDefault="005C624B">
      <w:r>
        <w:t xml:space="preserve">To state that the Adam and Eve narrative is misogynistic is to neglect the whole of Genesis 1. </w:t>
      </w:r>
      <w:r w:rsidR="00CB174F">
        <w:t xml:space="preserve">Genesis 1 sets the scene ahead of the continued reading for Genesis 2 and 3. From examining the text within Genesis 1 the theme one can understand that is God created, or brought forth all things into being. </w:t>
      </w:r>
      <w:r w:rsidR="00DF749C">
        <w:t xml:space="preserve">As Genesis 1 introduces each element of creation </w:t>
      </w:r>
      <w:r w:rsidR="00292931">
        <w:t>to the reader the start of each element begins with either ‘God Said’.</w:t>
      </w:r>
      <w:r w:rsidR="00292931">
        <w:rPr>
          <w:rStyle w:val="FootnoteReference"/>
        </w:rPr>
        <w:footnoteReference w:id="21"/>
      </w:r>
      <w:r w:rsidR="00292931">
        <w:t xml:space="preserve"> </w:t>
      </w:r>
      <w:r w:rsidR="00025B02">
        <w:t>The understanding and theme of God having brought all things to be is referenced throughout the Biblical texts, both in old and new testament</w:t>
      </w:r>
      <w:r w:rsidR="001D68F4">
        <w:t xml:space="preserve"> such as found in Hebrews 11, where the reader is to understand that what is seen is made from things that </w:t>
      </w:r>
      <w:r w:rsidR="00C6531B">
        <w:t>are</w:t>
      </w:r>
      <w:r w:rsidR="001D68F4">
        <w:t xml:space="preserve"> not visible.</w:t>
      </w:r>
      <w:r w:rsidR="001D68F4">
        <w:rPr>
          <w:rStyle w:val="FootnoteReference"/>
        </w:rPr>
        <w:footnoteReference w:id="22"/>
      </w:r>
      <w:r w:rsidR="001D68F4">
        <w:t xml:space="preserve"> </w:t>
      </w:r>
      <w:r w:rsidR="00C6531B">
        <w:t>Th</w:t>
      </w:r>
      <w:r w:rsidR="00820639">
        <w:t>e</w:t>
      </w:r>
      <w:r w:rsidR="00C6531B">
        <w:t xml:space="preserve"> understanding of God creating all things prevents one claiming to be more important than the other</w:t>
      </w:r>
      <w:r w:rsidR="00820639">
        <w:t xml:space="preserve"> unless otherwise instructed by the creator.</w:t>
      </w:r>
      <w:r w:rsidR="00C6531B">
        <w:t xml:space="preserve"> </w:t>
      </w:r>
      <w:r w:rsidR="007B4C8D">
        <w:t>This is true for the creations of humans</w:t>
      </w:r>
      <w:r w:rsidR="00820639">
        <w:t xml:space="preserve"> as well.</w:t>
      </w:r>
      <w:r w:rsidR="007B4C8D">
        <w:t xml:space="preserve"> God is said to have created human in his own image, </w:t>
      </w:r>
      <w:r w:rsidR="000F7632">
        <w:t xml:space="preserve">he created them male and female. Within the Genesis 1 account there is no distinction of one being created before the other, or </w:t>
      </w:r>
      <w:r w:rsidR="002C1212">
        <w:t>one being made form another. Humans are created in the image of God, they are equally blessed, equally commanded to subdue the earth</w:t>
      </w:r>
      <w:r w:rsidR="00B06A46">
        <w:t xml:space="preserve"> and have dominion over the earth and its creatures.</w:t>
      </w:r>
      <w:r w:rsidR="00814416">
        <w:rPr>
          <w:rStyle w:val="FootnoteReference"/>
        </w:rPr>
        <w:footnoteReference w:id="23"/>
      </w:r>
      <w:r w:rsidR="00B06A46">
        <w:t xml:space="preserve"> </w:t>
      </w:r>
    </w:p>
    <w:p w14:paraId="7F7E1DF5" w14:textId="7336897A" w:rsidR="00CB7DF7" w:rsidRDefault="00692D9D">
      <w:r>
        <w:lastRenderedPageBreak/>
        <w:t>To answer the question of w</w:t>
      </w:r>
      <w:r w:rsidR="00C5364B">
        <w:t>h</w:t>
      </w:r>
      <w:r>
        <w:t xml:space="preserve">ether the narrative of Adam and Eve is the perfect example of misogyny. </w:t>
      </w:r>
      <w:r w:rsidR="00172690">
        <w:t xml:space="preserve">From an objective historical </w:t>
      </w:r>
      <w:r w:rsidR="00C5364B">
        <w:t>perspective,</w:t>
      </w:r>
      <w:r w:rsidR="00172690">
        <w:t xml:space="preserve"> one might form that opinion</w:t>
      </w:r>
      <w:r w:rsidR="00427262">
        <w:t xml:space="preserve">. This opinion may however be influenced by our current </w:t>
      </w:r>
      <w:r w:rsidR="00C5364B">
        <w:t xml:space="preserve">culture and patriarchal structures which may have had influence from elsewhere. </w:t>
      </w:r>
      <w:r w:rsidR="002063D5">
        <w:t>However,</w:t>
      </w:r>
      <w:r w:rsidR="00C5364B">
        <w:t xml:space="preserve"> f</w:t>
      </w:r>
      <w:r w:rsidR="001A7482">
        <w:t>or</w:t>
      </w:r>
      <w:r w:rsidR="00C5364B">
        <w:t xml:space="preserve"> a professing Jew or Christian, one may form the opinion that </w:t>
      </w:r>
      <w:r w:rsidR="00500B94">
        <w:t xml:space="preserve">contending that one is greater than the other is to miss understand the narrative. That being humans </w:t>
      </w:r>
      <w:r w:rsidR="00486D13">
        <w:t xml:space="preserve">are created </w:t>
      </w:r>
      <w:r w:rsidR="00500B94">
        <w:t xml:space="preserve">in Gods image, and humans having a relationship with their creator. </w:t>
      </w:r>
      <w:r w:rsidR="009B0A58">
        <w:t xml:space="preserve">To have Gods creation arguing </w:t>
      </w:r>
      <w:r w:rsidR="00F5516A">
        <w:t xml:space="preserve">amongst themselves </w:t>
      </w:r>
      <w:r w:rsidR="009B0A58">
        <w:t>or asserting dominance over the other</w:t>
      </w:r>
      <w:r w:rsidR="001A7482">
        <w:t>,</w:t>
      </w:r>
      <w:r w:rsidR="009B0A58">
        <w:t xml:space="preserve"> would be </w:t>
      </w:r>
      <w:r w:rsidR="00E157B6">
        <w:t xml:space="preserve">what an enemy of God would want to happen to his creation which </w:t>
      </w:r>
      <w:r w:rsidR="001A7482">
        <w:t>God</w:t>
      </w:r>
      <w:r w:rsidR="00E157B6">
        <w:t xml:space="preserve"> </w:t>
      </w:r>
      <w:r w:rsidR="001A7482">
        <w:t>looked upon</w:t>
      </w:r>
      <w:r w:rsidR="00E157B6">
        <w:t xml:space="preserve"> </w:t>
      </w:r>
      <w:r w:rsidR="00B3655F">
        <w:t>and determined was very good.</w:t>
      </w:r>
      <w:r w:rsidR="00B3655F">
        <w:rPr>
          <w:rStyle w:val="FootnoteReference"/>
        </w:rPr>
        <w:footnoteReference w:id="24"/>
      </w:r>
    </w:p>
    <w:p w14:paraId="10CC319D" w14:textId="54C121E0" w:rsidR="009670E5" w:rsidRDefault="009670E5">
      <w:r>
        <w:t xml:space="preserve">During the writing of this essay and the accompanying poster I have not used AI. All references are recorded within the footnotes and sources within the bibliography. </w:t>
      </w:r>
    </w:p>
    <w:p w14:paraId="1555AF7B" w14:textId="4A287AFC" w:rsidR="001C6234" w:rsidRPr="001C6234" w:rsidRDefault="001C6234">
      <w:pPr>
        <w:rPr>
          <w:i/>
          <w:iCs/>
        </w:rPr>
      </w:pPr>
      <w:r>
        <w:tab/>
      </w:r>
      <w:r>
        <w:tab/>
      </w:r>
      <w:r>
        <w:tab/>
      </w:r>
      <w:r>
        <w:tab/>
      </w:r>
      <w:r>
        <w:tab/>
      </w:r>
      <w:r>
        <w:tab/>
      </w:r>
      <w:r>
        <w:tab/>
      </w:r>
      <w:r>
        <w:tab/>
      </w:r>
      <w:r>
        <w:tab/>
      </w:r>
      <w:r>
        <w:tab/>
      </w:r>
      <w:r>
        <w:rPr>
          <w:i/>
          <w:iCs/>
        </w:rPr>
        <w:t>Word count: 13</w:t>
      </w:r>
      <w:r w:rsidR="005C355B">
        <w:rPr>
          <w:i/>
          <w:iCs/>
        </w:rPr>
        <w:t>82</w:t>
      </w:r>
      <w:r>
        <w:rPr>
          <w:i/>
          <w:iCs/>
        </w:rPr>
        <w:t>.</w:t>
      </w:r>
    </w:p>
    <w:p w14:paraId="1F0E0A2E" w14:textId="77777777" w:rsidR="005C0B37" w:rsidRDefault="005C0B37"/>
    <w:p w14:paraId="1237F1F0" w14:textId="77777777" w:rsidR="005C0B37" w:rsidRDefault="005C0B37"/>
    <w:p w14:paraId="1D9BD56F" w14:textId="77777777" w:rsidR="005C0B37" w:rsidRDefault="005C0B37"/>
    <w:p w14:paraId="08A1CA67" w14:textId="77777777" w:rsidR="005C0B37" w:rsidRDefault="005C0B37"/>
    <w:p w14:paraId="123B043E" w14:textId="77777777" w:rsidR="005C0B37" w:rsidRDefault="005C0B37"/>
    <w:p w14:paraId="1704D946" w14:textId="77777777" w:rsidR="005C0B37" w:rsidRDefault="005C0B37"/>
    <w:p w14:paraId="7420CB88" w14:textId="77777777" w:rsidR="005C0B37" w:rsidRDefault="005C0B37"/>
    <w:p w14:paraId="44850431" w14:textId="77777777" w:rsidR="005C0B37" w:rsidRDefault="005C0B37"/>
    <w:p w14:paraId="6F2D9ED7" w14:textId="77777777" w:rsidR="005C0B37" w:rsidRDefault="005C0B37"/>
    <w:p w14:paraId="08AF4CA8" w14:textId="77777777" w:rsidR="005C0B37" w:rsidRDefault="005C0B37"/>
    <w:p w14:paraId="0A11DFAF" w14:textId="77777777" w:rsidR="005C0B37" w:rsidRDefault="005C0B37"/>
    <w:p w14:paraId="3A4851AE" w14:textId="77777777" w:rsidR="005C0B37" w:rsidRDefault="005C0B37"/>
    <w:p w14:paraId="536BA81C" w14:textId="77777777" w:rsidR="005C0B37" w:rsidRDefault="005C0B37"/>
    <w:p w14:paraId="4EA33A13" w14:textId="77777777" w:rsidR="005C0B37" w:rsidRDefault="005C0B37"/>
    <w:p w14:paraId="4B7710DB" w14:textId="77777777" w:rsidR="005C0B37" w:rsidRDefault="005C0B37"/>
    <w:p w14:paraId="5AB64B8B" w14:textId="77777777" w:rsidR="00FF4FF8" w:rsidRDefault="00FF4FF8"/>
    <w:p w14:paraId="3A64A582" w14:textId="77777777" w:rsidR="00FF4FF8" w:rsidRDefault="00FF4FF8"/>
    <w:p w14:paraId="044B6B77" w14:textId="77777777" w:rsidR="00FF4FF8" w:rsidRDefault="00FF4FF8"/>
    <w:p w14:paraId="3C5F0867" w14:textId="77777777" w:rsidR="00FF4FF8" w:rsidRDefault="00FF4FF8"/>
    <w:p w14:paraId="064686C5" w14:textId="77777777" w:rsidR="001850AF" w:rsidRDefault="001850AF"/>
    <w:p w14:paraId="62BEFC98" w14:textId="4C42DE82" w:rsidR="005C0B37" w:rsidRDefault="005C0B37">
      <w:r>
        <w:lastRenderedPageBreak/>
        <w:t>Bibliography:</w:t>
      </w:r>
    </w:p>
    <w:p w14:paraId="08EAF3E7" w14:textId="77777777" w:rsidR="005C0B37" w:rsidRDefault="005C0B37"/>
    <w:p w14:paraId="508F0B00" w14:textId="1695437D" w:rsidR="001F6417" w:rsidRDefault="001F6417">
      <w:r w:rsidRPr="00FA720B">
        <w:t xml:space="preserve">Burkhart, J.E. “Mary Daly: Theological </w:t>
      </w:r>
      <w:proofErr w:type="gramStart"/>
      <w:r w:rsidRPr="00FA720B">
        <w:t>Orphan?,</w:t>
      </w:r>
      <w:proofErr w:type="gramEnd"/>
      <w:r w:rsidRPr="00FA720B">
        <w:t xml:space="preserve">” </w:t>
      </w:r>
      <w:r w:rsidRPr="00FA720B">
        <w:rPr>
          <w:i/>
          <w:iCs/>
        </w:rPr>
        <w:t>Horizons (Villanova)</w:t>
      </w:r>
      <w:r w:rsidRPr="00FA720B">
        <w:t xml:space="preserve">, 2(1), pp. 119–120. </w:t>
      </w:r>
      <w:r w:rsidR="003749FA" w:rsidRPr="00FA720B">
        <w:t>(1975)</w:t>
      </w:r>
      <w:r w:rsidR="003749FA">
        <w:t xml:space="preserve">, </w:t>
      </w:r>
      <w:r w:rsidRPr="00FA720B">
        <w:t xml:space="preserve">Available at: </w:t>
      </w:r>
      <w:hyperlink r:id="rId6" w:history="1">
        <w:r w:rsidRPr="00FA720B">
          <w:rPr>
            <w:rStyle w:val="Hyperlink"/>
          </w:rPr>
          <w:t>https://doi.org/10.1017/S0360966900011920</w:t>
        </w:r>
      </w:hyperlink>
      <w:r w:rsidRPr="00FA720B">
        <w:t>.</w:t>
      </w:r>
      <w:r>
        <w:t xml:space="preserve"> </w:t>
      </w:r>
    </w:p>
    <w:p w14:paraId="3DD8C916" w14:textId="77777777" w:rsidR="00061562" w:rsidRDefault="00061562"/>
    <w:p w14:paraId="3692573B" w14:textId="387C6E69" w:rsidR="001F6417" w:rsidRDefault="00CD52D8">
      <w:r>
        <w:t>Calvin, John., ‘Institutes of the Christian Religion’, (Wm. B Eerdmans Publishing Co. 255 Jefferson Ave. SE, Grand Rapids, MI 49503 1989)</w:t>
      </w:r>
    </w:p>
    <w:p w14:paraId="05ED1617" w14:textId="77777777" w:rsidR="007C72A6" w:rsidRDefault="007C72A6"/>
    <w:p w14:paraId="7278F6B1" w14:textId="7ED9CC8C" w:rsidR="007C72A6" w:rsidRPr="007C72A6" w:rsidRDefault="007C72A6">
      <w:proofErr w:type="spellStart"/>
      <w:r w:rsidRPr="007C72A6">
        <w:rPr>
          <w:lang w:val="en-US"/>
        </w:rPr>
        <w:t>Cornara</w:t>
      </w:r>
      <w:proofErr w:type="spellEnd"/>
      <w:r w:rsidRPr="007C72A6">
        <w:rPr>
          <w:lang w:val="en-US"/>
        </w:rPr>
        <w:t>,</w:t>
      </w:r>
      <w:r>
        <w:rPr>
          <w:lang w:val="en-US"/>
        </w:rPr>
        <w:t xml:space="preserve"> Carlo</w:t>
      </w:r>
      <w:r w:rsidRPr="007C72A6">
        <w:rPr>
          <w:lang w:val="en-US"/>
        </w:rPr>
        <w:t xml:space="preserve"> Italian (active Milan and environs), 1605 - 1673. The Creation of Adam. Oil on canvas, Mid-17th century. Philadelphia Museum of Art; Philadelphia, Pennsylvania, USA; John G. Johnson Collection, 1917; Cat. 189; http://www.philamuseum.org/main.asp, JSTOR, https://jstor.org/stable/community.15665681. [Accessed 2 Mar. 2026].</w:t>
      </w:r>
    </w:p>
    <w:p w14:paraId="758EC81B" w14:textId="77777777" w:rsidR="009E1592" w:rsidRDefault="009E1592"/>
    <w:p w14:paraId="6611B11D" w14:textId="1E5CB903" w:rsidR="009E1592" w:rsidRDefault="009E1592">
      <w:r w:rsidRPr="004568D9">
        <w:t>Ginzberg,</w:t>
      </w:r>
      <w:r>
        <w:t xml:space="preserve"> Louis, </w:t>
      </w:r>
      <w:r w:rsidRPr="004568D9">
        <w:t xml:space="preserve"> </w:t>
      </w:r>
      <w:hyperlink r:id="rId7" w:history="1">
        <w:r w:rsidRPr="004568D9">
          <w:rPr>
            <w:rStyle w:val="Hyperlink"/>
          </w:rPr>
          <w:t>https://www.jewishencyclopedia.com/articles/759-adam-book-of</w:t>
        </w:r>
      </w:hyperlink>
      <w:r w:rsidRPr="004568D9">
        <w:t xml:space="preserve"> [Accessed 3rd March 2026].</w:t>
      </w:r>
    </w:p>
    <w:p w14:paraId="7A1705AD" w14:textId="77777777" w:rsidR="00CD52D8" w:rsidRDefault="00CD52D8"/>
    <w:p w14:paraId="7609AEFA" w14:textId="53F5A5BE" w:rsidR="001F6417" w:rsidRDefault="001F6417">
      <w:pPr>
        <w:rPr>
          <w:sz w:val="20"/>
          <w:szCs w:val="20"/>
          <w:lang w:val="en-US"/>
        </w:rPr>
      </w:pPr>
      <w:r w:rsidRPr="00332B1B">
        <w:rPr>
          <w:sz w:val="20"/>
          <w:szCs w:val="20"/>
          <w:lang w:val="en-US"/>
        </w:rPr>
        <w:t xml:space="preserve">Jimerson, L. ‘Defying Gender: Suzanne Valadon and the Male Nude’, </w:t>
      </w:r>
      <w:r w:rsidRPr="00332B1B">
        <w:rPr>
          <w:i/>
          <w:iCs/>
          <w:sz w:val="20"/>
          <w:szCs w:val="20"/>
          <w:lang w:val="en-US"/>
        </w:rPr>
        <w:t>Woman’s Art Journal</w:t>
      </w:r>
      <w:r w:rsidRPr="00332B1B">
        <w:rPr>
          <w:sz w:val="20"/>
          <w:szCs w:val="20"/>
          <w:lang w:val="en-US"/>
        </w:rPr>
        <w:t xml:space="preserve">, 40(1), </w:t>
      </w:r>
      <w:r w:rsidR="003749FA" w:rsidRPr="00332B1B">
        <w:rPr>
          <w:sz w:val="20"/>
          <w:szCs w:val="20"/>
          <w:lang w:val="en-US"/>
        </w:rPr>
        <w:t>(2019)</w:t>
      </w:r>
      <w:r w:rsidR="003749FA">
        <w:rPr>
          <w:sz w:val="20"/>
          <w:szCs w:val="20"/>
          <w:lang w:val="en-US"/>
        </w:rPr>
        <w:t xml:space="preserve">, </w:t>
      </w:r>
      <w:r w:rsidRPr="00332B1B">
        <w:rPr>
          <w:sz w:val="20"/>
          <w:szCs w:val="20"/>
          <w:lang w:val="en-US"/>
        </w:rPr>
        <w:t>pp. 3–12. Available at: https://research-ebsco-com.uwtsd.idm.oclc.org/linkprocessor/plink?id=187a6f63-7d05-3b04-819f-ec885c611d05 (Accessed: 2 March 2026).</w:t>
      </w:r>
    </w:p>
    <w:p w14:paraId="65967C68" w14:textId="77777777" w:rsidR="00061562" w:rsidRDefault="00061562">
      <w:pPr>
        <w:rPr>
          <w:sz w:val="20"/>
          <w:szCs w:val="20"/>
          <w:lang w:val="en-US"/>
        </w:rPr>
      </w:pPr>
    </w:p>
    <w:p w14:paraId="65F3ED07" w14:textId="460A495E" w:rsidR="001F6417" w:rsidRDefault="001F6417">
      <w:r w:rsidRPr="00750873">
        <w:t>Loewen Walker, R.</w:t>
      </w:r>
      <w:r w:rsidR="003749FA">
        <w:t xml:space="preserve"> </w:t>
      </w:r>
      <w:r w:rsidRPr="00750873">
        <w:t xml:space="preserve">“Call it misogyny,” </w:t>
      </w:r>
      <w:r w:rsidRPr="00750873">
        <w:rPr>
          <w:i/>
          <w:iCs/>
        </w:rPr>
        <w:t>Feminist theory</w:t>
      </w:r>
      <w:r w:rsidRPr="00750873">
        <w:t xml:space="preserve">, 25(1), </w:t>
      </w:r>
      <w:r w:rsidR="003749FA" w:rsidRPr="00750873">
        <w:t>(2024)</w:t>
      </w:r>
      <w:r w:rsidR="003749FA">
        <w:t xml:space="preserve">, </w:t>
      </w:r>
      <w:r w:rsidRPr="00750873">
        <w:t xml:space="preserve">pp. 64–82. Available at: </w:t>
      </w:r>
      <w:hyperlink r:id="rId8" w:history="1">
        <w:r w:rsidRPr="00750873">
          <w:rPr>
            <w:rStyle w:val="Hyperlink"/>
          </w:rPr>
          <w:t>https://doi.org/10.1177/14647001221119995</w:t>
        </w:r>
      </w:hyperlink>
      <w:r w:rsidRPr="00750873">
        <w:t>.</w:t>
      </w:r>
      <w:r>
        <w:t xml:space="preserve"> </w:t>
      </w:r>
    </w:p>
    <w:p w14:paraId="0D8AE2CE" w14:textId="77777777" w:rsidR="004568D9" w:rsidRDefault="004568D9"/>
    <w:p w14:paraId="0B4F54DF" w14:textId="4EC5D87E" w:rsidR="001F6417" w:rsidRDefault="001F6417">
      <w:r w:rsidRPr="002E2E7A">
        <w:t xml:space="preserve">Manne, K. </w:t>
      </w:r>
      <w:r w:rsidRPr="002E2E7A">
        <w:rPr>
          <w:i/>
          <w:iCs/>
        </w:rPr>
        <w:t>Down Girl: The Logic of Misogyny</w:t>
      </w:r>
      <w:r w:rsidRPr="002E2E7A">
        <w:t xml:space="preserve">. 1st ed. </w:t>
      </w:r>
      <w:r w:rsidR="00912433">
        <w:t>(</w:t>
      </w:r>
      <w:r w:rsidRPr="002E2E7A">
        <w:t>New York: Oxford University Press</w:t>
      </w:r>
      <w:r w:rsidR="00912433">
        <w:t xml:space="preserve">, </w:t>
      </w:r>
      <w:r w:rsidR="003749FA" w:rsidRPr="002E2E7A">
        <w:t>2017)</w:t>
      </w:r>
      <w:r w:rsidR="00912433">
        <w:t>,</w:t>
      </w:r>
      <w:r w:rsidRPr="002E2E7A">
        <w:t xml:space="preserve"> Available at: </w:t>
      </w:r>
      <w:hyperlink r:id="rId9" w:history="1">
        <w:r w:rsidRPr="00F161F3">
          <w:rPr>
            <w:rStyle w:val="Hyperlink"/>
          </w:rPr>
          <w:t>https://doi.org/10.1093/oso/9780190604981.001.0001</w:t>
        </w:r>
      </w:hyperlink>
      <w:r w:rsidRPr="002E2E7A">
        <w:t>.</w:t>
      </w:r>
      <w:r>
        <w:t xml:space="preserve"> </w:t>
      </w:r>
    </w:p>
    <w:p w14:paraId="7FD17A3C" w14:textId="77777777" w:rsidR="00061562" w:rsidRDefault="00061562"/>
    <w:p w14:paraId="6108A537" w14:textId="13658E43" w:rsidR="001F6417" w:rsidRDefault="001F6417" w:rsidP="001F6417">
      <w:r w:rsidRPr="0091722A">
        <w:t>Somerville, R.M.</w:t>
      </w:r>
      <w:r w:rsidR="00912433">
        <w:t>,</w:t>
      </w:r>
      <w:r w:rsidRPr="0091722A">
        <w:t xml:space="preserve"> “The Troublesome Helpmate: A History of Misogyny in Literature,” </w:t>
      </w:r>
      <w:r w:rsidRPr="0091722A">
        <w:rPr>
          <w:i/>
          <w:iCs/>
        </w:rPr>
        <w:t>Journal of marriage and family</w:t>
      </w:r>
      <w:r w:rsidRPr="0091722A">
        <w:t>. Minneapolis, Minn: National Council on Family Relations,</w:t>
      </w:r>
      <w:r w:rsidR="00912433">
        <w:t xml:space="preserve"> (</w:t>
      </w:r>
      <w:r w:rsidR="00912433" w:rsidRPr="0091722A">
        <w:t>1972)</w:t>
      </w:r>
      <w:r w:rsidR="00912433">
        <w:t>,</w:t>
      </w:r>
      <w:r w:rsidRPr="0091722A">
        <w:t xml:space="preserve"> pp. 380–382. Available at: </w:t>
      </w:r>
      <w:hyperlink r:id="rId10" w:history="1">
        <w:r w:rsidRPr="0091722A">
          <w:rPr>
            <w:rStyle w:val="Hyperlink"/>
          </w:rPr>
          <w:t>https://doi.org/10.2307/350810</w:t>
        </w:r>
      </w:hyperlink>
      <w:r w:rsidRPr="0091722A">
        <w:t>.</w:t>
      </w:r>
      <w:r>
        <w:t xml:space="preserve"> </w:t>
      </w:r>
    </w:p>
    <w:p w14:paraId="2D959905" w14:textId="77777777" w:rsidR="00061562" w:rsidRPr="0091722A" w:rsidRDefault="00061562" w:rsidP="001F6417"/>
    <w:p w14:paraId="5793CF9E" w14:textId="29ED4EF2" w:rsidR="001F6417" w:rsidRDefault="001F6417">
      <w:r w:rsidRPr="006B7BDE">
        <w:t xml:space="preserve">Stökl, J. and Carvalho, C.L. (eds.) (2013) </w:t>
      </w:r>
      <w:proofErr w:type="gramStart"/>
      <w:r w:rsidRPr="006B7BDE">
        <w:rPr>
          <w:i/>
          <w:iCs/>
        </w:rPr>
        <w:t>Prophets</w:t>
      </w:r>
      <w:proofErr w:type="gramEnd"/>
      <w:r w:rsidRPr="006B7BDE">
        <w:rPr>
          <w:i/>
          <w:iCs/>
        </w:rPr>
        <w:t xml:space="preserve"> male and </w:t>
      </w:r>
      <w:proofErr w:type="gramStart"/>
      <w:r w:rsidRPr="006B7BDE">
        <w:rPr>
          <w:i/>
          <w:iCs/>
        </w:rPr>
        <w:t>female :</w:t>
      </w:r>
      <w:proofErr w:type="gramEnd"/>
      <w:r w:rsidRPr="006B7BDE">
        <w:rPr>
          <w:i/>
          <w:iCs/>
        </w:rPr>
        <w:t xml:space="preserve"> gender and prophecy in the Hebrew Bible, the Eastern Mediterranean, and the ancient Near East</w:t>
      </w:r>
      <w:r w:rsidRPr="006B7BDE">
        <w:t xml:space="preserve">. </w:t>
      </w:r>
      <w:r w:rsidR="00912433">
        <w:t>(</w:t>
      </w:r>
      <w:r w:rsidRPr="006B7BDE">
        <w:t>Atlanta, Georgia: Society of Biblical Literature</w:t>
      </w:r>
      <w:r w:rsidR="00912433">
        <w:t xml:space="preserve"> </w:t>
      </w:r>
      <w:r w:rsidR="00912433" w:rsidRPr="006B7BDE">
        <w:t>2013</w:t>
      </w:r>
      <w:r w:rsidR="00061562">
        <w:t>).</w:t>
      </w:r>
    </w:p>
    <w:p w14:paraId="58294809" w14:textId="77777777" w:rsidR="004B733F" w:rsidRDefault="004B733F" w:rsidP="004B733F">
      <w:pPr>
        <w:rPr>
          <w:lang w:val="en-US"/>
        </w:rPr>
      </w:pPr>
    </w:p>
    <w:p w14:paraId="043A4BC7" w14:textId="7C86BDB8" w:rsidR="004B733F" w:rsidRPr="004B733F" w:rsidRDefault="004B733F" w:rsidP="004B733F">
      <w:r w:rsidRPr="004B733F">
        <w:rPr>
          <w:lang w:val="en-US"/>
        </w:rPr>
        <w:t>Tempesta, Antonio</w:t>
      </w:r>
      <w:r>
        <w:rPr>
          <w:lang w:val="en-US"/>
        </w:rPr>
        <w:t>,</w:t>
      </w:r>
      <w:r w:rsidRPr="004B733F">
        <w:rPr>
          <w:lang w:val="en-US"/>
        </w:rPr>
        <w:t xml:space="preserve"> </w:t>
      </w:r>
      <w:r w:rsidRPr="004B733F">
        <w:rPr>
          <w:lang w:val="en-US"/>
        </w:rPr>
        <w:t xml:space="preserve">1555-1630. God Creating Heaven and Earth. Amsterdam. The Illustrated Bartsch. </w:t>
      </w:r>
      <w:proofErr w:type="spellStart"/>
      <w:r w:rsidRPr="004B733F">
        <w:rPr>
          <w:lang w:val="en-US"/>
        </w:rPr>
        <w:t>Artstor</w:t>
      </w:r>
      <w:proofErr w:type="spellEnd"/>
      <w:r w:rsidRPr="004B733F">
        <w:rPr>
          <w:lang w:val="en-US"/>
        </w:rPr>
        <w:t xml:space="preserve">, JSTOR, </w:t>
      </w:r>
      <w:hyperlink r:id="rId11" w:history="1">
        <w:r w:rsidRPr="004B733F">
          <w:rPr>
            <w:rStyle w:val="Hyperlink"/>
            <w:lang w:val="en-US"/>
          </w:rPr>
          <w:t>https://jstor.org/stable/community.12356401. [Accessed 2 Mar. 2026</w:t>
        </w:r>
      </w:hyperlink>
      <w:r w:rsidRPr="004B733F">
        <w:rPr>
          <w:lang w:val="en-US"/>
        </w:rPr>
        <w:t>].</w:t>
      </w:r>
    </w:p>
    <w:p w14:paraId="54B8916A" w14:textId="77777777" w:rsidR="00061562" w:rsidRDefault="00061562"/>
    <w:p w14:paraId="75D4274D" w14:textId="44DB3F45" w:rsidR="005C0B37" w:rsidRDefault="004B2136">
      <w:r>
        <w:lastRenderedPageBreak/>
        <w:t>The Holy Bible, &lt;</w:t>
      </w:r>
      <w:r w:rsidRPr="004B2136">
        <w:t>https://www.biblegateway.com/versions/New-Revised-Standard-Version-Updated-Edition-NRSVue-Bible/</w:t>
      </w:r>
      <w:r>
        <w:t>&gt;,</w:t>
      </w:r>
      <w:r w:rsidR="00467E48">
        <w:t xml:space="preserve"> [Accessed 5</w:t>
      </w:r>
      <w:r w:rsidR="00467E48" w:rsidRPr="00467E48">
        <w:rPr>
          <w:vertAlign w:val="superscript"/>
        </w:rPr>
        <w:t>th</w:t>
      </w:r>
      <w:r w:rsidR="00467E48">
        <w:t xml:space="preserve"> March 2026]. </w:t>
      </w:r>
    </w:p>
    <w:p w14:paraId="2E77D7DE" w14:textId="77777777" w:rsidR="00061562" w:rsidRDefault="00061562"/>
    <w:p w14:paraId="0551692D" w14:textId="744BF098" w:rsidR="001627D5" w:rsidRDefault="001627D5">
      <w:pPr>
        <w:rPr>
          <w:lang w:val="en-US"/>
        </w:rPr>
      </w:pPr>
      <w:r w:rsidRPr="001627D5">
        <w:rPr>
          <w:lang w:val="en-US"/>
        </w:rPr>
        <w:t>Valadon</w:t>
      </w:r>
      <w:r>
        <w:rPr>
          <w:lang w:val="en-US"/>
        </w:rPr>
        <w:t>, Suzanne,</w:t>
      </w:r>
      <w:r w:rsidRPr="001627D5">
        <w:rPr>
          <w:lang w:val="en-US"/>
        </w:rPr>
        <w:t xml:space="preserve"> Adam and Eve. oil on canvas, 1909. </w:t>
      </w:r>
      <w:proofErr w:type="spellStart"/>
      <w:r w:rsidRPr="001627D5">
        <w:rPr>
          <w:lang w:val="en-US"/>
        </w:rPr>
        <w:t>Musée</w:t>
      </w:r>
      <w:proofErr w:type="spellEnd"/>
      <w:r w:rsidRPr="001627D5">
        <w:rPr>
          <w:lang w:val="en-US"/>
        </w:rPr>
        <w:t xml:space="preserve"> National </w:t>
      </w:r>
      <w:proofErr w:type="spellStart"/>
      <w:r w:rsidRPr="001627D5">
        <w:rPr>
          <w:lang w:val="en-US"/>
        </w:rPr>
        <w:t>d’Art</w:t>
      </w:r>
      <w:proofErr w:type="spellEnd"/>
      <w:r w:rsidRPr="001627D5">
        <w:rPr>
          <w:lang w:val="en-US"/>
        </w:rPr>
        <w:t xml:space="preserve"> Moderne, Centre Georges Pompidou, Paris, France. Réunion des </w:t>
      </w:r>
      <w:proofErr w:type="spellStart"/>
      <w:r w:rsidRPr="001627D5">
        <w:rPr>
          <w:lang w:val="en-US"/>
        </w:rPr>
        <w:t>Musées</w:t>
      </w:r>
      <w:proofErr w:type="spellEnd"/>
      <w:r w:rsidRPr="001627D5">
        <w:rPr>
          <w:lang w:val="en-US"/>
        </w:rPr>
        <w:t xml:space="preserve"> </w:t>
      </w:r>
      <w:proofErr w:type="spellStart"/>
      <w:r w:rsidRPr="001627D5">
        <w:rPr>
          <w:lang w:val="en-US"/>
        </w:rPr>
        <w:t>Nationaux</w:t>
      </w:r>
      <w:proofErr w:type="spellEnd"/>
      <w:r w:rsidRPr="001627D5">
        <w:rPr>
          <w:lang w:val="en-US"/>
        </w:rPr>
        <w:t xml:space="preserve"> (RMN). </w:t>
      </w:r>
      <w:proofErr w:type="spellStart"/>
      <w:r w:rsidRPr="001627D5">
        <w:rPr>
          <w:lang w:val="en-US"/>
        </w:rPr>
        <w:t>Artstor</w:t>
      </w:r>
      <w:proofErr w:type="spellEnd"/>
      <w:r w:rsidRPr="001627D5">
        <w:rPr>
          <w:lang w:val="en-US"/>
        </w:rPr>
        <w:t>, JSTOR</w:t>
      </w:r>
      <w:r w:rsidR="007C72A6">
        <w:rPr>
          <w:lang w:val="en-US"/>
        </w:rPr>
        <w:t xml:space="preserve">, </w:t>
      </w:r>
      <w:r w:rsidR="007C72A6">
        <w:rPr>
          <w:lang w:val="en-US"/>
        </w:rPr>
        <w:t>[</w:t>
      </w:r>
      <w:r w:rsidR="007C72A6" w:rsidRPr="007C72A6">
        <w:rPr>
          <w:lang w:val="en-US"/>
        </w:rPr>
        <w:t>Accessed 2 Mar. 2026.</w:t>
      </w:r>
      <w:r w:rsidR="007C72A6">
        <w:rPr>
          <w:lang w:val="en-US"/>
        </w:rPr>
        <w:t>]</w:t>
      </w:r>
    </w:p>
    <w:p w14:paraId="5201F634" w14:textId="77777777" w:rsidR="007C72A6" w:rsidRDefault="007C72A6">
      <w:pPr>
        <w:rPr>
          <w:lang w:val="en-US"/>
        </w:rPr>
      </w:pPr>
    </w:p>
    <w:p w14:paraId="38205AAB" w14:textId="3E1971DF" w:rsidR="007C72A6" w:rsidRPr="007C72A6" w:rsidRDefault="007C72A6" w:rsidP="007C72A6">
      <w:r w:rsidRPr="007C72A6">
        <w:rPr>
          <w:lang w:val="en-US"/>
        </w:rPr>
        <w:t xml:space="preserve">Valadon, Suzanne (French, 1865-1938). Self-Portrait. Oil on canvas, 1898. The Museum of Fine Arts, Houston; Gift of Audrey Jones Beck, JSTOR, https://jstor.org/stable/community.12056813. </w:t>
      </w:r>
      <w:r>
        <w:rPr>
          <w:lang w:val="en-US"/>
        </w:rPr>
        <w:t>[</w:t>
      </w:r>
      <w:r w:rsidRPr="007C72A6">
        <w:rPr>
          <w:lang w:val="en-US"/>
        </w:rPr>
        <w:t>Accessed 2 Mar. 2026.</w:t>
      </w:r>
      <w:r>
        <w:rPr>
          <w:lang w:val="en-US"/>
        </w:rPr>
        <w:t>]</w:t>
      </w:r>
    </w:p>
    <w:p w14:paraId="6225B1BC" w14:textId="77777777" w:rsidR="007C72A6" w:rsidRPr="002E7F27" w:rsidRDefault="007C72A6"/>
    <w:sectPr w:rsidR="007C72A6" w:rsidRPr="002E7F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785EA" w14:textId="77777777" w:rsidR="005D3C3E" w:rsidRDefault="005D3C3E" w:rsidP="002E35DD">
      <w:pPr>
        <w:spacing w:after="0" w:line="240" w:lineRule="auto"/>
      </w:pPr>
      <w:r>
        <w:separator/>
      </w:r>
    </w:p>
  </w:endnote>
  <w:endnote w:type="continuationSeparator" w:id="0">
    <w:p w14:paraId="6DE04817" w14:textId="77777777" w:rsidR="005D3C3E" w:rsidRDefault="005D3C3E" w:rsidP="002E3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E8A31" w14:textId="77777777" w:rsidR="005D3C3E" w:rsidRDefault="005D3C3E" w:rsidP="002E35DD">
      <w:pPr>
        <w:spacing w:after="0" w:line="240" w:lineRule="auto"/>
      </w:pPr>
      <w:r>
        <w:separator/>
      </w:r>
    </w:p>
  </w:footnote>
  <w:footnote w:type="continuationSeparator" w:id="0">
    <w:p w14:paraId="05E08715" w14:textId="77777777" w:rsidR="005D3C3E" w:rsidRDefault="005D3C3E" w:rsidP="002E35DD">
      <w:pPr>
        <w:spacing w:after="0" w:line="240" w:lineRule="auto"/>
      </w:pPr>
      <w:r>
        <w:continuationSeparator/>
      </w:r>
    </w:p>
  </w:footnote>
  <w:footnote w:id="1">
    <w:p w14:paraId="3FDE1B87" w14:textId="1E820497" w:rsidR="002E35DD" w:rsidRDefault="002E35DD" w:rsidP="00D64731">
      <w:r>
        <w:rPr>
          <w:rStyle w:val="FootnoteReference"/>
        </w:rPr>
        <w:footnoteRef/>
      </w:r>
      <w:r w:rsidR="008331BD">
        <w:t xml:space="preserve"> </w:t>
      </w:r>
      <w:r w:rsidRPr="00750873">
        <w:t>R</w:t>
      </w:r>
      <w:r w:rsidR="00741E00">
        <w:t>.</w:t>
      </w:r>
      <w:r w:rsidR="008331BD">
        <w:t xml:space="preserve"> Loewen Walker,</w:t>
      </w:r>
      <w:r w:rsidRPr="00750873">
        <w:t xml:space="preserve"> “Call it </w:t>
      </w:r>
      <w:r w:rsidR="00B20404">
        <w:t>M</w:t>
      </w:r>
      <w:r w:rsidRPr="00750873">
        <w:t xml:space="preserve">isogyny,” </w:t>
      </w:r>
      <w:r w:rsidRPr="00750873">
        <w:rPr>
          <w:i/>
          <w:iCs/>
        </w:rPr>
        <w:t xml:space="preserve">Feminist </w:t>
      </w:r>
      <w:r w:rsidR="00B20404">
        <w:rPr>
          <w:i/>
          <w:iCs/>
        </w:rPr>
        <w:t>T</w:t>
      </w:r>
      <w:r w:rsidRPr="00750873">
        <w:rPr>
          <w:i/>
          <w:iCs/>
        </w:rPr>
        <w:t>heory</w:t>
      </w:r>
      <w:r w:rsidRPr="00750873">
        <w:t>, 25(1)</w:t>
      </w:r>
      <w:r w:rsidR="00183D8B">
        <w:t xml:space="preserve">, </w:t>
      </w:r>
      <w:r w:rsidR="00183D8B" w:rsidRPr="00750873">
        <w:t>(2024)</w:t>
      </w:r>
      <w:r w:rsidR="00B20404">
        <w:t>,</w:t>
      </w:r>
      <w:r>
        <w:t xml:space="preserve"> </w:t>
      </w:r>
      <w:r w:rsidR="003B0471">
        <w:t>p.</w:t>
      </w:r>
      <w:r>
        <w:t>66</w:t>
      </w:r>
      <w:r w:rsidR="003B0471">
        <w:t>.</w:t>
      </w:r>
      <w:r>
        <w:t xml:space="preserve"> </w:t>
      </w:r>
    </w:p>
  </w:footnote>
  <w:footnote w:id="2">
    <w:p w14:paraId="1ED14778" w14:textId="4A40F131" w:rsidR="00D64731" w:rsidRDefault="00D64731" w:rsidP="00F94384">
      <w:r>
        <w:rPr>
          <w:rStyle w:val="FootnoteReference"/>
        </w:rPr>
        <w:footnoteRef/>
      </w:r>
      <w:r w:rsidR="00644EF3">
        <w:t xml:space="preserve"> </w:t>
      </w:r>
      <w:r w:rsidRPr="00750873">
        <w:t>R</w:t>
      </w:r>
      <w:r w:rsidR="00741E00">
        <w:t>.</w:t>
      </w:r>
      <w:r w:rsidR="00644EF3">
        <w:t xml:space="preserve"> Loewen Walker,</w:t>
      </w:r>
      <w:r w:rsidRPr="00750873">
        <w:t xml:space="preserve"> “Call it </w:t>
      </w:r>
      <w:r w:rsidR="00B20404">
        <w:t>M</w:t>
      </w:r>
      <w:r w:rsidRPr="00750873">
        <w:t xml:space="preserve">isogyny,” </w:t>
      </w:r>
      <w:r w:rsidRPr="00750873">
        <w:rPr>
          <w:i/>
          <w:iCs/>
        </w:rPr>
        <w:t>Feminist</w:t>
      </w:r>
      <w:r w:rsidR="00B20404">
        <w:rPr>
          <w:i/>
          <w:iCs/>
        </w:rPr>
        <w:t xml:space="preserve"> T</w:t>
      </w:r>
      <w:r w:rsidRPr="00750873">
        <w:rPr>
          <w:i/>
          <w:iCs/>
        </w:rPr>
        <w:t>heory</w:t>
      </w:r>
      <w:r w:rsidRPr="00750873">
        <w:t xml:space="preserve">, </w:t>
      </w:r>
      <w:r w:rsidR="003B0471">
        <w:t>p.</w:t>
      </w:r>
      <w:r>
        <w:t>65</w:t>
      </w:r>
      <w:r w:rsidR="003B0471">
        <w:t>.</w:t>
      </w:r>
      <w:r>
        <w:t xml:space="preserve"> </w:t>
      </w:r>
    </w:p>
  </w:footnote>
  <w:footnote w:id="3">
    <w:p w14:paraId="7693A28C" w14:textId="12849D65" w:rsidR="00BF7FD5" w:rsidRDefault="00BF7FD5" w:rsidP="00BF7FD5">
      <w:r>
        <w:rPr>
          <w:rStyle w:val="FootnoteReference"/>
        </w:rPr>
        <w:footnoteRef/>
      </w:r>
      <w:r>
        <w:t xml:space="preserve"> </w:t>
      </w:r>
      <w:r w:rsidRPr="002E2E7A">
        <w:t>K</w:t>
      </w:r>
      <w:r w:rsidR="00741E00">
        <w:t>.</w:t>
      </w:r>
      <w:r w:rsidRPr="002E2E7A">
        <w:t xml:space="preserve"> </w:t>
      </w:r>
      <w:r w:rsidR="00644EF3">
        <w:t xml:space="preserve">Manne, </w:t>
      </w:r>
      <w:r w:rsidRPr="002E2E7A">
        <w:rPr>
          <w:i/>
          <w:iCs/>
        </w:rPr>
        <w:t>Down Girl: The Logic of Misogyny</w:t>
      </w:r>
      <w:r w:rsidRPr="002E2E7A">
        <w:t>. 1st ed.</w:t>
      </w:r>
      <w:r w:rsidR="00045726">
        <w:t>,</w:t>
      </w:r>
      <w:r w:rsidRPr="002E2E7A">
        <w:t xml:space="preserve"> </w:t>
      </w:r>
      <w:r w:rsidR="00045726">
        <w:t>(</w:t>
      </w:r>
      <w:r w:rsidRPr="002E2E7A">
        <w:t>New York: Oxford University Press.</w:t>
      </w:r>
      <w:r w:rsidR="00045726">
        <w:t xml:space="preserve"> </w:t>
      </w:r>
      <w:r w:rsidR="00644EF3" w:rsidRPr="002E2E7A">
        <w:t>2017)</w:t>
      </w:r>
      <w:r w:rsidR="00AF5F0D">
        <w:t>,</w:t>
      </w:r>
      <w:r>
        <w:t xml:space="preserve"> </w:t>
      </w:r>
      <w:r w:rsidR="00644EF3">
        <w:t>p.</w:t>
      </w:r>
      <w:r>
        <w:t xml:space="preserve">13. </w:t>
      </w:r>
    </w:p>
  </w:footnote>
  <w:footnote w:id="4">
    <w:p w14:paraId="71160866" w14:textId="26EBE2E0" w:rsidR="00F44909" w:rsidRDefault="00F44909">
      <w:pPr>
        <w:pStyle w:val="FootnoteText"/>
      </w:pPr>
      <w:r>
        <w:rPr>
          <w:rStyle w:val="FootnoteReference"/>
        </w:rPr>
        <w:footnoteRef/>
      </w:r>
      <w:r>
        <w:t xml:space="preserve"> </w:t>
      </w:r>
      <w:r w:rsidRPr="00750873">
        <w:t>R</w:t>
      </w:r>
      <w:r w:rsidR="00741E00">
        <w:t>. Loewen Walker,</w:t>
      </w:r>
      <w:r w:rsidRPr="00750873">
        <w:t xml:space="preserve"> “Call it misogyny,” </w:t>
      </w:r>
      <w:r w:rsidRPr="00750873">
        <w:rPr>
          <w:i/>
          <w:iCs/>
        </w:rPr>
        <w:t xml:space="preserve">Feminist </w:t>
      </w:r>
      <w:r w:rsidR="005C355B">
        <w:rPr>
          <w:i/>
          <w:iCs/>
        </w:rPr>
        <w:t>T</w:t>
      </w:r>
      <w:r w:rsidRPr="00750873">
        <w:rPr>
          <w:i/>
          <w:iCs/>
        </w:rPr>
        <w:t>heory</w:t>
      </w:r>
      <w:r w:rsidRPr="00750873">
        <w:t>, p</w:t>
      </w:r>
      <w:r w:rsidR="00AB6E3C">
        <w:t xml:space="preserve">.66. </w:t>
      </w:r>
    </w:p>
    <w:p w14:paraId="3E23CB61" w14:textId="77777777" w:rsidR="00F44909" w:rsidRDefault="00F44909">
      <w:pPr>
        <w:pStyle w:val="FootnoteText"/>
      </w:pPr>
    </w:p>
  </w:footnote>
  <w:footnote w:id="5">
    <w:p w14:paraId="0C0838E4" w14:textId="79A8CC26" w:rsidR="00F94384" w:rsidRPr="0091722A" w:rsidRDefault="00F94384" w:rsidP="00F94384">
      <w:r>
        <w:rPr>
          <w:rStyle w:val="FootnoteReference"/>
        </w:rPr>
        <w:footnoteRef/>
      </w:r>
      <w:r>
        <w:t xml:space="preserve"> </w:t>
      </w:r>
      <w:r w:rsidRPr="0091722A">
        <w:t xml:space="preserve">R.M. </w:t>
      </w:r>
      <w:r w:rsidR="00741E00">
        <w:t xml:space="preserve">Somerville, </w:t>
      </w:r>
      <w:r w:rsidRPr="0091722A">
        <w:t xml:space="preserve">(1972) “The Troublesome Helpmate: A History of Misogyny in Literature,” </w:t>
      </w:r>
      <w:r w:rsidRPr="0091722A">
        <w:rPr>
          <w:i/>
          <w:iCs/>
        </w:rPr>
        <w:t>Journal of marriage and family</w:t>
      </w:r>
      <w:r w:rsidRPr="0091722A">
        <w:t xml:space="preserve">. Minneapolis, Minn: National Council on Family Relations, </w:t>
      </w:r>
      <w:r w:rsidR="00283ACB" w:rsidRPr="0091722A">
        <w:t>(1972)</w:t>
      </w:r>
      <w:r w:rsidR="00FF4FF8">
        <w:t xml:space="preserve">, </w:t>
      </w:r>
      <w:r w:rsidR="00283ACB">
        <w:t>p.</w:t>
      </w:r>
      <w:r>
        <w:t>380</w:t>
      </w:r>
      <w:r w:rsidR="00283ACB">
        <w:t>.</w:t>
      </w:r>
    </w:p>
    <w:p w14:paraId="54B80ED5" w14:textId="327B2885" w:rsidR="00F94384" w:rsidRDefault="00F94384">
      <w:pPr>
        <w:pStyle w:val="FootnoteText"/>
      </w:pPr>
    </w:p>
  </w:footnote>
  <w:footnote w:id="6">
    <w:p w14:paraId="639D0883" w14:textId="0C6214AD" w:rsidR="00BB02BA" w:rsidRDefault="00BB02BA" w:rsidP="00BB02BA">
      <w:r>
        <w:rPr>
          <w:rStyle w:val="FootnoteReference"/>
        </w:rPr>
        <w:footnoteRef/>
      </w:r>
      <w:r>
        <w:t xml:space="preserve"> </w:t>
      </w:r>
      <w:r w:rsidRPr="00FA720B">
        <w:t xml:space="preserve">Burkhart, J.E. </w:t>
      </w:r>
      <w:proofErr w:type="gramStart"/>
      <w:r w:rsidR="00283ACB">
        <w:t>Burkhart</w:t>
      </w:r>
      <w:r w:rsidRPr="00FA720B">
        <w:t>(</w:t>
      </w:r>
      <w:proofErr w:type="gramEnd"/>
      <w:r w:rsidRPr="00FA720B">
        <w:t xml:space="preserve">1975) “Mary Daly: Theological </w:t>
      </w:r>
      <w:proofErr w:type="gramStart"/>
      <w:r w:rsidRPr="00FA720B">
        <w:t>Orphan?,</w:t>
      </w:r>
      <w:proofErr w:type="gramEnd"/>
      <w:r w:rsidRPr="00FA720B">
        <w:t xml:space="preserve">” </w:t>
      </w:r>
      <w:r w:rsidRPr="00FA720B">
        <w:rPr>
          <w:i/>
          <w:iCs/>
        </w:rPr>
        <w:t>Horizons (Villanova)</w:t>
      </w:r>
      <w:r w:rsidRPr="00FA720B">
        <w:t xml:space="preserve">, 2(1), </w:t>
      </w:r>
      <w:r w:rsidR="00B20404" w:rsidRPr="00FA720B">
        <w:t>(1975)</w:t>
      </w:r>
      <w:r w:rsidR="00FF4FF8">
        <w:t xml:space="preserve">, </w:t>
      </w:r>
      <w:r w:rsidR="00B20404">
        <w:t>p.</w:t>
      </w:r>
      <w:r>
        <w:t>119</w:t>
      </w:r>
      <w:r w:rsidR="00B20404">
        <w:t>.</w:t>
      </w:r>
    </w:p>
  </w:footnote>
  <w:footnote w:id="7">
    <w:p w14:paraId="79795B62" w14:textId="432564A0" w:rsidR="000B5048" w:rsidRDefault="000B5048" w:rsidP="000B5048">
      <w:r>
        <w:rPr>
          <w:rStyle w:val="FootnoteReference"/>
        </w:rPr>
        <w:footnoteRef/>
      </w:r>
      <w:r>
        <w:t xml:space="preserve"> </w:t>
      </w:r>
      <w:r w:rsidR="00E36099" w:rsidRPr="0091722A">
        <w:t xml:space="preserve">R.M. </w:t>
      </w:r>
      <w:r w:rsidR="00E36099">
        <w:t xml:space="preserve">Somerville, </w:t>
      </w:r>
      <w:r w:rsidR="00E36099" w:rsidRPr="0091722A">
        <w:t xml:space="preserve">(1972) “The Troublesome Helpmate: A History of Misogyny in Literature,” </w:t>
      </w:r>
      <w:r w:rsidR="00E36099" w:rsidRPr="0091722A">
        <w:rPr>
          <w:i/>
          <w:iCs/>
        </w:rPr>
        <w:t>Journal of marriage and family</w:t>
      </w:r>
      <w:r w:rsidR="00E36099" w:rsidRPr="0091722A">
        <w:t>. Minneapolis, Minn: National Council on Family Relations, (1972)</w:t>
      </w:r>
      <w:r w:rsidR="00FF4FF8">
        <w:t>,</w:t>
      </w:r>
      <w:r w:rsidR="00E36099">
        <w:t xml:space="preserve"> p.380.</w:t>
      </w:r>
    </w:p>
  </w:footnote>
  <w:footnote w:id="8">
    <w:p w14:paraId="28C69BE7" w14:textId="503A0C67" w:rsidR="00BB02BA" w:rsidRDefault="00BB02BA" w:rsidP="00FA4003">
      <w:r>
        <w:rPr>
          <w:rStyle w:val="FootnoteReference"/>
        </w:rPr>
        <w:footnoteRef/>
      </w:r>
      <w:r>
        <w:t xml:space="preserve"> </w:t>
      </w:r>
      <w:r w:rsidRPr="00FA720B">
        <w:t xml:space="preserve">Burkhart, J.E. (1975) “Mary Daly: Theological </w:t>
      </w:r>
      <w:proofErr w:type="gramStart"/>
      <w:r w:rsidRPr="00FA720B">
        <w:t>Orphan?,</w:t>
      </w:r>
      <w:proofErr w:type="gramEnd"/>
      <w:r w:rsidRPr="00FA720B">
        <w:t xml:space="preserve">” </w:t>
      </w:r>
      <w:r w:rsidRPr="00FA720B">
        <w:rPr>
          <w:i/>
          <w:iCs/>
        </w:rPr>
        <w:t>Horizons (Villanova)</w:t>
      </w:r>
      <w:r w:rsidRPr="00FA720B">
        <w:t xml:space="preserve">, 2(1), </w:t>
      </w:r>
      <w:r w:rsidR="00E36099" w:rsidRPr="00FA720B">
        <w:t>(1975)</w:t>
      </w:r>
      <w:r w:rsidR="00FF4FF8">
        <w:t xml:space="preserve">, </w:t>
      </w:r>
      <w:r w:rsidR="00E36099">
        <w:t>p.</w:t>
      </w:r>
      <w:r>
        <w:t>119</w:t>
      </w:r>
      <w:r w:rsidR="00E36099">
        <w:t>.</w:t>
      </w:r>
      <w:r>
        <w:t xml:space="preserve"> </w:t>
      </w:r>
    </w:p>
  </w:footnote>
  <w:footnote w:id="9">
    <w:p w14:paraId="026D40BA" w14:textId="2A64546F" w:rsidR="00FA4003" w:rsidRDefault="00FA4003" w:rsidP="00FA4003">
      <w:r>
        <w:rPr>
          <w:rStyle w:val="FootnoteReference"/>
        </w:rPr>
        <w:footnoteRef/>
      </w:r>
      <w:r w:rsidR="00E36099">
        <w:t xml:space="preserve"> </w:t>
      </w:r>
      <w:r w:rsidRPr="00750873">
        <w:t xml:space="preserve">R. </w:t>
      </w:r>
      <w:r w:rsidR="00E36099">
        <w:t xml:space="preserve">Loewen Walker, </w:t>
      </w:r>
      <w:r w:rsidRPr="00750873">
        <w:t xml:space="preserve">“Call it misogyny,” </w:t>
      </w:r>
      <w:r w:rsidRPr="00750873">
        <w:rPr>
          <w:i/>
          <w:iCs/>
        </w:rPr>
        <w:t>Feminist theory</w:t>
      </w:r>
      <w:r w:rsidRPr="00750873">
        <w:t xml:space="preserve">, 25(1), </w:t>
      </w:r>
      <w:r w:rsidR="00E36099" w:rsidRPr="00750873">
        <w:t>(2024)</w:t>
      </w:r>
      <w:r w:rsidR="00FF4FF8">
        <w:t xml:space="preserve">, </w:t>
      </w:r>
      <w:r w:rsidR="00E36099">
        <w:t>p.</w:t>
      </w:r>
      <w:r>
        <w:t>65</w:t>
      </w:r>
      <w:r w:rsidR="00E36099">
        <w:t>.</w:t>
      </w:r>
      <w:r>
        <w:t xml:space="preserve"> </w:t>
      </w:r>
    </w:p>
  </w:footnote>
  <w:footnote w:id="10">
    <w:p w14:paraId="00263AAE" w14:textId="40876131" w:rsidR="00D21C57" w:rsidRDefault="00D21C57">
      <w:pPr>
        <w:pStyle w:val="FootnoteText"/>
      </w:pPr>
      <w:r>
        <w:rPr>
          <w:rStyle w:val="FootnoteReference"/>
        </w:rPr>
        <w:footnoteRef/>
      </w:r>
      <w:r>
        <w:t xml:space="preserve"> </w:t>
      </w:r>
      <w:r w:rsidR="00213403">
        <w:t xml:space="preserve">The Holy Bible, New Revised Standard Version, </w:t>
      </w:r>
      <w:r>
        <w:t>Genesis 2:</w:t>
      </w:r>
      <w:r w:rsidR="00A208B9">
        <w:t>7</w:t>
      </w:r>
      <w:r w:rsidR="009735B4">
        <w:t>, &lt;</w:t>
      </w:r>
      <w:hyperlink r:id="rId1" w:history="1">
        <w:r w:rsidR="00EA7925" w:rsidRPr="00AA5528">
          <w:rPr>
            <w:rStyle w:val="Hyperlink"/>
          </w:rPr>
          <w:t>https://www.biblegateway.com/passage/?search=genesis%202%3A7&amp;version=NRSVUE</w:t>
        </w:r>
      </w:hyperlink>
      <w:r w:rsidR="009735B4">
        <w:t>&gt;</w:t>
      </w:r>
      <w:r w:rsidR="0022282E">
        <w:t>,</w:t>
      </w:r>
      <w:r w:rsidR="009735B4">
        <w:t xml:space="preserve"> </w:t>
      </w:r>
      <w:r w:rsidR="00EA7925">
        <w:t>[Accessed 5</w:t>
      </w:r>
      <w:r w:rsidR="00EA7925" w:rsidRPr="00EA7925">
        <w:rPr>
          <w:vertAlign w:val="superscript"/>
        </w:rPr>
        <w:t>th</w:t>
      </w:r>
      <w:r w:rsidR="00EA7925">
        <w:t xml:space="preserve"> March 2026]. </w:t>
      </w:r>
    </w:p>
  </w:footnote>
  <w:footnote w:id="11">
    <w:p w14:paraId="3AC09608" w14:textId="7D47A4BA" w:rsidR="00606AA6" w:rsidRDefault="00606AA6">
      <w:pPr>
        <w:pStyle w:val="FootnoteText"/>
      </w:pPr>
      <w:r>
        <w:rPr>
          <w:rStyle w:val="FootnoteReference"/>
        </w:rPr>
        <w:footnoteRef/>
      </w:r>
      <w:r w:rsidR="00EA7925">
        <w:t xml:space="preserve"> The Holy Bible, New Revised Standard Version,</w:t>
      </w:r>
      <w:r>
        <w:t xml:space="preserve"> Genesis 2:</w:t>
      </w:r>
      <w:r w:rsidR="006A73DC">
        <w:t>22-23</w:t>
      </w:r>
      <w:r w:rsidR="00282FF9">
        <w:t>,</w:t>
      </w:r>
      <w:r w:rsidR="00EA7925">
        <w:t xml:space="preserve"> &lt;</w:t>
      </w:r>
      <w:hyperlink r:id="rId2" w:history="1">
        <w:r w:rsidR="00243904" w:rsidRPr="00AA5528">
          <w:rPr>
            <w:rStyle w:val="Hyperlink"/>
          </w:rPr>
          <w:t>https://www.biblegateway.com/passage/?search=genesis%202%3A22-23&amp;version=NRSVUE</w:t>
        </w:r>
      </w:hyperlink>
      <w:r w:rsidR="00243904">
        <w:t>&gt;</w:t>
      </w:r>
      <w:r w:rsidR="0022282E">
        <w:t>,</w:t>
      </w:r>
      <w:r w:rsidR="00243904">
        <w:t xml:space="preserve"> [Accessed 5</w:t>
      </w:r>
      <w:r w:rsidR="00243904" w:rsidRPr="00243904">
        <w:rPr>
          <w:vertAlign w:val="superscript"/>
        </w:rPr>
        <w:t>th</w:t>
      </w:r>
      <w:r w:rsidR="00243904">
        <w:t xml:space="preserve"> March 2026]. </w:t>
      </w:r>
    </w:p>
  </w:footnote>
  <w:footnote w:id="12">
    <w:p w14:paraId="3558B80F" w14:textId="6A092E71" w:rsidR="00314E3D" w:rsidRDefault="00314E3D">
      <w:pPr>
        <w:pStyle w:val="FootnoteText"/>
      </w:pPr>
      <w:r>
        <w:rPr>
          <w:rStyle w:val="FootnoteReference"/>
        </w:rPr>
        <w:footnoteRef/>
      </w:r>
      <w:r>
        <w:t xml:space="preserve"> </w:t>
      </w:r>
      <w:r w:rsidR="00243904">
        <w:t>The Holy Bible, New Revised Standard Version,</w:t>
      </w:r>
      <w:r w:rsidR="00282FF9">
        <w:t xml:space="preserve"> </w:t>
      </w:r>
      <w:r>
        <w:t xml:space="preserve">Genesis 3: </w:t>
      </w:r>
      <w:r w:rsidR="002A5ADD">
        <w:t>11-12</w:t>
      </w:r>
      <w:r w:rsidR="00282FF9">
        <w:t>, &lt;</w:t>
      </w:r>
      <w:hyperlink r:id="rId3" w:history="1">
        <w:r w:rsidR="00282FF9" w:rsidRPr="00AA5528">
          <w:rPr>
            <w:rStyle w:val="Hyperlink"/>
          </w:rPr>
          <w:t>https://www.biblegateway.com/passage/?search=genesis%203%3A11-12&amp;version=NRSVUE</w:t>
        </w:r>
      </w:hyperlink>
      <w:r w:rsidR="00282FF9">
        <w:t>&gt;</w:t>
      </w:r>
      <w:r w:rsidR="0022282E">
        <w:t>,</w:t>
      </w:r>
      <w:r w:rsidR="00282FF9">
        <w:t xml:space="preserve"> [Accessed 5</w:t>
      </w:r>
      <w:r w:rsidR="00282FF9" w:rsidRPr="00282FF9">
        <w:rPr>
          <w:vertAlign w:val="superscript"/>
        </w:rPr>
        <w:t>th</w:t>
      </w:r>
      <w:r w:rsidR="00282FF9">
        <w:t xml:space="preserve"> March 2026]. </w:t>
      </w:r>
      <w:r w:rsidR="002A5ADD">
        <w:t xml:space="preserve"> </w:t>
      </w:r>
    </w:p>
  </w:footnote>
  <w:footnote w:id="13">
    <w:p w14:paraId="0338C0F5" w14:textId="30488FCB" w:rsidR="0019337A" w:rsidRDefault="0019337A">
      <w:pPr>
        <w:pStyle w:val="FootnoteText"/>
      </w:pPr>
      <w:r>
        <w:rPr>
          <w:rStyle w:val="FootnoteReference"/>
        </w:rPr>
        <w:footnoteRef/>
      </w:r>
      <w:r>
        <w:t xml:space="preserve"> </w:t>
      </w:r>
      <w:r w:rsidR="00282FF9">
        <w:t xml:space="preserve">The Holy Bible, New Revised Standard Version, </w:t>
      </w:r>
      <w:r>
        <w:t>Genesis 3:16</w:t>
      </w:r>
      <w:r w:rsidR="0022282E">
        <w:t>, &lt;</w:t>
      </w:r>
      <w:r w:rsidR="0022282E" w:rsidRPr="0022282E">
        <w:t xml:space="preserve"> </w:t>
      </w:r>
      <w:hyperlink r:id="rId4" w:history="1">
        <w:r w:rsidR="0022282E" w:rsidRPr="00AA5528">
          <w:rPr>
            <w:rStyle w:val="Hyperlink"/>
          </w:rPr>
          <w:t>https://www.biblegateway.com/passage/?search=genesis%203%3A16&amp;version=NRSVUE</w:t>
        </w:r>
      </w:hyperlink>
      <w:r w:rsidR="0022282E">
        <w:t>&gt;, [Accessed 5</w:t>
      </w:r>
      <w:r w:rsidR="0022282E" w:rsidRPr="0022282E">
        <w:rPr>
          <w:vertAlign w:val="superscript"/>
        </w:rPr>
        <w:t>th</w:t>
      </w:r>
      <w:r w:rsidR="0022282E">
        <w:t xml:space="preserve"> March 2026]</w:t>
      </w:r>
      <w:r w:rsidR="0067562C">
        <w:t>.</w:t>
      </w:r>
    </w:p>
  </w:footnote>
  <w:footnote w:id="14">
    <w:p w14:paraId="68D68475" w14:textId="0A8D31A3" w:rsidR="00613F26" w:rsidRDefault="00613F26">
      <w:pPr>
        <w:pStyle w:val="FootnoteText"/>
      </w:pPr>
      <w:r>
        <w:rPr>
          <w:rStyle w:val="FootnoteReference"/>
        </w:rPr>
        <w:footnoteRef/>
      </w:r>
      <w:r>
        <w:t xml:space="preserve"> </w:t>
      </w:r>
      <w:r w:rsidR="001627D5" w:rsidRPr="001627D5">
        <w:rPr>
          <w:lang w:val="en-US"/>
        </w:rPr>
        <w:t xml:space="preserve">Suzanne Valadon. Adam and Eve. oil on canvas, 1909. </w:t>
      </w:r>
      <w:proofErr w:type="spellStart"/>
      <w:r w:rsidR="001627D5" w:rsidRPr="001627D5">
        <w:rPr>
          <w:lang w:val="en-US"/>
        </w:rPr>
        <w:t>Musée</w:t>
      </w:r>
      <w:proofErr w:type="spellEnd"/>
      <w:r w:rsidR="001627D5" w:rsidRPr="001627D5">
        <w:rPr>
          <w:lang w:val="en-US"/>
        </w:rPr>
        <w:t xml:space="preserve"> National </w:t>
      </w:r>
      <w:proofErr w:type="spellStart"/>
      <w:r w:rsidR="001627D5" w:rsidRPr="001627D5">
        <w:rPr>
          <w:lang w:val="en-US"/>
        </w:rPr>
        <w:t>d’Art</w:t>
      </w:r>
      <w:proofErr w:type="spellEnd"/>
      <w:r w:rsidR="001627D5" w:rsidRPr="001627D5">
        <w:rPr>
          <w:lang w:val="en-US"/>
        </w:rPr>
        <w:t xml:space="preserve"> Moderne, Centre Georges Pompidou, Paris, France. Réunion des </w:t>
      </w:r>
      <w:proofErr w:type="spellStart"/>
      <w:r w:rsidR="001627D5" w:rsidRPr="001627D5">
        <w:rPr>
          <w:lang w:val="en-US"/>
        </w:rPr>
        <w:t>Musées</w:t>
      </w:r>
      <w:proofErr w:type="spellEnd"/>
      <w:r w:rsidR="001627D5" w:rsidRPr="001627D5">
        <w:rPr>
          <w:lang w:val="en-US"/>
        </w:rPr>
        <w:t xml:space="preserve"> </w:t>
      </w:r>
      <w:proofErr w:type="spellStart"/>
      <w:r w:rsidR="001627D5" w:rsidRPr="001627D5">
        <w:rPr>
          <w:lang w:val="en-US"/>
        </w:rPr>
        <w:t>Nationaux</w:t>
      </w:r>
      <w:proofErr w:type="spellEnd"/>
      <w:r w:rsidR="001627D5" w:rsidRPr="001627D5">
        <w:rPr>
          <w:lang w:val="en-US"/>
        </w:rPr>
        <w:t xml:space="preserve"> (RMN). </w:t>
      </w:r>
      <w:proofErr w:type="spellStart"/>
      <w:r w:rsidR="001627D5" w:rsidRPr="001627D5">
        <w:rPr>
          <w:lang w:val="en-US"/>
        </w:rPr>
        <w:t>Artstor</w:t>
      </w:r>
      <w:proofErr w:type="spellEnd"/>
      <w:r w:rsidR="001627D5" w:rsidRPr="001627D5">
        <w:rPr>
          <w:lang w:val="en-US"/>
        </w:rPr>
        <w:t>, JSTOR</w:t>
      </w:r>
    </w:p>
  </w:footnote>
  <w:footnote w:id="15">
    <w:p w14:paraId="46E7E800" w14:textId="7932E358" w:rsidR="007B2CA0" w:rsidRDefault="007B2CA0">
      <w:pPr>
        <w:pStyle w:val="FootnoteText"/>
      </w:pPr>
      <w:r>
        <w:rPr>
          <w:rStyle w:val="FootnoteReference"/>
        </w:rPr>
        <w:footnoteRef/>
      </w:r>
      <w:r>
        <w:t xml:space="preserve"> </w:t>
      </w:r>
      <w:r w:rsidR="00332B1B" w:rsidRPr="00332B1B">
        <w:rPr>
          <w:lang w:val="en-US"/>
        </w:rPr>
        <w:t xml:space="preserve">L. </w:t>
      </w:r>
      <w:r w:rsidR="00DB6686">
        <w:rPr>
          <w:lang w:val="en-US"/>
        </w:rPr>
        <w:t>Jimerson</w:t>
      </w:r>
      <w:r w:rsidR="0067562C">
        <w:rPr>
          <w:lang w:val="en-US"/>
        </w:rPr>
        <w:t xml:space="preserve"> </w:t>
      </w:r>
      <w:r w:rsidR="00332B1B" w:rsidRPr="00332B1B">
        <w:rPr>
          <w:lang w:val="en-US"/>
        </w:rPr>
        <w:t xml:space="preserve">‘Defying Gender: Suzanne Valadon and the Male Nude’, </w:t>
      </w:r>
      <w:r w:rsidR="00332B1B" w:rsidRPr="00332B1B">
        <w:rPr>
          <w:i/>
          <w:iCs/>
          <w:lang w:val="en-US"/>
        </w:rPr>
        <w:t>Woman’s Art Journal</w:t>
      </w:r>
      <w:r w:rsidR="00332B1B" w:rsidRPr="00332B1B">
        <w:rPr>
          <w:lang w:val="en-US"/>
        </w:rPr>
        <w:t>, 40(1),</w:t>
      </w:r>
      <w:r w:rsidR="00066F53">
        <w:rPr>
          <w:lang w:val="en-US"/>
        </w:rPr>
        <w:t xml:space="preserve"> </w:t>
      </w:r>
      <w:r w:rsidR="0067562C" w:rsidRPr="00332B1B">
        <w:rPr>
          <w:lang w:val="en-US"/>
        </w:rPr>
        <w:t>(2019)</w:t>
      </w:r>
      <w:r w:rsidR="0067562C">
        <w:rPr>
          <w:lang w:val="en-US"/>
        </w:rPr>
        <w:t xml:space="preserve">, </w:t>
      </w:r>
      <w:r w:rsidR="00332B1B" w:rsidRPr="00332B1B">
        <w:rPr>
          <w:lang w:val="en-US"/>
        </w:rPr>
        <w:t xml:space="preserve">Available at: https://research-ebsco-com.uwtsd.idm.oclc.org/linkprocessor/plink?id=187a6f63-7d05-3b04-819f-ec885c611d05 </w:t>
      </w:r>
      <w:r w:rsidR="0067562C">
        <w:rPr>
          <w:lang w:val="en-US"/>
        </w:rPr>
        <w:t>[</w:t>
      </w:r>
      <w:r w:rsidR="00332B1B" w:rsidRPr="00332B1B">
        <w:rPr>
          <w:lang w:val="en-US"/>
        </w:rPr>
        <w:t>Accessed: 2 March 2026</w:t>
      </w:r>
      <w:r w:rsidR="0067562C">
        <w:rPr>
          <w:lang w:val="en-US"/>
        </w:rPr>
        <w:t>]</w:t>
      </w:r>
      <w:r w:rsidR="00332B1B" w:rsidRPr="00332B1B">
        <w:rPr>
          <w:lang w:val="en-US"/>
        </w:rPr>
        <w:t>.</w:t>
      </w:r>
      <w:r w:rsidR="0067562C">
        <w:rPr>
          <w:lang w:val="en-US"/>
        </w:rPr>
        <w:t xml:space="preserve"> p.4. </w:t>
      </w:r>
    </w:p>
  </w:footnote>
  <w:footnote w:id="16">
    <w:p w14:paraId="6585EC30" w14:textId="288A4E75" w:rsidR="003476C5" w:rsidRDefault="003476C5" w:rsidP="003476C5">
      <w:r>
        <w:rPr>
          <w:rStyle w:val="FootnoteReference"/>
        </w:rPr>
        <w:footnoteRef/>
      </w:r>
      <w:r>
        <w:t xml:space="preserve"> </w:t>
      </w:r>
      <w:r w:rsidRPr="006B7BDE">
        <w:t>J.</w:t>
      </w:r>
      <w:r w:rsidR="0067562C">
        <w:t xml:space="preserve"> </w:t>
      </w:r>
      <w:proofErr w:type="spellStart"/>
      <w:r w:rsidR="0067562C" w:rsidRPr="006B7BDE">
        <w:t>Stökl</w:t>
      </w:r>
      <w:proofErr w:type="spellEnd"/>
      <w:r w:rsidRPr="006B7BDE">
        <w:t xml:space="preserve"> and C.L. </w:t>
      </w:r>
      <w:r w:rsidR="0067562C">
        <w:t>Carvalho</w:t>
      </w:r>
      <w:r w:rsidR="009F0777">
        <w:t>,</w:t>
      </w:r>
      <w:r w:rsidRPr="006B7BDE">
        <w:t xml:space="preserve"> </w:t>
      </w:r>
      <w:r w:rsidR="00EA2E5F">
        <w:t>‘</w:t>
      </w:r>
      <w:r w:rsidRPr="006B7BDE">
        <w:rPr>
          <w:i/>
          <w:iCs/>
        </w:rPr>
        <w:t xml:space="preserve">Prophets </w:t>
      </w:r>
      <w:r w:rsidR="009F0777">
        <w:rPr>
          <w:i/>
          <w:iCs/>
        </w:rPr>
        <w:t>M</w:t>
      </w:r>
      <w:r w:rsidRPr="006B7BDE">
        <w:rPr>
          <w:i/>
          <w:iCs/>
        </w:rPr>
        <w:t xml:space="preserve">ale and </w:t>
      </w:r>
      <w:r w:rsidR="009F0777">
        <w:rPr>
          <w:i/>
          <w:iCs/>
        </w:rPr>
        <w:t>F</w:t>
      </w:r>
      <w:r w:rsidRPr="006B7BDE">
        <w:rPr>
          <w:i/>
          <w:iCs/>
        </w:rPr>
        <w:t>emale</w:t>
      </w:r>
      <w:proofErr w:type="gramStart"/>
      <w:r w:rsidR="00AF5F0D">
        <w:rPr>
          <w:i/>
          <w:iCs/>
        </w:rPr>
        <w:t>’</w:t>
      </w:r>
      <w:r w:rsidRPr="006B7BDE">
        <w:rPr>
          <w:i/>
          <w:iCs/>
        </w:rPr>
        <w:t> :</w:t>
      </w:r>
      <w:proofErr w:type="gramEnd"/>
      <w:r w:rsidRPr="006B7BDE">
        <w:rPr>
          <w:i/>
          <w:iCs/>
        </w:rPr>
        <w:t xml:space="preserve"> </w:t>
      </w:r>
      <w:r w:rsidR="009F0777">
        <w:rPr>
          <w:i/>
          <w:iCs/>
        </w:rPr>
        <w:t>G</w:t>
      </w:r>
      <w:r w:rsidRPr="006B7BDE">
        <w:rPr>
          <w:i/>
          <w:iCs/>
        </w:rPr>
        <w:t xml:space="preserve">ender and </w:t>
      </w:r>
      <w:r w:rsidR="009F0777">
        <w:rPr>
          <w:i/>
          <w:iCs/>
        </w:rPr>
        <w:t>P</w:t>
      </w:r>
      <w:r w:rsidRPr="006B7BDE">
        <w:rPr>
          <w:i/>
          <w:iCs/>
        </w:rPr>
        <w:t xml:space="preserve">rophecy in the Hebrew Bible, the Eastern Mediterranean, and the </w:t>
      </w:r>
      <w:r w:rsidR="009F0777">
        <w:rPr>
          <w:i/>
          <w:iCs/>
        </w:rPr>
        <w:t>A</w:t>
      </w:r>
      <w:r w:rsidRPr="006B7BDE">
        <w:rPr>
          <w:i/>
          <w:iCs/>
        </w:rPr>
        <w:t>ncient Near East</w:t>
      </w:r>
      <w:r w:rsidRPr="006B7BDE">
        <w:t xml:space="preserve">. </w:t>
      </w:r>
      <w:r w:rsidR="00EA2E5F">
        <w:t>(</w:t>
      </w:r>
      <w:r w:rsidRPr="006B7BDE">
        <w:t>Atlanta, Georgia: Society of Biblical Literature.</w:t>
      </w:r>
      <w:r w:rsidR="009F0777">
        <w:t xml:space="preserve"> </w:t>
      </w:r>
      <w:r w:rsidR="009F0777" w:rsidRPr="006B7BDE">
        <w:t>2013)</w:t>
      </w:r>
      <w:r w:rsidR="009F0777">
        <w:t>, p.</w:t>
      </w:r>
      <w:r>
        <w:t>194</w:t>
      </w:r>
      <w:r w:rsidR="009F0777">
        <w:t>.</w:t>
      </w:r>
    </w:p>
  </w:footnote>
  <w:footnote w:id="17">
    <w:p w14:paraId="69FDCD80" w14:textId="0E5464F3" w:rsidR="00230D67" w:rsidRDefault="00230D67">
      <w:pPr>
        <w:pStyle w:val="FootnoteText"/>
      </w:pPr>
      <w:r>
        <w:rPr>
          <w:rStyle w:val="FootnoteReference"/>
        </w:rPr>
        <w:footnoteRef/>
      </w:r>
      <w:r>
        <w:t xml:space="preserve"> </w:t>
      </w:r>
      <w:r w:rsidR="00D74D65">
        <w:t>Jo</w:t>
      </w:r>
      <w:r w:rsidR="00A476D5">
        <w:t xml:space="preserve">hn Calvin, </w:t>
      </w:r>
      <w:r w:rsidR="005D07ED">
        <w:t xml:space="preserve">‘Institutes </w:t>
      </w:r>
      <w:r w:rsidR="004A54D5">
        <w:t xml:space="preserve">of the Christian Religion’, (Wm. B Eerdmans Publishing </w:t>
      </w:r>
      <w:r w:rsidR="00603258">
        <w:t>Co. 255 Jefferson Ave. SE, Grand Rapids</w:t>
      </w:r>
      <w:r w:rsidR="00A33B6B">
        <w:t>, MI 49503 1989)</w:t>
      </w:r>
      <w:r w:rsidR="00D74D65">
        <w:t xml:space="preserve"> </w:t>
      </w:r>
      <w:r w:rsidR="00A33B6B">
        <w:t>p.46.</w:t>
      </w:r>
    </w:p>
  </w:footnote>
  <w:footnote w:id="18">
    <w:p w14:paraId="4DE0BC12" w14:textId="11393918" w:rsidR="00D74D65" w:rsidRDefault="00D74D65">
      <w:pPr>
        <w:pStyle w:val="FootnoteText"/>
      </w:pPr>
      <w:r>
        <w:rPr>
          <w:rStyle w:val="FootnoteReference"/>
        </w:rPr>
        <w:footnoteRef/>
      </w:r>
      <w:r>
        <w:t xml:space="preserve"> </w:t>
      </w:r>
      <w:r w:rsidR="00EA2E5F" w:rsidRPr="006B7BDE">
        <w:t>J.</w:t>
      </w:r>
      <w:r w:rsidR="00EA2E5F">
        <w:t xml:space="preserve"> </w:t>
      </w:r>
      <w:proofErr w:type="spellStart"/>
      <w:r w:rsidR="00EA2E5F" w:rsidRPr="006B7BDE">
        <w:t>Stökl</w:t>
      </w:r>
      <w:proofErr w:type="spellEnd"/>
      <w:r w:rsidR="00EA2E5F" w:rsidRPr="006B7BDE">
        <w:t xml:space="preserve"> and C.L. </w:t>
      </w:r>
      <w:r w:rsidR="00EA2E5F">
        <w:t>Carvalho,</w:t>
      </w:r>
      <w:r w:rsidR="00EA2E5F" w:rsidRPr="006B7BDE">
        <w:t xml:space="preserve"> </w:t>
      </w:r>
      <w:r w:rsidR="00AF5F0D">
        <w:t>‘</w:t>
      </w:r>
      <w:r w:rsidR="00EA2E5F" w:rsidRPr="006B7BDE">
        <w:rPr>
          <w:i/>
          <w:iCs/>
        </w:rPr>
        <w:t xml:space="preserve">Prophets </w:t>
      </w:r>
      <w:r w:rsidR="00EA2E5F">
        <w:rPr>
          <w:i/>
          <w:iCs/>
        </w:rPr>
        <w:t>M</w:t>
      </w:r>
      <w:r w:rsidR="00EA2E5F" w:rsidRPr="006B7BDE">
        <w:rPr>
          <w:i/>
          <w:iCs/>
        </w:rPr>
        <w:t xml:space="preserve">ale and </w:t>
      </w:r>
      <w:r w:rsidR="00EA2E5F">
        <w:rPr>
          <w:i/>
          <w:iCs/>
        </w:rPr>
        <w:t>F</w:t>
      </w:r>
      <w:r w:rsidR="00EA2E5F" w:rsidRPr="006B7BDE">
        <w:rPr>
          <w:i/>
          <w:iCs/>
        </w:rPr>
        <w:t>emale</w:t>
      </w:r>
      <w:r w:rsidR="00AF5F0D">
        <w:rPr>
          <w:i/>
          <w:iCs/>
        </w:rPr>
        <w:t>’</w:t>
      </w:r>
      <w:r w:rsidR="00EA2E5F" w:rsidRPr="006B7BDE">
        <w:rPr>
          <w:i/>
          <w:iCs/>
        </w:rPr>
        <w:t xml:space="preserve"> </w:t>
      </w:r>
      <w:r w:rsidR="00EA2E5F">
        <w:rPr>
          <w:i/>
          <w:iCs/>
        </w:rPr>
        <w:t>G</w:t>
      </w:r>
      <w:r w:rsidR="00EA2E5F" w:rsidRPr="006B7BDE">
        <w:rPr>
          <w:i/>
          <w:iCs/>
        </w:rPr>
        <w:t xml:space="preserve">ender and </w:t>
      </w:r>
      <w:r w:rsidR="00EA2E5F">
        <w:rPr>
          <w:i/>
          <w:iCs/>
        </w:rPr>
        <w:t>P</w:t>
      </w:r>
      <w:r w:rsidR="00EA2E5F" w:rsidRPr="006B7BDE">
        <w:rPr>
          <w:i/>
          <w:iCs/>
        </w:rPr>
        <w:t xml:space="preserve">rophecy in the Hebrew Bible, the Eastern Mediterranean, and the </w:t>
      </w:r>
      <w:r w:rsidR="00EA2E5F">
        <w:rPr>
          <w:i/>
          <w:iCs/>
        </w:rPr>
        <w:t>A</w:t>
      </w:r>
      <w:r w:rsidR="00EA2E5F" w:rsidRPr="006B7BDE">
        <w:rPr>
          <w:i/>
          <w:iCs/>
        </w:rPr>
        <w:t>ncient Near East</w:t>
      </w:r>
      <w:r w:rsidR="00EA2E5F" w:rsidRPr="006B7BDE">
        <w:t xml:space="preserve">. </w:t>
      </w:r>
      <w:r w:rsidR="00EA2E5F">
        <w:t>p.194.</w:t>
      </w:r>
    </w:p>
  </w:footnote>
  <w:footnote w:id="19">
    <w:p w14:paraId="5418D521" w14:textId="0A9D55C1" w:rsidR="00641AB3" w:rsidRDefault="00641AB3">
      <w:pPr>
        <w:pStyle w:val="FootnoteText"/>
      </w:pPr>
      <w:r>
        <w:rPr>
          <w:rStyle w:val="FootnoteReference"/>
        </w:rPr>
        <w:footnoteRef/>
      </w:r>
      <w:r>
        <w:t xml:space="preserve"> </w:t>
      </w:r>
      <w:r w:rsidR="00AF5F0D">
        <w:t>Ibid.,</w:t>
      </w:r>
      <w:r>
        <w:t xml:space="preserve"> </w:t>
      </w:r>
      <w:r w:rsidR="00AF5F0D">
        <w:t>p.</w:t>
      </w:r>
      <w:r>
        <w:t>195</w:t>
      </w:r>
      <w:r w:rsidR="00AF5F0D">
        <w:t>.</w:t>
      </w:r>
    </w:p>
  </w:footnote>
  <w:footnote w:id="20">
    <w:p w14:paraId="3CE57DD1" w14:textId="62C660B8" w:rsidR="00E27731" w:rsidRDefault="00E27731">
      <w:pPr>
        <w:pStyle w:val="FootnoteText"/>
      </w:pPr>
      <w:r>
        <w:rPr>
          <w:rStyle w:val="FootnoteReference"/>
        </w:rPr>
        <w:footnoteRef/>
      </w:r>
      <w:r>
        <w:t xml:space="preserve"> </w:t>
      </w:r>
      <w:r w:rsidR="00AF5F0D">
        <w:t>Ibid.,</w:t>
      </w:r>
      <w:r>
        <w:t xml:space="preserve"> </w:t>
      </w:r>
      <w:r w:rsidR="00AF5F0D">
        <w:t>p.</w:t>
      </w:r>
      <w:r>
        <w:t>19</w:t>
      </w:r>
      <w:r w:rsidR="009A3C2C">
        <w:t xml:space="preserve">8 – 199. </w:t>
      </w:r>
    </w:p>
  </w:footnote>
  <w:footnote w:id="21">
    <w:p w14:paraId="2D3A2030" w14:textId="1E2190BC" w:rsidR="00292931" w:rsidRDefault="00292931">
      <w:pPr>
        <w:pStyle w:val="FootnoteText"/>
      </w:pPr>
      <w:r>
        <w:rPr>
          <w:rStyle w:val="FootnoteReference"/>
        </w:rPr>
        <w:footnoteRef/>
      </w:r>
      <w:r>
        <w:t xml:space="preserve"> </w:t>
      </w:r>
      <w:r w:rsidR="0022282E">
        <w:t xml:space="preserve">The Holy Bible, New Revised Standard Version, </w:t>
      </w:r>
      <w:r>
        <w:t>Genesis 1</w:t>
      </w:r>
      <w:r w:rsidR="007B4C8D">
        <w:t>: 1-26</w:t>
      </w:r>
      <w:r w:rsidR="0022282E">
        <w:t>,</w:t>
      </w:r>
      <w:r w:rsidR="00B34A9D">
        <w:t xml:space="preserve"> &lt;</w:t>
      </w:r>
      <w:hyperlink r:id="rId5" w:history="1">
        <w:r w:rsidR="005C0B37" w:rsidRPr="00AA5528">
          <w:rPr>
            <w:rStyle w:val="Hyperlink"/>
          </w:rPr>
          <w:t>https://www.biblegateway.com/passage/?search=genesis%201%3A1%20-%2026&amp;version=NRSVUE</w:t>
        </w:r>
      </w:hyperlink>
      <w:r w:rsidR="00B34A9D">
        <w:t>&gt;, [Accessed 5</w:t>
      </w:r>
      <w:r w:rsidR="00B34A9D" w:rsidRPr="00B34A9D">
        <w:rPr>
          <w:vertAlign w:val="superscript"/>
        </w:rPr>
        <w:t>th</w:t>
      </w:r>
      <w:r w:rsidR="00B34A9D">
        <w:t xml:space="preserve"> March 2026]. </w:t>
      </w:r>
    </w:p>
  </w:footnote>
  <w:footnote w:id="22">
    <w:p w14:paraId="741862AB" w14:textId="3BDCFCF0" w:rsidR="001D68F4" w:rsidRDefault="001D68F4">
      <w:pPr>
        <w:pStyle w:val="FootnoteText"/>
      </w:pPr>
      <w:r>
        <w:rPr>
          <w:rStyle w:val="FootnoteReference"/>
        </w:rPr>
        <w:footnoteRef/>
      </w:r>
      <w:r>
        <w:t xml:space="preserve"> </w:t>
      </w:r>
      <w:r w:rsidR="0022282E">
        <w:t xml:space="preserve">The Holy Bible, New Revised Standard Version, </w:t>
      </w:r>
      <w:r>
        <w:t>Hebrews 11:</w:t>
      </w:r>
      <w:r w:rsidR="00991987">
        <w:t>3</w:t>
      </w:r>
      <w:r w:rsidR="0022282E">
        <w:t>,</w:t>
      </w:r>
      <w:r w:rsidR="002A03BB">
        <w:t xml:space="preserve"> &lt;</w:t>
      </w:r>
      <w:hyperlink r:id="rId6" w:history="1">
        <w:r w:rsidR="002A03BB" w:rsidRPr="00AA5528">
          <w:rPr>
            <w:rStyle w:val="Hyperlink"/>
          </w:rPr>
          <w:t>https://www.biblegateway.com/passage/?search=Hebrews%2011%3A3&amp;version=NRSVUE</w:t>
        </w:r>
      </w:hyperlink>
      <w:r w:rsidR="002A03BB">
        <w:t>&gt;, [Accessed 5</w:t>
      </w:r>
      <w:r w:rsidR="002A03BB" w:rsidRPr="002A03BB">
        <w:rPr>
          <w:vertAlign w:val="superscript"/>
        </w:rPr>
        <w:t>th</w:t>
      </w:r>
      <w:r w:rsidR="002A03BB">
        <w:t xml:space="preserve"> March 2026].</w:t>
      </w:r>
    </w:p>
  </w:footnote>
  <w:footnote w:id="23">
    <w:p w14:paraId="10352E9D" w14:textId="48118083" w:rsidR="00814416" w:rsidRDefault="00814416">
      <w:pPr>
        <w:pStyle w:val="FootnoteText"/>
      </w:pPr>
      <w:r>
        <w:rPr>
          <w:rStyle w:val="FootnoteReference"/>
        </w:rPr>
        <w:footnoteRef/>
      </w:r>
      <w:r>
        <w:t xml:space="preserve"> </w:t>
      </w:r>
      <w:r w:rsidR="0022282E">
        <w:t xml:space="preserve">The Holy Bible, New Revised Standard Version, </w:t>
      </w:r>
      <w:r w:rsidR="00822D29">
        <w:t>Genesis 1: 26 – 31</w:t>
      </w:r>
      <w:r w:rsidR="0022282E">
        <w:t>,</w:t>
      </w:r>
      <w:r w:rsidR="00822D29">
        <w:t xml:space="preserve"> </w:t>
      </w:r>
      <w:r w:rsidR="004B71ED">
        <w:t>&lt;</w:t>
      </w:r>
      <w:hyperlink r:id="rId7" w:history="1">
        <w:r w:rsidR="00B34A9D" w:rsidRPr="00AA5528">
          <w:rPr>
            <w:rStyle w:val="Hyperlink"/>
          </w:rPr>
          <w:t>https://www.biblegateway.com/passage/?search=genesis%201%3A26%20-%2031&amp;version=NRSVUE</w:t>
        </w:r>
      </w:hyperlink>
      <w:r w:rsidR="004B71ED">
        <w:t>&gt;, [Accessed 5</w:t>
      </w:r>
      <w:r w:rsidR="004B71ED" w:rsidRPr="004B71ED">
        <w:rPr>
          <w:vertAlign w:val="superscript"/>
        </w:rPr>
        <w:t>th</w:t>
      </w:r>
      <w:r w:rsidR="004B71ED">
        <w:t xml:space="preserve"> March 2026]. </w:t>
      </w:r>
    </w:p>
  </w:footnote>
  <w:footnote w:id="24">
    <w:p w14:paraId="74DC2814" w14:textId="2B9FFF74" w:rsidR="00B3655F" w:rsidRDefault="00B3655F">
      <w:pPr>
        <w:pStyle w:val="FootnoteText"/>
      </w:pPr>
      <w:r>
        <w:rPr>
          <w:rStyle w:val="FootnoteReference"/>
        </w:rPr>
        <w:footnoteRef/>
      </w:r>
      <w:r w:rsidR="0022282E">
        <w:t xml:space="preserve"> The Holy Bible, New Revised Standard Version,</w:t>
      </w:r>
      <w:r>
        <w:t xml:space="preserve"> Genesis 1:</w:t>
      </w:r>
      <w:r w:rsidR="00A369AA">
        <w:t>31</w:t>
      </w:r>
      <w:r w:rsidR="0022282E">
        <w:t>,</w:t>
      </w:r>
      <w:r w:rsidR="00A369AA">
        <w:t xml:space="preserve"> &lt;</w:t>
      </w:r>
      <w:hyperlink r:id="rId8" w:history="1">
        <w:r w:rsidR="004B71ED" w:rsidRPr="00AA5528">
          <w:rPr>
            <w:rStyle w:val="Hyperlink"/>
          </w:rPr>
          <w:t>https://www.biblegateway.com/passage/?search=genesis%201%3A31&amp;version=NRSVUE</w:t>
        </w:r>
      </w:hyperlink>
      <w:r w:rsidR="00A369AA">
        <w:t>&gt;, [Accessed 5</w:t>
      </w:r>
      <w:r w:rsidR="00A369AA" w:rsidRPr="00A369AA">
        <w:rPr>
          <w:vertAlign w:val="superscript"/>
        </w:rPr>
        <w:t>th</w:t>
      </w:r>
      <w:r w:rsidR="00A369AA">
        <w:t xml:space="preserve"> March 2026].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F27"/>
    <w:rsid w:val="0000792F"/>
    <w:rsid w:val="00013BD7"/>
    <w:rsid w:val="00025620"/>
    <w:rsid w:val="00025B02"/>
    <w:rsid w:val="0002756F"/>
    <w:rsid w:val="00041E28"/>
    <w:rsid w:val="00045726"/>
    <w:rsid w:val="00061562"/>
    <w:rsid w:val="00066F53"/>
    <w:rsid w:val="000704E7"/>
    <w:rsid w:val="00094021"/>
    <w:rsid w:val="000B0920"/>
    <w:rsid w:val="000B5048"/>
    <w:rsid w:val="000E4132"/>
    <w:rsid w:val="000F7632"/>
    <w:rsid w:val="00102907"/>
    <w:rsid w:val="001042E1"/>
    <w:rsid w:val="00113344"/>
    <w:rsid w:val="0012123F"/>
    <w:rsid w:val="001423C6"/>
    <w:rsid w:val="0014772A"/>
    <w:rsid w:val="001627D5"/>
    <w:rsid w:val="00172690"/>
    <w:rsid w:val="00183D8B"/>
    <w:rsid w:val="001850AF"/>
    <w:rsid w:val="0019337A"/>
    <w:rsid w:val="001A7482"/>
    <w:rsid w:val="001C6234"/>
    <w:rsid w:val="001C791D"/>
    <w:rsid w:val="001D2D00"/>
    <w:rsid w:val="001D68F4"/>
    <w:rsid w:val="001F097B"/>
    <w:rsid w:val="001F58A1"/>
    <w:rsid w:val="001F6417"/>
    <w:rsid w:val="00205A48"/>
    <w:rsid w:val="002063D5"/>
    <w:rsid w:val="00213403"/>
    <w:rsid w:val="002214B1"/>
    <w:rsid w:val="0022282E"/>
    <w:rsid w:val="0022756F"/>
    <w:rsid w:val="00227D5A"/>
    <w:rsid w:val="00230D67"/>
    <w:rsid w:val="00231A82"/>
    <w:rsid w:val="00243904"/>
    <w:rsid w:val="00282FF9"/>
    <w:rsid w:val="00283ACB"/>
    <w:rsid w:val="002927B2"/>
    <w:rsid w:val="00292931"/>
    <w:rsid w:val="00296F03"/>
    <w:rsid w:val="002A03BB"/>
    <w:rsid w:val="002A5ADD"/>
    <w:rsid w:val="002C1212"/>
    <w:rsid w:val="002C17E4"/>
    <w:rsid w:val="002E2152"/>
    <w:rsid w:val="002E2E7A"/>
    <w:rsid w:val="002E2F69"/>
    <w:rsid w:val="002E35DD"/>
    <w:rsid w:val="002E7F27"/>
    <w:rsid w:val="002F6C46"/>
    <w:rsid w:val="00314E3D"/>
    <w:rsid w:val="00332B1B"/>
    <w:rsid w:val="00333B9F"/>
    <w:rsid w:val="00336DCD"/>
    <w:rsid w:val="0034723A"/>
    <w:rsid w:val="003476C5"/>
    <w:rsid w:val="00366EA5"/>
    <w:rsid w:val="00373398"/>
    <w:rsid w:val="003749FA"/>
    <w:rsid w:val="00375B9F"/>
    <w:rsid w:val="00390FA0"/>
    <w:rsid w:val="003A55CA"/>
    <w:rsid w:val="003B0471"/>
    <w:rsid w:val="003D2003"/>
    <w:rsid w:val="00424CC9"/>
    <w:rsid w:val="00427262"/>
    <w:rsid w:val="00433040"/>
    <w:rsid w:val="004542AA"/>
    <w:rsid w:val="004568D9"/>
    <w:rsid w:val="00465A17"/>
    <w:rsid w:val="004678BA"/>
    <w:rsid w:val="00467E48"/>
    <w:rsid w:val="00480AE0"/>
    <w:rsid w:val="00486D13"/>
    <w:rsid w:val="00491897"/>
    <w:rsid w:val="004A54D5"/>
    <w:rsid w:val="004A7829"/>
    <w:rsid w:val="004B2136"/>
    <w:rsid w:val="004B71ED"/>
    <w:rsid w:val="004B733F"/>
    <w:rsid w:val="004C7D2D"/>
    <w:rsid w:val="004D3113"/>
    <w:rsid w:val="004F0B19"/>
    <w:rsid w:val="00500B94"/>
    <w:rsid w:val="00502A7F"/>
    <w:rsid w:val="00522EEE"/>
    <w:rsid w:val="00541FD6"/>
    <w:rsid w:val="00542606"/>
    <w:rsid w:val="0055177B"/>
    <w:rsid w:val="005550D0"/>
    <w:rsid w:val="005848D0"/>
    <w:rsid w:val="00596F3F"/>
    <w:rsid w:val="005B161D"/>
    <w:rsid w:val="005C0B37"/>
    <w:rsid w:val="005C355B"/>
    <w:rsid w:val="005C624B"/>
    <w:rsid w:val="005D07ED"/>
    <w:rsid w:val="005D3C3E"/>
    <w:rsid w:val="005F1BC4"/>
    <w:rsid w:val="00603258"/>
    <w:rsid w:val="00606AA6"/>
    <w:rsid w:val="00612631"/>
    <w:rsid w:val="00613F26"/>
    <w:rsid w:val="006365E3"/>
    <w:rsid w:val="00641AB3"/>
    <w:rsid w:val="00641F72"/>
    <w:rsid w:val="00644EF3"/>
    <w:rsid w:val="0067562C"/>
    <w:rsid w:val="00683E69"/>
    <w:rsid w:val="00692D9D"/>
    <w:rsid w:val="006A5179"/>
    <w:rsid w:val="006A73DC"/>
    <w:rsid w:val="006B7BDE"/>
    <w:rsid w:val="006E0762"/>
    <w:rsid w:val="006F0A02"/>
    <w:rsid w:val="00704BB7"/>
    <w:rsid w:val="00706295"/>
    <w:rsid w:val="00715F71"/>
    <w:rsid w:val="00732041"/>
    <w:rsid w:val="00732B87"/>
    <w:rsid w:val="00737DA7"/>
    <w:rsid w:val="00741E00"/>
    <w:rsid w:val="00750873"/>
    <w:rsid w:val="00755B4D"/>
    <w:rsid w:val="00760619"/>
    <w:rsid w:val="0079555D"/>
    <w:rsid w:val="00796C4B"/>
    <w:rsid w:val="007B2CA0"/>
    <w:rsid w:val="007B4C8D"/>
    <w:rsid w:val="007C72A6"/>
    <w:rsid w:val="00811190"/>
    <w:rsid w:val="00814416"/>
    <w:rsid w:val="00820639"/>
    <w:rsid w:val="00822D29"/>
    <w:rsid w:val="0083172E"/>
    <w:rsid w:val="008331BD"/>
    <w:rsid w:val="00851DFB"/>
    <w:rsid w:val="00861D1F"/>
    <w:rsid w:val="0087399B"/>
    <w:rsid w:val="0088250C"/>
    <w:rsid w:val="0088345D"/>
    <w:rsid w:val="008C1825"/>
    <w:rsid w:val="008C43DA"/>
    <w:rsid w:val="008D135A"/>
    <w:rsid w:val="008D3F29"/>
    <w:rsid w:val="009051BC"/>
    <w:rsid w:val="00912433"/>
    <w:rsid w:val="009146FB"/>
    <w:rsid w:val="0091722A"/>
    <w:rsid w:val="00951F24"/>
    <w:rsid w:val="009670E5"/>
    <w:rsid w:val="009735B4"/>
    <w:rsid w:val="00991987"/>
    <w:rsid w:val="009A3C2C"/>
    <w:rsid w:val="009A6223"/>
    <w:rsid w:val="009B0A58"/>
    <w:rsid w:val="009E14EE"/>
    <w:rsid w:val="009E1592"/>
    <w:rsid w:val="009F0777"/>
    <w:rsid w:val="00A02A0E"/>
    <w:rsid w:val="00A15060"/>
    <w:rsid w:val="00A15764"/>
    <w:rsid w:val="00A176EC"/>
    <w:rsid w:val="00A208B9"/>
    <w:rsid w:val="00A25C72"/>
    <w:rsid w:val="00A33B6B"/>
    <w:rsid w:val="00A369AA"/>
    <w:rsid w:val="00A43A56"/>
    <w:rsid w:val="00A44E32"/>
    <w:rsid w:val="00A4503D"/>
    <w:rsid w:val="00A476D5"/>
    <w:rsid w:val="00A71D18"/>
    <w:rsid w:val="00A841CD"/>
    <w:rsid w:val="00A96DBC"/>
    <w:rsid w:val="00AB4B7C"/>
    <w:rsid w:val="00AB6E3C"/>
    <w:rsid w:val="00AD12E2"/>
    <w:rsid w:val="00AD57AF"/>
    <w:rsid w:val="00AF124A"/>
    <w:rsid w:val="00AF5F0D"/>
    <w:rsid w:val="00B054D4"/>
    <w:rsid w:val="00B06A46"/>
    <w:rsid w:val="00B20404"/>
    <w:rsid w:val="00B204EB"/>
    <w:rsid w:val="00B261ED"/>
    <w:rsid w:val="00B342A1"/>
    <w:rsid w:val="00B34A9D"/>
    <w:rsid w:val="00B3655F"/>
    <w:rsid w:val="00B4252C"/>
    <w:rsid w:val="00B613E5"/>
    <w:rsid w:val="00B64CEC"/>
    <w:rsid w:val="00B66125"/>
    <w:rsid w:val="00B714F3"/>
    <w:rsid w:val="00B821D1"/>
    <w:rsid w:val="00B8501B"/>
    <w:rsid w:val="00B85AFC"/>
    <w:rsid w:val="00BB02BA"/>
    <w:rsid w:val="00BB5491"/>
    <w:rsid w:val="00BE5F36"/>
    <w:rsid w:val="00BF1E7C"/>
    <w:rsid w:val="00BF324F"/>
    <w:rsid w:val="00BF413E"/>
    <w:rsid w:val="00BF7FD5"/>
    <w:rsid w:val="00C01EC9"/>
    <w:rsid w:val="00C14288"/>
    <w:rsid w:val="00C37E35"/>
    <w:rsid w:val="00C41869"/>
    <w:rsid w:val="00C5364B"/>
    <w:rsid w:val="00C6083B"/>
    <w:rsid w:val="00C6531B"/>
    <w:rsid w:val="00C923EF"/>
    <w:rsid w:val="00C97A00"/>
    <w:rsid w:val="00CB0DCE"/>
    <w:rsid w:val="00CB174F"/>
    <w:rsid w:val="00CB7DF7"/>
    <w:rsid w:val="00CB7E25"/>
    <w:rsid w:val="00CC0854"/>
    <w:rsid w:val="00CD52D8"/>
    <w:rsid w:val="00CF0F9D"/>
    <w:rsid w:val="00D05B89"/>
    <w:rsid w:val="00D061AE"/>
    <w:rsid w:val="00D21C57"/>
    <w:rsid w:val="00D2204B"/>
    <w:rsid w:val="00D26A04"/>
    <w:rsid w:val="00D42596"/>
    <w:rsid w:val="00D64731"/>
    <w:rsid w:val="00D715D6"/>
    <w:rsid w:val="00D74D65"/>
    <w:rsid w:val="00D77806"/>
    <w:rsid w:val="00DB6686"/>
    <w:rsid w:val="00DD1839"/>
    <w:rsid w:val="00DF749C"/>
    <w:rsid w:val="00E157B6"/>
    <w:rsid w:val="00E27731"/>
    <w:rsid w:val="00E36099"/>
    <w:rsid w:val="00E71929"/>
    <w:rsid w:val="00E943FC"/>
    <w:rsid w:val="00EA2E5F"/>
    <w:rsid w:val="00EA3676"/>
    <w:rsid w:val="00EA5256"/>
    <w:rsid w:val="00EA7925"/>
    <w:rsid w:val="00EB3AC6"/>
    <w:rsid w:val="00EC391E"/>
    <w:rsid w:val="00EC66E7"/>
    <w:rsid w:val="00ED5935"/>
    <w:rsid w:val="00F012AC"/>
    <w:rsid w:val="00F02FF7"/>
    <w:rsid w:val="00F05BF9"/>
    <w:rsid w:val="00F226EC"/>
    <w:rsid w:val="00F34198"/>
    <w:rsid w:val="00F37438"/>
    <w:rsid w:val="00F44909"/>
    <w:rsid w:val="00F5516A"/>
    <w:rsid w:val="00F60DF0"/>
    <w:rsid w:val="00F63356"/>
    <w:rsid w:val="00F71028"/>
    <w:rsid w:val="00F82322"/>
    <w:rsid w:val="00F94384"/>
    <w:rsid w:val="00FA4003"/>
    <w:rsid w:val="00FA720B"/>
    <w:rsid w:val="00FC6476"/>
    <w:rsid w:val="00FF4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235489"/>
  <w15:chartTrackingRefBased/>
  <w15:docId w15:val="{4F5A087A-4B97-47A3-B6F8-6BD67E8DE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7F2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E7F2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E7F2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E7F2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E7F2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E7F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7F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7F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7F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7F2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E7F2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E7F2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E7F2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E7F2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E7F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7F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7F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7F27"/>
    <w:rPr>
      <w:rFonts w:eastAsiaTheme="majorEastAsia" w:cstheme="majorBidi"/>
      <w:color w:val="272727" w:themeColor="text1" w:themeTint="D8"/>
    </w:rPr>
  </w:style>
  <w:style w:type="paragraph" w:styleId="Title">
    <w:name w:val="Title"/>
    <w:basedOn w:val="Normal"/>
    <w:next w:val="Normal"/>
    <w:link w:val="TitleChar"/>
    <w:uiPriority w:val="10"/>
    <w:qFormat/>
    <w:rsid w:val="002E7F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7F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7F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7F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7F27"/>
    <w:pPr>
      <w:spacing w:before="160"/>
      <w:jc w:val="center"/>
    </w:pPr>
    <w:rPr>
      <w:i/>
      <w:iCs/>
      <w:color w:val="404040" w:themeColor="text1" w:themeTint="BF"/>
    </w:rPr>
  </w:style>
  <w:style w:type="character" w:customStyle="1" w:styleId="QuoteChar">
    <w:name w:val="Quote Char"/>
    <w:basedOn w:val="DefaultParagraphFont"/>
    <w:link w:val="Quote"/>
    <w:uiPriority w:val="29"/>
    <w:rsid w:val="002E7F27"/>
    <w:rPr>
      <w:i/>
      <w:iCs/>
      <w:color w:val="404040" w:themeColor="text1" w:themeTint="BF"/>
    </w:rPr>
  </w:style>
  <w:style w:type="paragraph" w:styleId="ListParagraph">
    <w:name w:val="List Paragraph"/>
    <w:basedOn w:val="Normal"/>
    <w:uiPriority w:val="34"/>
    <w:qFormat/>
    <w:rsid w:val="002E7F27"/>
    <w:pPr>
      <w:ind w:left="720"/>
      <w:contextualSpacing/>
    </w:pPr>
  </w:style>
  <w:style w:type="character" w:styleId="IntenseEmphasis">
    <w:name w:val="Intense Emphasis"/>
    <w:basedOn w:val="DefaultParagraphFont"/>
    <w:uiPriority w:val="21"/>
    <w:qFormat/>
    <w:rsid w:val="002E7F27"/>
    <w:rPr>
      <w:i/>
      <w:iCs/>
      <w:color w:val="2F5496" w:themeColor="accent1" w:themeShade="BF"/>
    </w:rPr>
  </w:style>
  <w:style w:type="paragraph" w:styleId="IntenseQuote">
    <w:name w:val="Intense Quote"/>
    <w:basedOn w:val="Normal"/>
    <w:next w:val="Normal"/>
    <w:link w:val="IntenseQuoteChar"/>
    <w:uiPriority w:val="30"/>
    <w:qFormat/>
    <w:rsid w:val="002E7F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E7F27"/>
    <w:rPr>
      <w:i/>
      <w:iCs/>
      <w:color w:val="2F5496" w:themeColor="accent1" w:themeShade="BF"/>
    </w:rPr>
  </w:style>
  <w:style w:type="character" w:styleId="IntenseReference">
    <w:name w:val="Intense Reference"/>
    <w:basedOn w:val="DefaultParagraphFont"/>
    <w:uiPriority w:val="32"/>
    <w:qFormat/>
    <w:rsid w:val="002E7F27"/>
    <w:rPr>
      <w:b/>
      <w:bCs/>
      <w:smallCaps/>
      <w:color w:val="2F5496" w:themeColor="accent1" w:themeShade="BF"/>
      <w:spacing w:val="5"/>
    </w:rPr>
  </w:style>
  <w:style w:type="character" w:styleId="Hyperlink">
    <w:name w:val="Hyperlink"/>
    <w:basedOn w:val="DefaultParagraphFont"/>
    <w:uiPriority w:val="99"/>
    <w:unhideWhenUsed/>
    <w:rsid w:val="002E2E7A"/>
    <w:rPr>
      <w:color w:val="0563C1" w:themeColor="hyperlink"/>
      <w:u w:val="single"/>
    </w:rPr>
  </w:style>
  <w:style w:type="character" w:styleId="UnresolvedMention">
    <w:name w:val="Unresolved Mention"/>
    <w:basedOn w:val="DefaultParagraphFont"/>
    <w:uiPriority w:val="99"/>
    <w:semiHidden/>
    <w:unhideWhenUsed/>
    <w:rsid w:val="002E2E7A"/>
    <w:rPr>
      <w:color w:val="605E5C"/>
      <w:shd w:val="clear" w:color="auto" w:fill="E1DFDD"/>
    </w:rPr>
  </w:style>
  <w:style w:type="paragraph" w:styleId="FootnoteText">
    <w:name w:val="footnote text"/>
    <w:basedOn w:val="Normal"/>
    <w:link w:val="FootnoteTextChar"/>
    <w:uiPriority w:val="99"/>
    <w:semiHidden/>
    <w:unhideWhenUsed/>
    <w:rsid w:val="002E35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E35DD"/>
    <w:rPr>
      <w:sz w:val="20"/>
      <w:szCs w:val="20"/>
    </w:rPr>
  </w:style>
  <w:style w:type="character" w:styleId="FootnoteReference">
    <w:name w:val="footnote reference"/>
    <w:basedOn w:val="DefaultParagraphFont"/>
    <w:uiPriority w:val="99"/>
    <w:semiHidden/>
    <w:unhideWhenUsed/>
    <w:rsid w:val="002E35DD"/>
    <w:rPr>
      <w:vertAlign w:val="superscript"/>
    </w:rPr>
  </w:style>
  <w:style w:type="paragraph" w:styleId="NormalWeb">
    <w:name w:val="Normal (Web)"/>
    <w:basedOn w:val="Normal"/>
    <w:uiPriority w:val="99"/>
    <w:semiHidden/>
    <w:unhideWhenUsed/>
    <w:rsid w:val="00332B1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4647001221119995"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jewishencyclopedia.com/articles/759-adam-book-o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17/S0360966900011920" TargetMode="External"/><Relationship Id="rId11" Type="http://schemas.openxmlformats.org/officeDocument/2006/relationships/hyperlink" Target="https://jstor.org/stable/community.12356401.%20Accessed%202%20Mar.%202026" TargetMode="External"/><Relationship Id="rId5" Type="http://schemas.openxmlformats.org/officeDocument/2006/relationships/endnotes" Target="endnotes.xml"/><Relationship Id="rId10" Type="http://schemas.openxmlformats.org/officeDocument/2006/relationships/hyperlink" Target="https://doi.org/10.2307/350810" TargetMode="External"/><Relationship Id="rId4" Type="http://schemas.openxmlformats.org/officeDocument/2006/relationships/footnotes" Target="footnotes.xml"/><Relationship Id="rId9" Type="http://schemas.openxmlformats.org/officeDocument/2006/relationships/hyperlink" Target="https://doi.org/10.1093/oso/9780190604981.001.0001"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biblegateway.com/passage/?search=genesis%201%3A31&amp;version=NRSVUE" TargetMode="External"/><Relationship Id="rId3" Type="http://schemas.openxmlformats.org/officeDocument/2006/relationships/hyperlink" Target="https://www.biblegateway.com/passage/?search=genesis%203%3A11-12&amp;version=NRSVUE" TargetMode="External"/><Relationship Id="rId7" Type="http://schemas.openxmlformats.org/officeDocument/2006/relationships/hyperlink" Target="https://www.biblegateway.com/passage/?search=genesis%201%3A26%20-%2031&amp;version=NRSVUE" TargetMode="External"/><Relationship Id="rId2" Type="http://schemas.openxmlformats.org/officeDocument/2006/relationships/hyperlink" Target="https://www.biblegateway.com/passage/?search=genesis%202%3A22-23&amp;version=NRSVUE" TargetMode="External"/><Relationship Id="rId1" Type="http://schemas.openxmlformats.org/officeDocument/2006/relationships/hyperlink" Target="https://www.biblegateway.com/passage/?search=genesis%202%3A7&amp;version=NRSVUE" TargetMode="External"/><Relationship Id="rId6" Type="http://schemas.openxmlformats.org/officeDocument/2006/relationships/hyperlink" Target="https://www.biblegateway.com/passage/?search=Hebrews%2011%3A3&amp;version=NRSVUE" TargetMode="External"/><Relationship Id="rId5" Type="http://schemas.openxmlformats.org/officeDocument/2006/relationships/hyperlink" Target="https://www.biblegateway.com/passage/?search=genesis%201%3A1%20-%2026&amp;version=NRSVUE" TargetMode="External"/><Relationship Id="rId4" Type="http://schemas.openxmlformats.org/officeDocument/2006/relationships/hyperlink" Target="https://www.biblegateway.com/passage/?search=genesis%203%3A16&amp;version=NRSV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6046</TotalTime>
  <Pages>6</Pages>
  <Words>1813</Words>
  <Characters>9574</Characters>
  <Application>Microsoft Office Word</Application>
  <DocSecurity>0</DocSecurity>
  <Lines>165</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Marcus Chick</dc:creator>
  <cp:keywords/>
  <dc:description/>
  <cp:lastModifiedBy>Marcus Chick</cp:lastModifiedBy>
  <cp:revision>258</cp:revision>
  <dcterms:created xsi:type="dcterms:W3CDTF">2026-02-12T13:56:00Z</dcterms:created>
  <dcterms:modified xsi:type="dcterms:W3CDTF">2026-03-16T21:28:00Z</dcterms:modified>
</cp:coreProperties>
</file>