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089D0" w14:textId="77777777" w:rsidR="00D8149A" w:rsidRDefault="00D8149A">
      <w:pPr>
        <w:pStyle w:val="NormalWeb"/>
        <w:spacing w:before="0" w:beforeAutospacing="0" w:after="0" w:afterAutospacing="0" w:line="216" w:lineRule="auto"/>
      </w:pPr>
      <w:r>
        <w:rPr>
          <w:rFonts w:ascii="Cambria" w:eastAsia="Cambria" w:hAnsi="Cambria" w:cs="Cambria"/>
          <w:color w:val="000000"/>
          <w:kern w:val="2"/>
          <w:sz w:val="22"/>
          <w:szCs w:val="22"/>
        </w:rPr>
        <w:t xml:space="preserve">Please Choose one of the following statements </w:t>
      </w:r>
      <w:r>
        <w:rPr>
          <w:rFonts w:ascii="Cambria" w:eastAsia="Cambria" w:hAnsi="Cambria" w:cs="Cambria"/>
          <w:b/>
          <w:bCs/>
          <w:color w:val="000000"/>
          <w:kern w:val="2"/>
          <w:sz w:val="22"/>
          <w:szCs w:val="22"/>
        </w:rPr>
        <w:t>[DELETE AS APPROPRIATE]</w:t>
      </w:r>
      <w:r>
        <w:rPr>
          <w:rFonts w:ascii="Cambria" w:eastAsia="Cambria" w:hAnsi="Cambria" w:cs="Cambria"/>
          <w:color w:val="000000"/>
          <w:kern w:val="2"/>
          <w:sz w:val="22"/>
          <w:szCs w:val="22"/>
        </w:rPr>
        <w:t xml:space="preserve"> </w:t>
      </w:r>
    </w:p>
    <w:p w14:paraId="2843B8F2" w14:textId="77777777" w:rsidR="00D8149A" w:rsidRDefault="00D8149A">
      <w:pPr>
        <w:pStyle w:val="NormalWeb"/>
        <w:spacing w:before="0" w:beforeAutospacing="0" w:after="0" w:afterAutospacing="0" w:line="216" w:lineRule="auto"/>
      </w:pPr>
      <w:r>
        <w:rPr>
          <w:rFonts w:ascii="Cambria" w:eastAsia="Cambria" w:hAnsi="Cambria" w:cs="Cambria"/>
          <w:color w:val="000000"/>
          <w:kern w:val="2"/>
          <w:sz w:val="22"/>
          <w:szCs w:val="22"/>
        </w:rPr>
        <w:t xml:space="preserve">  </w:t>
      </w:r>
    </w:p>
    <w:p w14:paraId="491AE139" w14:textId="77777777" w:rsidR="00D8149A" w:rsidRDefault="00D8149A">
      <w:pPr>
        <w:pStyle w:val="NormalWeb"/>
        <w:spacing w:before="0" w:beforeAutospacing="0" w:after="0" w:afterAutospacing="0" w:line="216" w:lineRule="auto"/>
      </w:pPr>
      <w:r>
        <w:rPr>
          <w:rFonts w:ascii="Cambria" w:eastAsia="Cambria" w:hAnsi="Cambria" w:cs="Cambria"/>
          <w:color w:val="000000"/>
          <w:kern w:val="2"/>
          <w:sz w:val="22"/>
          <w:szCs w:val="22"/>
        </w:rPr>
        <w:t xml:space="preserve">a.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73F2239" w14:textId="77777777" w:rsidR="00D8149A" w:rsidRDefault="00D8149A">
      <w:pPr>
        <w:pStyle w:val="NormalWeb"/>
        <w:spacing w:before="0" w:beforeAutospacing="0" w:after="0" w:afterAutospacing="0" w:line="216" w:lineRule="auto"/>
      </w:pPr>
      <w:r>
        <w:rPr>
          <w:rFonts w:ascii="Cambria" w:eastAsia="Cambria" w:hAnsi="Cambria" w:cs="Cambria"/>
          <w:color w:val="000000"/>
          <w:kern w:val="2"/>
          <w:sz w:val="22"/>
          <w:szCs w:val="22"/>
        </w:rPr>
        <w:t xml:space="preserve">  </w:t>
      </w:r>
    </w:p>
    <w:p w14:paraId="7E2A1C97" w14:textId="61E34E47" w:rsidR="008C7359" w:rsidRPr="00504BEE" w:rsidRDefault="008C7359" w:rsidP="008C7359">
      <w:pPr>
        <w:spacing w:before="100" w:beforeAutospacing="1" w:after="100" w:afterAutospacing="1" w:line="240" w:lineRule="auto"/>
        <w:rPr>
          <w:rFonts w:cs="Times New Roman"/>
          <w:kern w:val="0"/>
          <w14:ligatures w14:val="none"/>
        </w:rPr>
      </w:pPr>
    </w:p>
    <w:p w14:paraId="3097D78D" w14:textId="30F91997" w:rsidR="008C7359" w:rsidRPr="00632AE1" w:rsidRDefault="008C7359" w:rsidP="006C6027">
      <w:pPr>
        <w:spacing w:before="100" w:beforeAutospacing="1" w:after="100" w:afterAutospacing="1" w:line="360" w:lineRule="auto"/>
        <w:outlineLvl w:val="1"/>
        <w:rPr>
          <w:rFonts w:eastAsia="Times New Roman" w:cs="Times New Roman"/>
          <w:b/>
          <w:bCs/>
          <w:kern w:val="0"/>
          <w14:ligatures w14:val="none"/>
        </w:rPr>
      </w:pPr>
      <w:r w:rsidRPr="00632AE1">
        <w:rPr>
          <w:rFonts w:eastAsia="Times New Roman" w:cs="Times New Roman"/>
          <w:b/>
          <w:bCs/>
          <w:kern w:val="0"/>
          <w14:ligatures w14:val="none"/>
        </w:rPr>
        <w:t xml:space="preserve">Section 1: </w:t>
      </w:r>
      <w:r w:rsidR="007E5E89" w:rsidRPr="00632AE1">
        <w:rPr>
          <w:rFonts w:eastAsia="Times New Roman" w:cs="Times New Roman"/>
          <w:b/>
          <w:bCs/>
          <w:kern w:val="0"/>
          <w14:ligatures w14:val="none"/>
        </w:rPr>
        <w:t xml:space="preserve">Evidence of a clear understanding of the importance of a variety of play types. The </w:t>
      </w:r>
      <w:r w:rsidR="00887B0C" w:rsidRPr="00632AE1">
        <w:rPr>
          <w:rFonts w:eastAsia="Times New Roman" w:cs="Times New Roman"/>
          <w:b/>
          <w:bCs/>
          <w:kern w:val="0"/>
          <w14:ligatures w14:val="none"/>
        </w:rPr>
        <w:t>significance of holistic play should also be considered (750 words).</w:t>
      </w:r>
    </w:p>
    <w:p w14:paraId="55145101" w14:textId="6799069F"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The Welsh Government (2014) defines play as independent, self</w:t>
      </w:r>
      <w:r w:rsidR="005A18CC" w:rsidRPr="006C6027">
        <w:rPr>
          <w:rStyle w:val="s1"/>
          <w:rFonts w:asciiTheme="minorHAnsi" w:hAnsiTheme="minorHAnsi"/>
        </w:rPr>
        <w:t xml:space="preserve"> directed</w:t>
      </w:r>
      <w:r w:rsidRPr="006C6027">
        <w:rPr>
          <w:rStyle w:val="s1"/>
          <w:rFonts w:asciiTheme="minorHAnsi" w:hAnsiTheme="minorHAnsi"/>
        </w:rPr>
        <w:t xml:space="preserve"> and intrinsically motivated. It is </w:t>
      </w:r>
      <w:r w:rsidR="004477DF" w:rsidRPr="006C6027">
        <w:rPr>
          <w:rStyle w:val="s1"/>
          <w:rFonts w:asciiTheme="minorHAnsi" w:hAnsiTheme="minorHAnsi"/>
        </w:rPr>
        <w:t xml:space="preserve">commonly </w:t>
      </w:r>
      <w:r w:rsidRPr="006C6027">
        <w:rPr>
          <w:rStyle w:val="s1"/>
          <w:rFonts w:asciiTheme="minorHAnsi" w:hAnsiTheme="minorHAnsi"/>
        </w:rPr>
        <w:t xml:space="preserve">acknowledged that play </w:t>
      </w:r>
      <w:r w:rsidR="002009CC" w:rsidRPr="006C6027">
        <w:rPr>
          <w:rStyle w:val="s1"/>
          <w:rFonts w:asciiTheme="minorHAnsi" w:hAnsiTheme="minorHAnsi"/>
        </w:rPr>
        <w:t>is a vital part of</w:t>
      </w:r>
      <w:r w:rsidRPr="006C6027">
        <w:rPr>
          <w:rStyle w:val="s1"/>
          <w:rFonts w:asciiTheme="minorHAnsi" w:hAnsiTheme="minorHAnsi"/>
        </w:rPr>
        <w:t xml:space="preserve"> children’s learning and development across all</w:t>
      </w:r>
      <w:r w:rsidR="002009CC" w:rsidRPr="006C6027">
        <w:rPr>
          <w:rStyle w:val="s1"/>
          <w:rFonts w:asciiTheme="minorHAnsi" w:hAnsiTheme="minorHAnsi"/>
        </w:rPr>
        <w:t xml:space="preserve"> areas</w:t>
      </w:r>
      <w:r w:rsidRPr="006C6027">
        <w:rPr>
          <w:rStyle w:val="s1"/>
          <w:rFonts w:asciiTheme="minorHAnsi" w:hAnsiTheme="minorHAnsi"/>
        </w:rPr>
        <w:t xml:space="preserve">. </w:t>
      </w:r>
      <w:r w:rsidR="00B83844" w:rsidRPr="006C6027">
        <w:rPr>
          <w:rStyle w:val="s1"/>
          <w:rFonts w:asciiTheme="minorHAnsi" w:hAnsiTheme="minorHAnsi"/>
        </w:rPr>
        <w:t xml:space="preserve">Play is not </w:t>
      </w:r>
      <w:r w:rsidR="0031644D" w:rsidRPr="006C6027">
        <w:rPr>
          <w:rStyle w:val="s1"/>
          <w:rFonts w:asciiTheme="minorHAnsi" w:hAnsiTheme="minorHAnsi"/>
        </w:rPr>
        <w:t>separate to learning, it supports</w:t>
      </w:r>
      <w:r w:rsidRPr="006C6027">
        <w:rPr>
          <w:rStyle w:val="s1"/>
          <w:rFonts w:asciiTheme="minorHAnsi" w:hAnsiTheme="minorHAnsi"/>
        </w:rPr>
        <w:t xml:space="preserve"> cognitive, physical, social and emotional growth</w:t>
      </w:r>
      <w:r w:rsidR="00B97FC5" w:rsidRPr="006C6027">
        <w:rPr>
          <w:rStyle w:val="s1"/>
          <w:rFonts w:asciiTheme="minorHAnsi" w:hAnsiTheme="minorHAnsi"/>
        </w:rPr>
        <w:t xml:space="preserve"> all at the same time</w:t>
      </w:r>
      <w:r w:rsidRPr="006C6027">
        <w:rPr>
          <w:rStyle w:val="s1"/>
          <w:rFonts w:asciiTheme="minorHAnsi" w:hAnsiTheme="minorHAnsi"/>
        </w:rPr>
        <w:t>, contributing to holistic development. This section focuses on physical and creative play, analysing how each supports children’s overall development and how they can be effectively facilitated in practice (Siraj-Blatchford, 2009; Whitebread, 2012).</w:t>
      </w:r>
    </w:p>
    <w:p w14:paraId="184658CC" w14:textId="09F788A4"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Physical play involves moving the body and actively engaging with the environment. It </w:t>
      </w:r>
      <w:r w:rsidR="00A50A31" w:rsidRPr="006C6027">
        <w:rPr>
          <w:rStyle w:val="s1"/>
          <w:rFonts w:asciiTheme="minorHAnsi" w:hAnsiTheme="minorHAnsi"/>
        </w:rPr>
        <w:t xml:space="preserve">involves </w:t>
      </w:r>
      <w:r w:rsidRPr="006C6027">
        <w:rPr>
          <w:rStyle w:val="s1"/>
          <w:rFonts w:asciiTheme="minorHAnsi" w:hAnsiTheme="minorHAnsi"/>
        </w:rPr>
        <w:t xml:space="preserve">fine motor skills such as </w:t>
      </w:r>
      <w:r w:rsidR="00FD5C75" w:rsidRPr="006C6027">
        <w:rPr>
          <w:rStyle w:val="s1"/>
          <w:rFonts w:asciiTheme="minorHAnsi" w:hAnsiTheme="minorHAnsi"/>
        </w:rPr>
        <w:t>holding</w:t>
      </w:r>
      <w:r w:rsidRPr="006C6027">
        <w:rPr>
          <w:rStyle w:val="s1"/>
          <w:rFonts w:asciiTheme="minorHAnsi" w:hAnsiTheme="minorHAnsi"/>
        </w:rPr>
        <w:t xml:space="preserve"> materials </w:t>
      </w:r>
      <w:r w:rsidR="007E5814" w:rsidRPr="006C6027">
        <w:rPr>
          <w:rStyle w:val="s1"/>
          <w:rFonts w:asciiTheme="minorHAnsi" w:hAnsiTheme="minorHAnsi"/>
        </w:rPr>
        <w:t xml:space="preserve">as well as </w:t>
      </w:r>
      <w:r w:rsidRPr="006C6027">
        <w:rPr>
          <w:rStyle w:val="s1"/>
          <w:rFonts w:asciiTheme="minorHAnsi" w:hAnsiTheme="minorHAnsi"/>
        </w:rPr>
        <w:t>gross motor activities including running, climbing, and jumping (Bottrill, 2018; Whitebread, 2012). Although physical play can take place in both structured and unstructured environments, it is most beneficial when it is child</w:t>
      </w:r>
      <w:r w:rsidR="00EA4086" w:rsidRPr="006C6027">
        <w:rPr>
          <w:rStyle w:val="s1"/>
          <w:rFonts w:asciiTheme="minorHAnsi" w:hAnsiTheme="minorHAnsi"/>
        </w:rPr>
        <w:t xml:space="preserve"> </w:t>
      </w:r>
      <w:r w:rsidRPr="006C6027">
        <w:rPr>
          <w:rStyle w:val="s1"/>
          <w:rFonts w:asciiTheme="minorHAnsi" w:hAnsiTheme="minorHAnsi"/>
        </w:rPr>
        <w:t xml:space="preserve">led and intrinsically motivated. Through </w:t>
      </w:r>
      <w:r w:rsidR="00EA4086" w:rsidRPr="006C6027">
        <w:rPr>
          <w:rStyle w:val="s1"/>
          <w:rFonts w:asciiTheme="minorHAnsi" w:hAnsiTheme="minorHAnsi"/>
        </w:rPr>
        <w:t xml:space="preserve">these </w:t>
      </w:r>
      <w:r w:rsidRPr="006C6027">
        <w:rPr>
          <w:rStyle w:val="s1"/>
          <w:rFonts w:asciiTheme="minorHAnsi" w:hAnsiTheme="minorHAnsi"/>
        </w:rPr>
        <w:t xml:space="preserve">experiences, children develop spatial awareness, coordination, balance and muscle strength. Fine motor control is also strengthened, laying the foundation for </w:t>
      </w:r>
      <w:r w:rsidR="00AF7252" w:rsidRPr="006C6027">
        <w:rPr>
          <w:rStyle w:val="s1"/>
          <w:rFonts w:asciiTheme="minorHAnsi" w:hAnsiTheme="minorHAnsi"/>
        </w:rPr>
        <w:t xml:space="preserve">challenges </w:t>
      </w:r>
      <w:r w:rsidR="00BF0C68" w:rsidRPr="006C6027">
        <w:rPr>
          <w:rStyle w:val="s1"/>
          <w:rFonts w:asciiTheme="minorHAnsi" w:hAnsiTheme="minorHAnsi"/>
        </w:rPr>
        <w:t>later</w:t>
      </w:r>
      <w:r w:rsidR="00B16B82" w:rsidRPr="006C6027">
        <w:rPr>
          <w:rStyle w:val="s1"/>
          <w:rFonts w:asciiTheme="minorHAnsi" w:hAnsiTheme="minorHAnsi"/>
        </w:rPr>
        <w:t xml:space="preserve"> on in life</w:t>
      </w:r>
      <w:r w:rsidR="00AF7252" w:rsidRPr="006C6027">
        <w:rPr>
          <w:rStyle w:val="s1"/>
          <w:rFonts w:asciiTheme="minorHAnsi" w:hAnsiTheme="minorHAnsi"/>
        </w:rPr>
        <w:t xml:space="preserve"> </w:t>
      </w:r>
      <w:r w:rsidRPr="006C6027">
        <w:rPr>
          <w:rStyle w:val="s1"/>
          <w:rFonts w:asciiTheme="minorHAnsi" w:hAnsiTheme="minorHAnsi"/>
        </w:rPr>
        <w:t>such as writing, dressing and independent self</w:t>
      </w:r>
      <w:r w:rsidR="00F055D0" w:rsidRPr="006C6027">
        <w:rPr>
          <w:rStyle w:val="s1"/>
          <w:rFonts w:asciiTheme="minorHAnsi" w:hAnsiTheme="minorHAnsi"/>
        </w:rPr>
        <w:t xml:space="preserve"> </w:t>
      </w:r>
      <w:r w:rsidRPr="006C6027">
        <w:rPr>
          <w:rStyle w:val="s1"/>
          <w:rFonts w:asciiTheme="minorHAnsi" w:hAnsiTheme="minorHAnsi"/>
        </w:rPr>
        <w:t>care (Bottrill, 2022).</w:t>
      </w:r>
    </w:p>
    <w:p w14:paraId="102C288D" w14:textId="15BA8F56"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Physical play also supports cognitive development. Piaget (1977) explains that children construct knowledge through active engagement with their surroundings. During the sensorimotor and preoperational stages, learning occurs through movement, </w:t>
      </w:r>
      <w:r w:rsidR="00343475" w:rsidRPr="006C6027">
        <w:rPr>
          <w:rStyle w:val="s1"/>
          <w:rFonts w:asciiTheme="minorHAnsi" w:hAnsiTheme="minorHAnsi"/>
        </w:rPr>
        <w:t>exploration,</w:t>
      </w:r>
      <w:r w:rsidRPr="006C6027">
        <w:rPr>
          <w:rStyle w:val="s1"/>
          <w:rFonts w:asciiTheme="minorHAnsi" w:hAnsiTheme="minorHAnsi"/>
        </w:rPr>
        <w:t xml:space="preserve"> and interaction. For example, when </w:t>
      </w:r>
      <w:r w:rsidR="00B16B82" w:rsidRPr="006C6027">
        <w:rPr>
          <w:rStyle w:val="s1"/>
          <w:rFonts w:asciiTheme="minorHAnsi" w:hAnsiTheme="minorHAnsi"/>
        </w:rPr>
        <w:t xml:space="preserve">taking part in </w:t>
      </w:r>
      <w:r w:rsidRPr="006C6027">
        <w:rPr>
          <w:rStyle w:val="s1"/>
          <w:rFonts w:asciiTheme="minorHAnsi" w:hAnsiTheme="minorHAnsi"/>
        </w:rPr>
        <w:t xml:space="preserve">an obstacle course, children </w:t>
      </w:r>
      <w:r w:rsidR="00B16B82" w:rsidRPr="006C6027">
        <w:rPr>
          <w:rStyle w:val="s1"/>
          <w:rFonts w:asciiTheme="minorHAnsi" w:hAnsiTheme="minorHAnsi"/>
        </w:rPr>
        <w:t xml:space="preserve">would </w:t>
      </w:r>
      <w:bookmarkStart w:id="0" w:name="_Int_pJiHsIIH"/>
      <w:r w:rsidR="00B16B82" w:rsidRPr="006C6027">
        <w:rPr>
          <w:rStyle w:val="s1"/>
          <w:rFonts w:asciiTheme="minorHAnsi" w:hAnsiTheme="minorHAnsi"/>
        </w:rPr>
        <w:t>be required</w:t>
      </w:r>
      <w:bookmarkEnd w:id="0"/>
      <w:r w:rsidR="00B16B82" w:rsidRPr="006C6027">
        <w:rPr>
          <w:rStyle w:val="s1"/>
          <w:rFonts w:asciiTheme="minorHAnsi" w:hAnsiTheme="minorHAnsi"/>
        </w:rPr>
        <w:t xml:space="preserve"> to </w:t>
      </w:r>
      <w:r w:rsidRPr="006C6027">
        <w:rPr>
          <w:rStyle w:val="s1"/>
          <w:rFonts w:asciiTheme="minorHAnsi" w:hAnsiTheme="minorHAnsi"/>
        </w:rPr>
        <w:t xml:space="preserve">estimate distance, adjust speed and evaluate potential risks, </w:t>
      </w:r>
      <w:bookmarkStart w:id="1" w:name="_Int_qDsPjnEs"/>
      <w:r w:rsidRPr="006C6027">
        <w:rPr>
          <w:rStyle w:val="s1"/>
          <w:rFonts w:asciiTheme="minorHAnsi" w:hAnsiTheme="minorHAnsi"/>
        </w:rPr>
        <w:t>demonstrating</w:t>
      </w:r>
      <w:bookmarkEnd w:id="1"/>
      <w:r w:rsidRPr="006C6027">
        <w:rPr>
          <w:rStyle w:val="s1"/>
          <w:rFonts w:asciiTheme="minorHAnsi" w:hAnsiTheme="minorHAnsi"/>
        </w:rPr>
        <w:t xml:space="preserve"> planning, sequencing and cognitive flexibility. These experiences enable children to refine and extend existing schemas, thereby promoting intellectual </w:t>
      </w:r>
      <w:r w:rsidRPr="006C6027">
        <w:rPr>
          <w:rStyle w:val="s1"/>
          <w:rFonts w:asciiTheme="minorHAnsi" w:hAnsiTheme="minorHAnsi"/>
        </w:rPr>
        <w:lastRenderedPageBreak/>
        <w:t xml:space="preserve">growth (Frost, 2021). </w:t>
      </w:r>
      <w:r w:rsidR="00941E12" w:rsidRPr="006C6027">
        <w:rPr>
          <w:rStyle w:val="s1"/>
          <w:rFonts w:asciiTheme="minorHAnsi" w:hAnsiTheme="minorHAnsi"/>
        </w:rPr>
        <w:t>Through physical play children</w:t>
      </w:r>
      <w:r w:rsidR="00D736FF" w:rsidRPr="006C6027">
        <w:rPr>
          <w:rStyle w:val="s1"/>
          <w:rFonts w:asciiTheme="minorHAnsi" w:hAnsiTheme="minorHAnsi"/>
        </w:rPr>
        <w:t xml:space="preserve"> sim</w:t>
      </w:r>
      <w:r w:rsidR="0019776B" w:rsidRPr="006C6027">
        <w:rPr>
          <w:rStyle w:val="s1"/>
          <w:rFonts w:asciiTheme="minorHAnsi" w:hAnsiTheme="minorHAnsi"/>
        </w:rPr>
        <w:t>ultaneously develop moto skills and cognitive abilities.</w:t>
      </w:r>
    </w:p>
    <w:p w14:paraId="1FB2B57D" w14:textId="2528FD4F"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Vygotsky’s (1978) sociocultural theory further highlights the role of interaction in learning. Within the Zone of Proximal Development (ZPD), children can </w:t>
      </w:r>
      <w:r w:rsidR="0019776B" w:rsidRPr="006C6027">
        <w:rPr>
          <w:rStyle w:val="s1"/>
          <w:rFonts w:asciiTheme="minorHAnsi" w:hAnsiTheme="minorHAnsi"/>
        </w:rPr>
        <w:t>carry out</w:t>
      </w:r>
      <w:r w:rsidRPr="006C6027">
        <w:rPr>
          <w:rStyle w:val="s1"/>
          <w:rFonts w:asciiTheme="minorHAnsi" w:hAnsiTheme="minorHAnsi"/>
        </w:rPr>
        <w:t xml:space="preserve"> tasks with guidance that they can</w:t>
      </w:r>
      <w:r w:rsidR="009602C6" w:rsidRPr="006C6027">
        <w:rPr>
          <w:rStyle w:val="s1"/>
          <w:rFonts w:asciiTheme="minorHAnsi" w:hAnsiTheme="minorHAnsi"/>
        </w:rPr>
        <w:t xml:space="preserve"> </w:t>
      </w:r>
      <w:r w:rsidRPr="006C6027">
        <w:rPr>
          <w:rStyle w:val="s1"/>
          <w:rFonts w:asciiTheme="minorHAnsi" w:hAnsiTheme="minorHAnsi"/>
        </w:rPr>
        <w:t xml:space="preserve">not yet achieve independently. During physical play, adults can model safe practice, introduce new </w:t>
      </w:r>
      <w:r w:rsidR="00C738CB" w:rsidRPr="006C6027">
        <w:rPr>
          <w:rStyle w:val="s1"/>
          <w:rFonts w:asciiTheme="minorHAnsi" w:hAnsiTheme="minorHAnsi"/>
        </w:rPr>
        <w:t>vocabulary,</w:t>
      </w:r>
      <w:r w:rsidRPr="006C6027">
        <w:rPr>
          <w:rStyle w:val="s1"/>
          <w:rFonts w:asciiTheme="minorHAnsi" w:hAnsiTheme="minorHAnsi"/>
        </w:rPr>
        <w:t xml:space="preserve"> and provide reassurance during challenging activities. This sensitive scaffolding enhances language development, confidence and competence while preserving the child’s autonomy (Siraj-Blatchford, 2009). When appropriately balanced, adult involvement transforms physical play into a socially and cognitively enriched experience.</w:t>
      </w:r>
    </w:p>
    <w:p w14:paraId="7DA84B97" w14:textId="61E5CDC3"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In addition to developmental benefits, physical play is </w:t>
      </w:r>
      <w:r w:rsidR="00873CFC">
        <w:rPr>
          <w:rStyle w:val="s1"/>
          <w:rFonts w:asciiTheme="minorHAnsi" w:hAnsiTheme="minorHAnsi"/>
        </w:rPr>
        <w:t xml:space="preserve">important </w:t>
      </w:r>
      <w:r w:rsidRPr="006C6027">
        <w:rPr>
          <w:rStyle w:val="s1"/>
          <w:rFonts w:asciiTheme="minorHAnsi" w:hAnsiTheme="minorHAnsi"/>
        </w:rPr>
        <w:t>for children’s physical health and long</w:t>
      </w:r>
      <w:r w:rsidR="00C738CB" w:rsidRPr="006C6027">
        <w:rPr>
          <w:rStyle w:val="s1"/>
          <w:rFonts w:asciiTheme="minorHAnsi" w:hAnsiTheme="minorHAnsi"/>
        </w:rPr>
        <w:t xml:space="preserve"> </w:t>
      </w:r>
      <w:r w:rsidRPr="006C6027">
        <w:rPr>
          <w:rStyle w:val="s1"/>
          <w:rFonts w:asciiTheme="minorHAnsi" w:hAnsiTheme="minorHAnsi"/>
        </w:rPr>
        <w:t xml:space="preserve">term wellbeing. Regular movement strengthens cardiovascular health, muscular development, </w:t>
      </w:r>
      <w:r w:rsidR="00770B0C" w:rsidRPr="006C6027">
        <w:rPr>
          <w:rStyle w:val="s1"/>
          <w:rFonts w:asciiTheme="minorHAnsi" w:hAnsiTheme="minorHAnsi"/>
        </w:rPr>
        <w:t>coordination,</w:t>
      </w:r>
      <w:r w:rsidRPr="006C6027">
        <w:rPr>
          <w:rStyle w:val="s1"/>
          <w:rFonts w:asciiTheme="minorHAnsi" w:hAnsiTheme="minorHAnsi"/>
        </w:rPr>
        <w:t xml:space="preserve"> and bone density.</w:t>
      </w:r>
      <w:r w:rsidR="00B00644" w:rsidRPr="006C6027">
        <w:rPr>
          <w:rStyle w:val="s1"/>
          <w:rFonts w:asciiTheme="minorHAnsi" w:hAnsiTheme="minorHAnsi"/>
        </w:rPr>
        <w:t xml:space="preserve"> </w:t>
      </w:r>
      <w:r w:rsidR="00770B0C" w:rsidRPr="006C6027">
        <w:rPr>
          <w:rStyle w:val="s1"/>
          <w:rFonts w:asciiTheme="minorHAnsi" w:hAnsiTheme="minorHAnsi"/>
        </w:rPr>
        <w:t>Sustained</w:t>
      </w:r>
      <w:r w:rsidRPr="006C6027">
        <w:rPr>
          <w:rStyle w:val="s1"/>
          <w:rFonts w:asciiTheme="minorHAnsi" w:hAnsiTheme="minorHAnsi"/>
        </w:rPr>
        <w:t xml:space="preserve"> engagement in active play during early childhood contributes to the prevention of childhood obesity and supports the formation of lifelong healthy lifestyle habits. The World Health </w:t>
      </w:r>
      <w:r w:rsidR="00770B0C" w:rsidRPr="006C6027">
        <w:rPr>
          <w:rStyle w:val="s1"/>
          <w:rFonts w:asciiTheme="minorHAnsi" w:hAnsiTheme="minorHAnsi"/>
        </w:rPr>
        <w:t>Organisation</w:t>
      </w:r>
      <w:r w:rsidRPr="006C6027">
        <w:rPr>
          <w:rStyle w:val="s1"/>
          <w:rFonts w:asciiTheme="minorHAnsi" w:hAnsiTheme="minorHAnsi"/>
        </w:rPr>
        <w:t xml:space="preserve"> (2019) recommends that young children </w:t>
      </w:r>
      <w:r w:rsidR="00770B0C" w:rsidRPr="006C6027">
        <w:rPr>
          <w:rStyle w:val="s1"/>
          <w:rFonts w:asciiTheme="minorHAnsi" w:hAnsiTheme="minorHAnsi"/>
        </w:rPr>
        <w:t>take part</w:t>
      </w:r>
      <w:r w:rsidRPr="006C6027">
        <w:rPr>
          <w:rStyle w:val="s1"/>
          <w:rFonts w:asciiTheme="minorHAnsi" w:hAnsiTheme="minorHAnsi"/>
        </w:rPr>
        <w:t xml:space="preserve"> in daily physical activity to promote healthy growth and </w:t>
      </w:r>
      <w:r w:rsidR="00011142">
        <w:rPr>
          <w:rStyle w:val="s1"/>
          <w:rFonts w:asciiTheme="minorHAnsi" w:hAnsiTheme="minorHAnsi"/>
        </w:rPr>
        <w:t xml:space="preserve">decrease </w:t>
      </w:r>
      <w:r w:rsidRPr="006C6027">
        <w:rPr>
          <w:rStyle w:val="s1"/>
          <w:rFonts w:asciiTheme="minorHAnsi" w:hAnsiTheme="minorHAnsi"/>
        </w:rPr>
        <w:t xml:space="preserve">the risk of obesity. Similarly, the Department of Health and Social Care (2019) emphasises that early movement experiences </w:t>
      </w:r>
      <w:bookmarkStart w:id="2" w:name="_Int_DEknv3jZ"/>
      <w:r w:rsidRPr="006C6027">
        <w:rPr>
          <w:rStyle w:val="s1"/>
          <w:rFonts w:asciiTheme="minorHAnsi" w:hAnsiTheme="minorHAnsi"/>
        </w:rPr>
        <w:t>establish</w:t>
      </w:r>
      <w:bookmarkEnd w:id="2"/>
      <w:r w:rsidRPr="006C6027">
        <w:rPr>
          <w:rStyle w:val="s1"/>
          <w:rFonts w:asciiTheme="minorHAnsi" w:hAnsiTheme="minorHAnsi"/>
        </w:rPr>
        <w:t xml:space="preserve"> </w:t>
      </w:r>
      <w:r w:rsidR="00E24A2D">
        <w:rPr>
          <w:rStyle w:val="s1"/>
          <w:rFonts w:asciiTheme="minorHAnsi" w:hAnsiTheme="minorHAnsi"/>
        </w:rPr>
        <w:t xml:space="preserve">enthusiasm </w:t>
      </w:r>
      <w:r w:rsidRPr="006C6027">
        <w:rPr>
          <w:rStyle w:val="s1"/>
          <w:rFonts w:asciiTheme="minorHAnsi" w:hAnsiTheme="minorHAnsi"/>
        </w:rPr>
        <w:t>towards physical activity that can continue into adolescence and adulthood. By embedding daily opportunities for energetic, child</w:t>
      </w:r>
      <w:r w:rsidR="000815C7" w:rsidRPr="006C6027">
        <w:rPr>
          <w:rStyle w:val="s1"/>
          <w:rFonts w:asciiTheme="minorHAnsi" w:hAnsiTheme="minorHAnsi"/>
        </w:rPr>
        <w:t xml:space="preserve"> </w:t>
      </w:r>
      <w:r w:rsidRPr="006C6027">
        <w:rPr>
          <w:rStyle w:val="s1"/>
          <w:rFonts w:asciiTheme="minorHAnsi" w:hAnsiTheme="minorHAnsi"/>
        </w:rPr>
        <w:t>led physical play, practitioners not only support developmental progress but also contribute to preventative public health outcomes.</w:t>
      </w:r>
    </w:p>
    <w:p w14:paraId="1E938F2F" w14:textId="198F699C"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Emotionally, physical play promotes resilience and self</w:t>
      </w:r>
      <w:r w:rsidR="001F7673" w:rsidRPr="006C6027">
        <w:rPr>
          <w:rStyle w:val="s1"/>
          <w:rFonts w:asciiTheme="minorHAnsi" w:hAnsiTheme="minorHAnsi"/>
        </w:rPr>
        <w:t xml:space="preserve"> </w:t>
      </w:r>
      <w:r w:rsidRPr="006C6027">
        <w:rPr>
          <w:rStyle w:val="s1"/>
          <w:rFonts w:asciiTheme="minorHAnsi" w:hAnsiTheme="minorHAnsi"/>
        </w:rPr>
        <w:t xml:space="preserve">efficacy. Opportunities for </w:t>
      </w:r>
      <w:bookmarkStart w:id="3" w:name="_Int_dl9qiRhp"/>
      <w:r w:rsidR="001F7673" w:rsidRPr="006C6027">
        <w:rPr>
          <w:rStyle w:val="s1"/>
          <w:rFonts w:asciiTheme="minorHAnsi" w:hAnsiTheme="minorHAnsi"/>
        </w:rPr>
        <w:t>monitored</w:t>
      </w:r>
      <w:bookmarkEnd w:id="3"/>
      <w:r w:rsidR="001F7673" w:rsidRPr="006C6027">
        <w:rPr>
          <w:rStyle w:val="s1"/>
          <w:rFonts w:asciiTheme="minorHAnsi" w:hAnsiTheme="minorHAnsi"/>
        </w:rPr>
        <w:t xml:space="preserve"> </w:t>
      </w:r>
      <w:r w:rsidRPr="006C6027">
        <w:rPr>
          <w:rStyle w:val="s1"/>
          <w:rFonts w:asciiTheme="minorHAnsi" w:hAnsiTheme="minorHAnsi"/>
        </w:rPr>
        <w:t>risk</w:t>
      </w:r>
      <w:r w:rsidR="001F7673" w:rsidRPr="006C6027">
        <w:rPr>
          <w:rStyle w:val="s1"/>
          <w:rFonts w:asciiTheme="minorHAnsi" w:hAnsiTheme="minorHAnsi"/>
        </w:rPr>
        <w:t xml:space="preserve"> </w:t>
      </w:r>
      <w:r w:rsidRPr="006C6027">
        <w:rPr>
          <w:rStyle w:val="s1"/>
          <w:rFonts w:asciiTheme="minorHAnsi" w:hAnsiTheme="minorHAnsi"/>
        </w:rPr>
        <w:t xml:space="preserve">taking </w:t>
      </w:r>
      <w:r w:rsidR="001F7673" w:rsidRPr="006C6027">
        <w:rPr>
          <w:rStyle w:val="s1"/>
          <w:rFonts w:asciiTheme="minorHAnsi" w:hAnsiTheme="minorHAnsi"/>
        </w:rPr>
        <w:t xml:space="preserve">allows </w:t>
      </w:r>
      <w:r w:rsidRPr="006C6027">
        <w:rPr>
          <w:rStyle w:val="s1"/>
          <w:rFonts w:asciiTheme="minorHAnsi" w:hAnsiTheme="minorHAnsi"/>
        </w:rPr>
        <w:t>children to overcome fear and develop perseverance, strengthening positive self</w:t>
      </w:r>
      <w:r w:rsidR="00A46406" w:rsidRPr="006C6027">
        <w:rPr>
          <w:rStyle w:val="s1"/>
          <w:rFonts w:asciiTheme="minorHAnsi" w:hAnsiTheme="minorHAnsi"/>
        </w:rPr>
        <w:t xml:space="preserve"> </w:t>
      </w:r>
      <w:r w:rsidRPr="006C6027">
        <w:rPr>
          <w:rStyle w:val="s1"/>
          <w:rFonts w:asciiTheme="minorHAnsi" w:hAnsiTheme="minorHAnsi"/>
        </w:rPr>
        <w:t xml:space="preserve">belief (Whitebread, 2012). Participation in group games fosters cooperation, </w:t>
      </w:r>
      <w:r w:rsidR="008F608C" w:rsidRPr="006C6027">
        <w:rPr>
          <w:rStyle w:val="s1"/>
          <w:rFonts w:asciiTheme="minorHAnsi" w:hAnsiTheme="minorHAnsi"/>
        </w:rPr>
        <w:t>negotiation,</w:t>
      </w:r>
      <w:r w:rsidRPr="006C6027">
        <w:rPr>
          <w:rStyle w:val="s1"/>
          <w:rFonts w:asciiTheme="minorHAnsi" w:hAnsiTheme="minorHAnsi"/>
        </w:rPr>
        <w:t xml:space="preserve"> and shared </w:t>
      </w:r>
      <w:r w:rsidR="00A46406" w:rsidRPr="006C6027">
        <w:rPr>
          <w:rStyle w:val="s1"/>
          <w:rFonts w:asciiTheme="minorHAnsi" w:hAnsiTheme="minorHAnsi"/>
        </w:rPr>
        <w:t>goal setting</w:t>
      </w:r>
      <w:r w:rsidRPr="006C6027">
        <w:rPr>
          <w:rStyle w:val="s1"/>
          <w:rFonts w:asciiTheme="minorHAnsi" w:hAnsiTheme="minorHAnsi"/>
        </w:rPr>
        <w:t xml:space="preserve">. These interactions align with Parten’s (1932) stages of play, as children move </w:t>
      </w:r>
      <w:r w:rsidR="009C2EFD">
        <w:rPr>
          <w:rStyle w:val="s1"/>
          <w:rFonts w:asciiTheme="minorHAnsi" w:hAnsiTheme="minorHAnsi"/>
        </w:rPr>
        <w:t xml:space="preserve">naturally </w:t>
      </w:r>
      <w:r w:rsidRPr="006C6027">
        <w:rPr>
          <w:rStyle w:val="s1"/>
          <w:rFonts w:asciiTheme="minorHAnsi" w:hAnsiTheme="minorHAnsi"/>
        </w:rPr>
        <w:t>between solitary, parallel and cooperative play depending on context and confidence. Physical play therefore contributes to social competence as well as emotional regulation.</w:t>
      </w:r>
    </w:p>
    <w:p w14:paraId="051B06F0" w14:textId="49CDA851"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lastRenderedPageBreak/>
        <w:t xml:space="preserve">Creative play </w:t>
      </w:r>
      <w:r w:rsidR="00C1037F" w:rsidRPr="006C6027">
        <w:rPr>
          <w:rStyle w:val="s1"/>
          <w:rFonts w:asciiTheme="minorHAnsi" w:hAnsiTheme="minorHAnsi"/>
        </w:rPr>
        <w:t>is</w:t>
      </w:r>
      <w:r w:rsidRPr="006C6027">
        <w:rPr>
          <w:rStyle w:val="s1"/>
          <w:rFonts w:asciiTheme="minorHAnsi" w:hAnsiTheme="minorHAnsi"/>
        </w:rPr>
        <w:t xml:space="preserve"> another essential play type supporting holistic development. It incorporates imagination, symbolic </w:t>
      </w:r>
      <w:r w:rsidR="00C1037F" w:rsidRPr="006C6027">
        <w:rPr>
          <w:rStyle w:val="s1"/>
          <w:rFonts w:asciiTheme="minorHAnsi" w:hAnsiTheme="minorHAnsi"/>
        </w:rPr>
        <w:t>representation,</w:t>
      </w:r>
      <w:r w:rsidRPr="006C6027">
        <w:rPr>
          <w:rStyle w:val="s1"/>
          <w:rFonts w:asciiTheme="minorHAnsi" w:hAnsiTheme="minorHAnsi"/>
        </w:rPr>
        <w:t xml:space="preserve"> and self</w:t>
      </w:r>
      <w:r w:rsidR="001854C3" w:rsidRPr="006C6027">
        <w:rPr>
          <w:rStyle w:val="s1"/>
          <w:rFonts w:asciiTheme="minorHAnsi" w:hAnsiTheme="minorHAnsi"/>
        </w:rPr>
        <w:t xml:space="preserve"> </w:t>
      </w:r>
      <w:r w:rsidRPr="006C6027">
        <w:rPr>
          <w:rStyle w:val="s1"/>
          <w:rFonts w:asciiTheme="minorHAnsi" w:hAnsiTheme="minorHAnsi"/>
        </w:rPr>
        <w:t>expression. Activities such as role</w:t>
      </w:r>
      <w:r w:rsidR="001854C3" w:rsidRPr="006C6027">
        <w:rPr>
          <w:rStyle w:val="s1"/>
          <w:rFonts w:asciiTheme="minorHAnsi" w:hAnsiTheme="minorHAnsi"/>
        </w:rPr>
        <w:t xml:space="preserve"> </w:t>
      </w:r>
      <w:r w:rsidRPr="006C6027">
        <w:rPr>
          <w:rStyle w:val="s1"/>
          <w:rFonts w:asciiTheme="minorHAnsi" w:hAnsiTheme="minorHAnsi"/>
        </w:rPr>
        <w:t xml:space="preserve">play, storytelling, </w:t>
      </w:r>
      <w:r w:rsidR="001854C3" w:rsidRPr="006C6027">
        <w:rPr>
          <w:rStyle w:val="s1"/>
          <w:rFonts w:asciiTheme="minorHAnsi" w:hAnsiTheme="minorHAnsi"/>
        </w:rPr>
        <w:t>music,</w:t>
      </w:r>
      <w:r w:rsidRPr="006C6027">
        <w:rPr>
          <w:rStyle w:val="s1"/>
          <w:rFonts w:asciiTheme="minorHAnsi" w:hAnsiTheme="minorHAnsi"/>
        </w:rPr>
        <w:t xml:space="preserve"> and art enable children to </w:t>
      </w:r>
      <w:r w:rsidR="00D2468C" w:rsidRPr="006C6027">
        <w:rPr>
          <w:rStyle w:val="s1"/>
          <w:rFonts w:asciiTheme="minorHAnsi" w:hAnsiTheme="minorHAnsi"/>
        </w:rPr>
        <w:t xml:space="preserve">explore </w:t>
      </w:r>
      <w:r w:rsidR="009E74B6" w:rsidRPr="006C6027">
        <w:rPr>
          <w:rStyle w:val="s1"/>
          <w:rFonts w:asciiTheme="minorHAnsi" w:hAnsiTheme="minorHAnsi"/>
        </w:rPr>
        <w:t>their</w:t>
      </w:r>
      <w:r w:rsidR="00551590" w:rsidRPr="006C6027">
        <w:rPr>
          <w:rStyle w:val="s1"/>
          <w:rFonts w:asciiTheme="minorHAnsi" w:hAnsiTheme="minorHAnsi"/>
        </w:rPr>
        <w:t xml:space="preserve"> interpretation on </w:t>
      </w:r>
      <w:r w:rsidRPr="006C6027">
        <w:rPr>
          <w:rStyle w:val="s1"/>
          <w:rFonts w:asciiTheme="minorHAnsi" w:hAnsiTheme="minorHAnsi"/>
        </w:rPr>
        <w:t>real</w:t>
      </w:r>
      <w:r w:rsidR="00D2468C" w:rsidRPr="006C6027">
        <w:rPr>
          <w:rStyle w:val="s1"/>
          <w:rFonts w:asciiTheme="minorHAnsi" w:hAnsiTheme="minorHAnsi"/>
        </w:rPr>
        <w:t xml:space="preserve"> </w:t>
      </w:r>
      <w:r w:rsidRPr="006C6027">
        <w:rPr>
          <w:rStyle w:val="s1"/>
          <w:rFonts w:asciiTheme="minorHAnsi" w:hAnsiTheme="minorHAnsi"/>
        </w:rPr>
        <w:t xml:space="preserve">life </w:t>
      </w:r>
      <w:r w:rsidR="00551590" w:rsidRPr="006C6027">
        <w:rPr>
          <w:rStyle w:val="s1"/>
          <w:rFonts w:asciiTheme="minorHAnsi" w:hAnsiTheme="minorHAnsi"/>
        </w:rPr>
        <w:t>experiences (</w:t>
      </w:r>
      <w:r w:rsidRPr="006C6027">
        <w:rPr>
          <w:rStyle w:val="s1"/>
          <w:rFonts w:asciiTheme="minorHAnsi" w:hAnsiTheme="minorHAnsi"/>
        </w:rPr>
        <w:t>Bruner, 1966; Moyles, 2015). Creative play is most meaningful when it is child</w:t>
      </w:r>
      <w:r w:rsidR="00367113" w:rsidRPr="006C6027">
        <w:rPr>
          <w:rStyle w:val="s1"/>
          <w:rFonts w:asciiTheme="minorHAnsi" w:hAnsiTheme="minorHAnsi"/>
        </w:rPr>
        <w:t xml:space="preserve"> </w:t>
      </w:r>
      <w:r w:rsidRPr="006C6027">
        <w:rPr>
          <w:rStyle w:val="s1"/>
          <w:rFonts w:asciiTheme="minorHAnsi" w:hAnsiTheme="minorHAnsi"/>
        </w:rPr>
        <w:t>led, although sensitive adult involvement can extend and deepen learning.</w:t>
      </w:r>
    </w:p>
    <w:p w14:paraId="262E527D" w14:textId="69F46F75"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Cognitively, creative play strengthens </w:t>
      </w:r>
      <w:r w:rsidR="00A53495" w:rsidRPr="006C6027">
        <w:rPr>
          <w:rStyle w:val="s1"/>
          <w:rFonts w:asciiTheme="minorHAnsi" w:hAnsiTheme="minorHAnsi"/>
        </w:rPr>
        <w:t xml:space="preserve">logical </w:t>
      </w:r>
      <w:r w:rsidRPr="006C6027">
        <w:rPr>
          <w:rStyle w:val="s1"/>
          <w:rFonts w:asciiTheme="minorHAnsi" w:hAnsiTheme="minorHAnsi"/>
        </w:rPr>
        <w:t xml:space="preserve">thinking, symbolic </w:t>
      </w:r>
      <w:r w:rsidR="00A53495" w:rsidRPr="006C6027">
        <w:rPr>
          <w:rStyle w:val="s1"/>
          <w:rFonts w:asciiTheme="minorHAnsi" w:hAnsiTheme="minorHAnsi"/>
        </w:rPr>
        <w:t>reasoning,</w:t>
      </w:r>
      <w:r w:rsidRPr="006C6027">
        <w:rPr>
          <w:rStyle w:val="s1"/>
          <w:rFonts w:asciiTheme="minorHAnsi" w:hAnsiTheme="minorHAnsi"/>
        </w:rPr>
        <w:t xml:space="preserve"> and problem</w:t>
      </w:r>
      <w:r w:rsidR="00E827F1" w:rsidRPr="006C6027">
        <w:rPr>
          <w:rStyle w:val="s1"/>
          <w:rFonts w:asciiTheme="minorHAnsi" w:hAnsiTheme="minorHAnsi"/>
        </w:rPr>
        <w:t xml:space="preserve"> </w:t>
      </w:r>
      <w:r w:rsidRPr="006C6027">
        <w:rPr>
          <w:rStyle w:val="s1"/>
          <w:rFonts w:asciiTheme="minorHAnsi" w:hAnsiTheme="minorHAnsi"/>
        </w:rPr>
        <w:t xml:space="preserve">solving. During the preoperational stage, Piaget (1977) </w:t>
      </w:r>
      <w:bookmarkStart w:id="4" w:name="_Int_59ed0XBO"/>
      <w:r w:rsidRPr="006C6027">
        <w:rPr>
          <w:rStyle w:val="s1"/>
          <w:rFonts w:asciiTheme="minorHAnsi" w:hAnsiTheme="minorHAnsi"/>
        </w:rPr>
        <w:t>identifies</w:t>
      </w:r>
      <w:bookmarkEnd w:id="4"/>
      <w:r w:rsidRPr="006C6027">
        <w:rPr>
          <w:rStyle w:val="s1"/>
          <w:rFonts w:asciiTheme="minorHAnsi" w:hAnsiTheme="minorHAnsi"/>
        </w:rPr>
        <w:t xml:space="preserve"> symbolic thought as a key developmental milestone, as children begin using mental representations to interpret the world. Through imaginative scenarios, children </w:t>
      </w:r>
      <w:r w:rsidR="00DA2925" w:rsidRPr="006C6027">
        <w:rPr>
          <w:rStyle w:val="s1"/>
          <w:rFonts w:asciiTheme="minorHAnsi" w:hAnsiTheme="minorHAnsi"/>
        </w:rPr>
        <w:t xml:space="preserve">absorb </w:t>
      </w:r>
      <w:r w:rsidRPr="006C6027">
        <w:rPr>
          <w:rStyle w:val="s1"/>
          <w:rFonts w:asciiTheme="minorHAnsi" w:hAnsiTheme="minorHAnsi"/>
        </w:rPr>
        <w:t xml:space="preserve">new experiences and accommodate existing schemas, </w:t>
      </w:r>
      <w:r w:rsidR="00213B48" w:rsidRPr="006C6027">
        <w:rPr>
          <w:rStyle w:val="s1"/>
          <w:rFonts w:asciiTheme="minorHAnsi" w:hAnsiTheme="minorHAnsi"/>
        </w:rPr>
        <w:t xml:space="preserve">therefore </w:t>
      </w:r>
      <w:r w:rsidRPr="006C6027">
        <w:rPr>
          <w:rStyle w:val="s1"/>
          <w:rFonts w:asciiTheme="minorHAnsi" w:hAnsiTheme="minorHAnsi"/>
        </w:rPr>
        <w:t>expanding conceptual understanding (Frost, 2021).</w:t>
      </w:r>
    </w:p>
    <w:p w14:paraId="001D315C" w14:textId="05580DD9"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From a sociocultural perspective, Vygotsky (1978) argued that imaginative play allows children to </w:t>
      </w:r>
      <w:r w:rsidR="009A5C0B" w:rsidRPr="006C6027">
        <w:rPr>
          <w:rStyle w:val="s1"/>
          <w:rFonts w:asciiTheme="minorHAnsi" w:hAnsiTheme="minorHAnsi"/>
        </w:rPr>
        <w:t>work</w:t>
      </w:r>
      <w:r w:rsidRPr="006C6027">
        <w:rPr>
          <w:rStyle w:val="s1"/>
          <w:rFonts w:asciiTheme="minorHAnsi" w:hAnsiTheme="minorHAnsi"/>
        </w:rPr>
        <w:t xml:space="preserve"> beyond their everyday behaviour. When adopting roles such as “teacher” or “parent,” children follow social rules, regulate their </w:t>
      </w:r>
      <w:r w:rsidR="0023719D" w:rsidRPr="006C6027">
        <w:rPr>
          <w:rStyle w:val="s1"/>
          <w:rFonts w:asciiTheme="minorHAnsi" w:hAnsiTheme="minorHAnsi"/>
        </w:rPr>
        <w:t>behaviour,</w:t>
      </w:r>
      <w:r w:rsidRPr="006C6027">
        <w:rPr>
          <w:rStyle w:val="s1"/>
          <w:rFonts w:asciiTheme="minorHAnsi" w:hAnsiTheme="minorHAnsi"/>
        </w:rPr>
        <w:t xml:space="preserve"> and use increasingly sophisticated language. With subtle adult scaffolding, creative play supports development within the ZPD and enhances self</w:t>
      </w:r>
      <w:r w:rsidR="00987649" w:rsidRPr="006C6027">
        <w:rPr>
          <w:rStyle w:val="s1"/>
          <w:rFonts w:asciiTheme="minorHAnsi" w:hAnsiTheme="minorHAnsi"/>
        </w:rPr>
        <w:t xml:space="preserve"> </w:t>
      </w:r>
      <w:r w:rsidRPr="006C6027">
        <w:rPr>
          <w:rStyle w:val="s1"/>
          <w:rFonts w:asciiTheme="minorHAnsi" w:hAnsiTheme="minorHAnsi"/>
        </w:rPr>
        <w:t>regulation (Carr and Lee, 2012).</w:t>
      </w:r>
    </w:p>
    <w:p w14:paraId="126EEF57" w14:textId="217112D6"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Socially, creative play encourages collaboration, </w:t>
      </w:r>
      <w:r w:rsidR="00987649" w:rsidRPr="006C6027">
        <w:rPr>
          <w:rStyle w:val="s1"/>
          <w:rFonts w:asciiTheme="minorHAnsi" w:hAnsiTheme="minorHAnsi"/>
        </w:rPr>
        <w:t>negotiation,</w:t>
      </w:r>
      <w:r w:rsidRPr="006C6027">
        <w:rPr>
          <w:rStyle w:val="s1"/>
          <w:rFonts w:asciiTheme="minorHAnsi" w:hAnsiTheme="minorHAnsi"/>
        </w:rPr>
        <w:t xml:space="preserve"> and shared narrative construction. Children assign roles</w:t>
      </w:r>
      <w:r w:rsidR="00BE006D" w:rsidRPr="006C6027">
        <w:rPr>
          <w:rStyle w:val="s1"/>
          <w:rFonts w:asciiTheme="minorHAnsi" w:hAnsiTheme="minorHAnsi"/>
        </w:rPr>
        <w:t xml:space="preserve"> and </w:t>
      </w:r>
      <w:r w:rsidRPr="006C6027">
        <w:rPr>
          <w:rStyle w:val="s1"/>
          <w:rFonts w:asciiTheme="minorHAnsi" w:hAnsiTheme="minorHAnsi"/>
        </w:rPr>
        <w:t>resolve disagreements</w:t>
      </w:r>
      <w:r w:rsidR="00BE006D" w:rsidRPr="006C6027">
        <w:rPr>
          <w:rStyle w:val="s1"/>
          <w:rFonts w:asciiTheme="minorHAnsi" w:hAnsiTheme="minorHAnsi"/>
        </w:rPr>
        <w:t xml:space="preserve"> </w:t>
      </w:r>
      <w:r w:rsidRPr="006C6027">
        <w:rPr>
          <w:rStyle w:val="s1"/>
          <w:rFonts w:asciiTheme="minorHAnsi" w:hAnsiTheme="minorHAnsi"/>
        </w:rPr>
        <w:t xml:space="preserve">strengthening communication and empathy. Language development is </w:t>
      </w:r>
      <w:r w:rsidR="00C5333F" w:rsidRPr="006C6027">
        <w:rPr>
          <w:rStyle w:val="s1"/>
          <w:rFonts w:asciiTheme="minorHAnsi" w:hAnsiTheme="minorHAnsi"/>
        </w:rPr>
        <w:t xml:space="preserve">also very </w:t>
      </w:r>
      <w:r w:rsidRPr="006C6027">
        <w:rPr>
          <w:rStyle w:val="s1"/>
          <w:rFonts w:asciiTheme="minorHAnsi" w:hAnsiTheme="minorHAnsi"/>
        </w:rPr>
        <w:t xml:space="preserve">evident as children rehearse vocabulary, sequence </w:t>
      </w:r>
      <w:r w:rsidR="00C5333F" w:rsidRPr="006C6027">
        <w:rPr>
          <w:rStyle w:val="s1"/>
          <w:rFonts w:asciiTheme="minorHAnsi" w:hAnsiTheme="minorHAnsi"/>
        </w:rPr>
        <w:t>events,</w:t>
      </w:r>
      <w:r w:rsidRPr="006C6027">
        <w:rPr>
          <w:rStyle w:val="s1"/>
          <w:rFonts w:asciiTheme="minorHAnsi" w:hAnsiTheme="minorHAnsi"/>
        </w:rPr>
        <w:t xml:space="preserve"> and practi</w:t>
      </w:r>
      <w:r w:rsidR="00CC3ED4" w:rsidRPr="006C6027">
        <w:rPr>
          <w:rStyle w:val="s1"/>
          <w:rFonts w:asciiTheme="minorHAnsi" w:hAnsiTheme="minorHAnsi"/>
        </w:rPr>
        <w:t>c</w:t>
      </w:r>
      <w:r w:rsidRPr="006C6027">
        <w:rPr>
          <w:rStyle w:val="s1"/>
          <w:rFonts w:asciiTheme="minorHAnsi" w:hAnsiTheme="minorHAnsi"/>
        </w:rPr>
        <w:t>e perspective</w:t>
      </w:r>
      <w:r w:rsidR="00CC3ED4" w:rsidRPr="006C6027">
        <w:rPr>
          <w:rStyle w:val="s1"/>
          <w:rFonts w:asciiTheme="minorHAnsi" w:hAnsiTheme="minorHAnsi"/>
        </w:rPr>
        <w:t xml:space="preserve"> t</w:t>
      </w:r>
      <w:r w:rsidRPr="006C6027">
        <w:rPr>
          <w:rStyle w:val="s1"/>
          <w:rFonts w:asciiTheme="minorHAnsi" w:hAnsiTheme="minorHAnsi"/>
        </w:rPr>
        <w:t>aking (Verywell Family, 2012). Emotionally, imaginative scenarios provide a safe context in which to explore relationships and experiences, supporting confidence and emotional regulation (Bottrill, 2018).</w:t>
      </w:r>
    </w:p>
    <w:p w14:paraId="753B105A" w14:textId="2B295A35"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To </w:t>
      </w:r>
      <w:bookmarkStart w:id="5" w:name="_Int_DbUqJ7DD"/>
      <w:r w:rsidRPr="006C6027">
        <w:rPr>
          <w:rStyle w:val="s1"/>
          <w:rFonts w:asciiTheme="minorHAnsi" w:hAnsiTheme="minorHAnsi"/>
        </w:rPr>
        <w:t>facilitate</w:t>
      </w:r>
      <w:bookmarkEnd w:id="5"/>
      <w:r w:rsidRPr="006C6027">
        <w:rPr>
          <w:rStyle w:val="s1"/>
          <w:rFonts w:asciiTheme="minorHAnsi" w:hAnsiTheme="minorHAnsi"/>
        </w:rPr>
        <w:t xml:space="preserve"> creative play effectively, practitioners should provide open</w:t>
      </w:r>
      <w:r w:rsidR="00AD1154" w:rsidRPr="006C6027">
        <w:rPr>
          <w:rStyle w:val="s1"/>
          <w:rFonts w:asciiTheme="minorHAnsi" w:hAnsiTheme="minorHAnsi"/>
        </w:rPr>
        <w:t xml:space="preserve"> </w:t>
      </w:r>
      <w:r w:rsidRPr="006C6027">
        <w:rPr>
          <w:rStyle w:val="s1"/>
          <w:rFonts w:asciiTheme="minorHAnsi" w:hAnsiTheme="minorHAnsi"/>
        </w:rPr>
        <w:t>ended resources that stimulate imagination without imposing outcomes. Adults can extend thinking through open</w:t>
      </w:r>
      <w:r w:rsidR="00D306CC" w:rsidRPr="006C6027">
        <w:rPr>
          <w:rStyle w:val="s1"/>
          <w:rFonts w:asciiTheme="minorHAnsi" w:hAnsiTheme="minorHAnsi"/>
        </w:rPr>
        <w:t xml:space="preserve"> </w:t>
      </w:r>
      <w:r w:rsidRPr="006C6027">
        <w:rPr>
          <w:rStyle w:val="s1"/>
          <w:rFonts w:asciiTheme="minorHAnsi" w:hAnsiTheme="minorHAnsi"/>
        </w:rPr>
        <w:t xml:space="preserve">ended questioning and language modelling, consistent with Vygotsky’s (1978) scaffolding principles. By valuing the process rather than the finished </w:t>
      </w:r>
      <w:r w:rsidRPr="006C6027">
        <w:rPr>
          <w:rStyle w:val="s1"/>
          <w:rFonts w:asciiTheme="minorHAnsi" w:hAnsiTheme="minorHAnsi"/>
        </w:rPr>
        <w:lastRenderedPageBreak/>
        <w:t xml:space="preserve">product, practitioners preserve child ownership while promoting cognitive, </w:t>
      </w:r>
      <w:r w:rsidR="00D306CC" w:rsidRPr="006C6027">
        <w:rPr>
          <w:rStyle w:val="s1"/>
          <w:rFonts w:asciiTheme="minorHAnsi" w:hAnsiTheme="minorHAnsi"/>
        </w:rPr>
        <w:t>social,</w:t>
      </w:r>
      <w:r w:rsidRPr="006C6027">
        <w:rPr>
          <w:rStyle w:val="s1"/>
          <w:rFonts w:asciiTheme="minorHAnsi" w:hAnsiTheme="minorHAnsi"/>
        </w:rPr>
        <w:t xml:space="preserve"> and emotional growth (Moyles, 2015).</w:t>
      </w:r>
    </w:p>
    <w:p w14:paraId="759185E3" w14:textId="4895B612" w:rsidR="00E94C97" w:rsidRPr="006C6027" w:rsidRDefault="00E94C97" w:rsidP="006C6027">
      <w:pPr>
        <w:pStyle w:val="p1"/>
        <w:spacing w:line="360" w:lineRule="auto"/>
        <w:rPr>
          <w:rFonts w:asciiTheme="minorHAnsi" w:hAnsiTheme="minorHAnsi"/>
        </w:rPr>
      </w:pPr>
      <w:r w:rsidRPr="006C6027">
        <w:rPr>
          <w:rStyle w:val="s1"/>
          <w:rFonts w:asciiTheme="minorHAnsi" w:hAnsiTheme="minorHAnsi"/>
        </w:rPr>
        <w:t xml:space="preserve">Overall, both physical and creative play make significant contributions to holistic development. Physical play strengthens </w:t>
      </w:r>
      <w:r w:rsidR="00F27EE4" w:rsidRPr="006C6027">
        <w:rPr>
          <w:rStyle w:val="s1"/>
          <w:rFonts w:asciiTheme="minorHAnsi" w:hAnsiTheme="minorHAnsi"/>
        </w:rPr>
        <w:t xml:space="preserve">physical coordination, </w:t>
      </w:r>
      <w:r w:rsidR="00D306CC" w:rsidRPr="006C6027">
        <w:rPr>
          <w:rStyle w:val="s1"/>
          <w:rFonts w:asciiTheme="minorHAnsi" w:hAnsiTheme="minorHAnsi"/>
        </w:rPr>
        <w:t>resilience,</w:t>
      </w:r>
      <w:r w:rsidRPr="006C6027">
        <w:rPr>
          <w:rStyle w:val="s1"/>
          <w:rFonts w:asciiTheme="minorHAnsi" w:hAnsiTheme="minorHAnsi"/>
        </w:rPr>
        <w:t xml:space="preserve"> and health, </w:t>
      </w:r>
      <w:r w:rsidR="00F27EE4" w:rsidRPr="006C6027">
        <w:rPr>
          <w:rStyle w:val="s1"/>
          <w:rFonts w:asciiTheme="minorHAnsi" w:hAnsiTheme="minorHAnsi"/>
        </w:rPr>
        <w:t xml:space="preserve">such as </w:t>
      </w:r>
      <w:r w:rsidRPr="006C6027">
        <w:rPr>
          <w:rStyle w:val="s1"/>
          <w:rFonts w:asciiTheme="minorHAnsi" w:hAnsiTheme="minorHAnsi"/>
        </w:rPr>
        <w:t xml:space="preserve">the prevention of obesity and the promotion of lifelong wellbeing, while creative play enhances symbolic thinking, language </w:t>
      </w:r>
      <w:r w:rsidR="00D306CC" w:rsidRPr="006C6027">
        <w:rPr>
          <w:rStyle w:val="s1"/>
          <w:rFonts w:asciiTheme="minorHAnsi" w:hAnsiTheme="minorHAnsi"/>
        </w:rPr>
        <w:t>development,</w:t>
      </w:r>
      <w:r w:rsidRPr="006C6027">
        <w:rPr>
          <w:rStyle w:val="s1"/>
          <w:rFonts w:asciiTheme="minorHAnsi" w:hAnsiTheme="minorHAnsi"/>
        </w:rPr>
        <w:t xml:space="preserve"> and emotional understanding. When appropriately supported through enabling environments and </w:t>
      </w:r>
      <w:r w:rsidR="00982070" w:rsidRPr="006C6027">
        <w:rPr>
          <w:rStyle w:val="s1"/>
          <w:rFonts w:asciiTheme="minorHAnsi" w:hAnsiTheme="minorHAnsi"/>
        </w:rPr>
        <w:t>effective</w:t>
      </w:r>
      <w:r w:rsidRPr="006C6027">
        <w:rPr>
          <w:rStyle w:val="s1"/>
          <w:rFonts w:asciiTheme="minorHAnsi" w:hAnsiTheme="minorHAnsi"/>
        </w:rPr>
        <w:t xml:space="preserve"> adult facilitation, these play types form </w:t>
      </w:r>
      <w:bookmarkStart w:id="6" w:name="_Int_b4DvAlia"/>
      <w:r w:rsidRPr="006C6027">
        <w:rPr>
          <w:rStyle w:val="s1"/>
          <w:rFonts w:asciiTheme="minorHAnsi" w:hAnsiTheme="minorHAnsi"/>
        </w:rPr>
        <w:t>a strong foundation</w:t>
      </w:r>
      <w:bookmarkEnd w:id="6"/>
      <w:r w:rsidRPr="006C6027">
        <w:rPr>
          <w:rStyle w:val="s1"/>
          <w:rFonts w:asciiTheme="minorHAnsi" w:hAnsiTheme="minorHAnsi"/>
        </w:rPr>
        <w:t xml:space="preserve"> for lifelong learning and wellbeing (Whitebread, 2012; Siraj-Blatchford, 2009).</w:t>
      </w:r>
    </w:p>
    <w:p w14:paraId="2F2D9666" w14:textId="77777777" w:rsidR="00E94C97" w:rsidRPr="006C6027" w:rsidRDefault="00E94C97" w:rsidP="006C6027">
      <w:pPr>
        <w:spacing w:before="100" w:beforeAutospacing="1" w:after="100" w:afterAutospacing="1" w:line="360" w:lineRule="auto"/>
        <w:outlineLvl w:val="1"/>
        <w:rPr>
          <w:rFonts w:eastAsia="Times New Roman" w:cs="Times New Roman"/>
          <w:kern w:val="0"/>
          <w14:ligatures w14:val="none"/>
        </w:rPr>
      </w:pPr>
    </w:p>
    <w:p w14:paraId="5236D371" w14:textId="60381607" w:rsidR="004D4A7A" w:rsidRPr="00C078F6" w:rsidRDefault="004D4A7A" w:rsidP="006C6027">
      <w:pPr>
        <w:spacing w:before="100" w:beforeAutospacing="1" w:after="100" w:afterAutospacing="1" w:line="360" w:lineRule="auto"/>
        <w:outlineLvl w:val="1"/>
        <w:rPr>
          <w:rFonts w:eastAsia="Times New Roman" w:cs="Times New Roman"/>
          <w:b/>
          <w:bCs/>
          <w:kern w:val="0"/>
          <w14:ligatures w14:val="none"/>
        </w:rPr>
      </w:pPr>
      <w:r w:rsidRPr="00C078F6">
        <w:rPr>
          <w:rFonts w:eastAsia="Times New Roman" w:cs="Times New Roman"/>
          <w:b/>
          <w:bCs/>
          <w:kern w:val="0"/>
          <w14:ligatures w14:val="none"/>
        </w:rPr>
        <w:t xml:space="preserve">Section 2: </w:t>
      </w:r>
      <w:r w:rsidR="00D018E4" w:rsidRPr="00C078F6">
        <w:rPr>
          <w:rFonts w:eastAsia="Times New Roman" w:cs="Times New Roman"/>
          <w:b/>
          <w:bCs/>
          <w:kern w:val="0"/>
          <w14:ligatures w14:val="none"/>
        </w:rPr>
        <w:t xml:space="preserve">Evidence of a clear understanding of why it is important </w:t>
      </w:r>
      <w:r w:rsidR="006B0C7F" w:rsidRPr="00C078F6">
        <w:rPr>
          <w:rFonts w:eastAsia="Times New Roman" w:cs="Times New Roman"/>
          <w:b/>
          <w:bCs/>
          <w:kern w:val="0"/>
          <w14:ligatures w14:val="none"/>
        </w:rPr>
        <w:t xml:space="preserve">for children to choose their own play and the </w:t>
      </w:r>
      <w:r w:rsidR="00146A3A" w:rsidRPr="00C078F6">
        <w:rPr>
          <w:rFonts w:eastAsia="Times New Roman" w:cs="Times New Roman"/>
          <w:b/>
          <w:bCs/>
          <w:kern w:val="0"/>
          <w14:ligatures w14:val="none"/>
        </w:rPr>
        <w:t>importance of the role of the adult in children’s play. (750 words)</w:t>
      </w:r>
    </w:p>
    <w:p w14:paraId="6362C917" w14:textId="709A1F89"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Self</w:t>
      </w:r>
      <w:r w:rsidR="00982070" w:rsidRPr="006C6027">
        <w:rPr>
          <w:rStyle w:val="s1"/>
          <w:rFonts w:asciiTheme="minorHAnsi" w:hAnsiTheme="minorHAnsi"/>
        </w:rPr>
        <w:t xml:space="preserve"> </w:t>
      </w:r>
      <w:r w:rsidRPr="006C6027">
        <w:rPr>
          <w:rStyle w:val="s1"/>
          <w:rFonts w:asciiTheme="minorHAnsi" w:hAnsiTheme="minorHAnsi"/>
        </w:rPr>
        <w:t>directed play is a form of child</w:t>
      </w:r>
      <w:r w:rsidR="00982070" w:rsidRPr="006C6027">
        <w:rPr>
          <w:rStyle w:val="s1"/>
          <w:rFonts w:asciiTheme="minorHAnsi" w:hAnsiTheme="minorHAnsi"/>
        </w:rPr>
        <w:t xml:space="preserve"> </w:t>
      </w:r>
      <w:r w:rsidRPr="006C6027">
        <w:rPr>
          <w:rStyle w:val="s1"/>
          <w:rFonts w:asciiTheme="minorHAnsi" w:hAnsiTheme="minorHAnsi"/>
        </w:rPr>
        <w:t>led learning in which children independently choose their activities, decide how they will play, and control the direction and outcomes of their experiences. It is not simply unstructured time, it involves purposeful exploration, creativity, and decision</w:t>
      </w:r>
      <w:r w:rsidR="00E12BC7" w:rsidRPr="006C6027">
        <w:rPr>
          <w:rStyle w:val="s1"/>
          <w:rFonts w:asciiTheme="minorHAnsi" w:hAnsiTheme="minorHAnsi"/>
        </w:rPr>
        <w:t xml:space="preserve"> </w:t>
      </w:r>
      <w:r w:rsidRPr="006C6027">
        <w:rPr>
          <w:rStyle w:val="s1"/>
          <w:rFonts w:asciiTheme="minorHAnsi" w:hAnsiTheme="minorHAnsi"/>
        </w:rPr>
        <w:t xml:space="preserve">making. The Welsh Government (2014) defines authentic play as “freely chosen, personally directed and intrinsically motivated,” highlighting that children must </w:t>
      </w:r>
      <w:r w:rsidR="006A68A0" w:rsidRPr="006C6027">
        <w:rPr>
          <w:rStyle w:val="s1"/>
          <w:rFonts w:asciiTheme="minorHAnsi" w:hAnsiTheme="minorHAnsi"/>
        </w:rPr>
        <w:t>keep</w:t>
      </w:r>
      <w:r w:rsidRPr="006C6027">
        <w:rPr>
          <w:rStyle w:val="s1"/>
          <w:rFonts w:asciiTheme="minorHAnsi" w:hAnsiTheme="minorHAnsi"/>
        </w:rPr>
        <w:t xml:space="preserve"> ownership of their play for it to be meaningful. This perspective recognises children as active agents in their own development, capable of constructing knowledge through exploration rather than </w:t>
      </w:r>
      <w:r w:rsidR="004C7898" w:rsidRPr="006C6027">
        <w:rPr>
          <w:rStyle w:val="s1"/>
          <w:rFonts w:asciiTheme="minorHAnsi" w:hAnsiTheme="minorHAnsi"/>
        </w:rPr>
        <w:t xml:space="preserve">simply </w:t>
      </w:r>
      <w:r w:rsidRPr="006C6027">
        <w:rPr>
          <w:rStyle w:val="s1"/>
          <w:rFonts w:asciiTheme="minorHAnsi" w:hAnsiTheme="minorHAnsi"/>
        </w:rPr>
        <w:t>receiving instruction (Siraj-Blatchford, 2009).</w:t>
      </w:r>
    </w:p>
    <w:p w14:paraId="4A6D6F21" w14:textId="1EDAD267"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 xml:space="preserve">Intrinsic motivation is a central element of </w:t>
      </w:r>
      <w:bookmarkStart w:id="7" w:name="_Int_MMraZBKc"/>
      <w:r w:rsidRPr="006C6027">
        <w:rPr>
          <w:rStyle w:val="s1"/>
          <w:rFonts w:asciiTheme="minorHAnsi" w:hAnsiTheme="minorHAnsi"/>
        </w:rPr>
        <w:t>self</w:t>
      </w:r>
      <w:r w:rsidR="004C7898" w:rsidRPr="006C6027">
        <w:rPr>
          <w:rStyle w:val="s1"/>
          <w:rFonts w:asciiTheme="minorHAnsi" w:hAnsiTheme="minorHAnsi"/>
        </w:rPr>
        <w:t xml:space="preserve"> </w:t>
      </w:r>
      <w:r w:rsidRPr="006C6027">
        <w:rPr>
          <w:rStyle w:val="s1"/>
          <w:rFonts w:asciiTheme="minorHAnsi" w:hAnsiTheme="minorHAnsi"/>
        </w:rPr>
        <w:t>directed</w:t>
      </w:r>
      <w:bookmarkEnd w:id="7"/>
      <w:r w:rsidRPr="006C6027">
        <w:rPr>
          <w:rStyle w:val="s1"/>
          <w:rFonts w:asciiTheme="minorHAnsi" w:hAnsiTheme="minorHAnsi"/>
        </w:rPr>
        <w:t xml:space="preserve"> play. When children </w:t>
      </w:r>
      <w:bookmarkStart w:id="8" w:name="_Int_eYwLymQd"/>
      <w:r w:rsidRPr="006C6027">
        <w:rPr>
          <w:rStyle w:val="s1"/>
          <w:rFonts w:asciiTheme="minorHAnsi" w:hAnsiTheme="minorHAnsi"/>
        </w:rPr>
        <w:t>initiate</w:t>
      </w:r>
      <w:bookmarkEnd w:id="8"/>
      <w:r w:rsidRPr="006C6027">
        <w:rPr>
          <w:rStyle w:val="s1"/>
          <w:rFonts w:asciiTheme="minorHAnsi" w:hAnsiTheme="minorHAnsi"/>
        </w:rPr>
        <w:t xml:space="preserve"> and sustain their own play, their engagement is typically deeper and more sustained than when </w:t>
      </w:r>
      <w:r w:rsidR="004F3A87" w:rsidRPr="006C6027">
        <w:rPr>
          <w:rStyle w:val="s1"/>
          <w:rFonts w:asciiTheme="minorHAnsi" w:hAnsiTheme="minorHAnsi"/>
        </w:rPr>
        <w:t>taking part</w:t>
      </w:r>
      <w:r w:rsidRPr="006C6027">
        <w:rPr>
          <w:rStyle w:val="s1"/>
          <w:rFonts w:asciiTheme="minorHAnsi" w:hAnsiTheme="minorHAnsi"/>
        </w:rPr>
        <w:t xml:space="preserve"> in adult</w:t>
      </w:r>
      <w:r w:rsidR="004F3A87" w:rsidRPr="006C6027">
        <w:rPr>
          <w:rStyle w:val="s1"/>
          <w:rFonts w:asciiTheme="minorHAnsi" w:hAnsiTheme="minorHAnsi"/>
        </w:rPr>
        <w:t xml:space="preserve"> </w:t>
      </w:r>
      <w:r w:rsidRPr="006C6027">
        <w:rPr>
          <w:rStyle w:val="s1"/>
          <w:rFonts w:asciiTheme="minorHAnsi" w:hAnsiTheme="minorHAnsi"/>
        </w:rPr>
        <w:t>led activities. Deci and Ryan’s (2000) Self</w:t>
      </w:r>
      <w:r w:rsidR="004F3A87" w:rsidRPr="006C6027">
        <w:rPr>
          <w:rStyle w:val="s1"/>
          <w:rFonts w:asciiTheme="minorHAnsi" w:hAnsiTheme="minorHAnsi"/>
        </w:rPr>
        <w:t xml:space="preserve"> </w:t>
      </w:r>
      <w:r w:rsidRPr="006C6027">
        <w:rPr>
          <w:rStyle w:val="s1"/>
          <w:rFonts w:asciiTheme="minorHAnsi" w:hAnsiTheme="minorHAnsi"/>
        </w:rPr>
        <w:t xml:space="preserve">Determination Theory explains that intrinsic motivation supports persistence, concentration, and deeper cognitive processing. When children experience autonomy, competence, and </w:t>
      </w:r>
      <w:r w:rsidR="008449DA" w:rsidRPr="006C6027">
        <w:rPr>
          <w:rStyle w:val="s1"/>
          <w:rFonts w:asciiTheme="minorHAnsi" w:hAnsiTheme="minorHAnsi"/>
        </w:rPr>
        <w:t>social connection</w:t>
      </w:r>
      <w:r w:rsidRPr="006C6027">
        <w:rPr>
          <w:rStyle w:val="s1"/>
          <w:rFonts w:asciiTheme="minorHAnsi" w:hAnsiTheme="minorHAnsi"/>
        </w:rPr>
        <w:t xml:space="preserve">, they are more likely to remain engaged and overcome challenges. As </w:t>
      </w:r>
      <w:r w:rsidRPr="006C6027">
        <w:rPr>
          <w:rStyle w:val="s1"/>
          <w:rFonts w:asciiTheme="minorHAnsi" w:hAnsiTheme="minorHAnsi"/>
        </w:rPr>
        <w:lastRenderedPageBreak/>
        <w:t xml:space="preserve">a result, they adapt strategies, regulate their behaviour, and sustain attention for extended periods. Whitebread (2012) similarly argues that </w:t>
      </w:r>
      <w:r w:rsidR="00336F4E" w:rsidRPr="006C6027">
        <w:rPr>
          <w:rStyle w:val="s1"/>
          <w:rFonts w:asciiTheme="minorHAnsi" w:hAnsiTheme="minorHAnsi"/>
        </w:rPr>
        <w:t xml:space="preserve">independence </w:t>
      </w:r>
      <w:r w:rsidRPr="006C6027">
        <w:rPr>
          <w:rStyle w:val="s1"/>
          <w:rFonts w:asciiTheme="minorHAnsi" w:hAnsiTheme="minorHAnsi"/>
        </w:rPr>
        <w:t>in play enhances self</w:t>
      </w:r>
      <w:r w:rsidR="00D62B49" w:rsidRPr="006C6027">
        <w:rPr>
          <w:rStyle w:val="s1"/>
          <w:rFonts w:asciiTheme="minorHAnsi" w:hAnsiTheme="minorHAnsi"/>
        </w:rPr>
        <w:t xml:space="preserve"> </w:t>
      </w:r>
      <w:r w:rsidRPr="006C6027">
        <w:rPr>
          <w:rStyle w:val="s1"/>
          <w:rFonts w:asciiTheme="minorHAnsi" w:hAnsiTheme="minorHAnsi"/>
        </w:rPr>
        <w:t>regulation and executive function, both of which are crucial for long</w:t>
      </w:r>
      <w:r w:rsidR="00336F4E" w:rsidRPr="006C6027">
        <w:rPr>
          <w:rStyle w:val="s1"/>
          <w:rFonts w:asciiTheme="minorHAnsi" w:hAnsiTheme="minorHAnsi"/>
        </w:rPr>
        <w:t xml:space="preserve"> </w:t>
      </w:r>
      <w:r w:rsidRPr="006C6027">
        <w:rPr>
          <w:rStyle w:val="s1"/>
          <w:rFonts w:asciiTheme="minorHAnsi" w:hAnsiTheme="minorHAnsi"/>
        </w:rPr>
        <w:t>term learning. Verywell Family (2012) also highlights that children learn most effectively when play is meaningful and enjoyable rather than externally imposed.</w:t>
      </w:r>
    </w:p>
    <w:p w14:paraId="1E5A1713" w14:textId="641A1897"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Self</w:t>
      </w:r>
      <w:r w:rsidR="00336F4E" w:rsidRPr="006C6027">
        <w:rPr>
          <w:rStyle w:val="s1"/>
          <w:rFonts w:asciiTheme="minorHAnsi" w:hAnsiTheme="minorHAnsi"/>
        </w:rPr>
        <w:t xml:space="preserve"> </w:t>
      </w:r>
      <w:r w:rsidRPr="006C6027">
        <w:rPr>
          <w:rStyle w:val="s1"/>
          <w:rFonts w:asciiTheme="minorHAnsi" w:hAnsiTheme="minorHAnsi"/>
        </w:rPr>
        <w:t>directed play promotes holistic development across cognitive, social, and emotional domains. Cognitively, children use higher</w:t>
      </w:r>
      <w:r w:rsidR="00687E4D" w:rsidRPr="006C6027">
        <w:rPr>
          <w:rStyle w:val="s1"/>
          <w:rFonts w:asciiTheme="minorHAnsi" w:hAnsiTheme="minorHAnsi"/>
        </w:rPr>
        <w:t xml:space="preserve"> </w:t>
      </w:r>
      <w:r w:rsidRPr="006C6027">
        <w:rPr>
          <w:rStyle w:val="s1"/>
          <w:rFonts w:asciiTheme="minorHAnsi" w:hAnsiTheme="minorHAnsi"/>
        </w:rPr>
        <w:t>order thinking skills to plan, test ideas, solve problems, and evaluate outcomes. For example, when building with blocks or loose parts, children consider balance, stability, and spatial relationships, refining their reasoning through trial and error (Fisher, 2016). These experiences encourage flexible thinking and resilience, as children learn that mistakes are part of the learning process.</w:t>
      </w:r>
    </w:p>
    <w:p w14:paraId="3EB08C60" w14:textId="03FA0346"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Emotionally, self</w:t>
      </w:r>
      <w:r w:rsidR="00687E4D" w:rsidRPr="006C6027">
        <w:rPr>
          <w:rStyle w:val="s1"/>
          <w:rFonts w:asciiTheme="minorHAnsi" w:hAnsiTheme="minorHAnsi"/>
        </w:rPr>
        <w:t xml:space="preserve"> </w:t>
      </w:r>
      <w:r w:rsidRPr="006C6027">
        <w:rPr>
          <w:rStyle w:val="s1"/>
          <w:rFonts w:asciiTheme="minorHAnsi" w:hAnsiTheme="minorHAnsi"/>
        </w:rPr>
        <w:t>directed play strengthens independence and self</w:t>
      </w:r>
      <w:r w:rsidR="00687E4D" w:rsidRPr="006C6027">
        <w:rPr>
          <w:rStyle w:val="s1"/>
          <w:rFonts w:asciiTheme="minorHAnsi" w:hAnsiTheme="minorHAnsi"/>
        </w:rPr>
        <w:t xml:space="preserve"> </w:t>
      </w:r>
      <w:r w:rsidRPr="006C6027">
        <w:rPr>
          <w:rStyle w:val="s1"/>
          <w:rFonts w:asciiTheme="minorHAnsi" w:hAnsiTheme="minorHAnsi"/>
        </w:rPr>
        <w:t>confidence. When children make their own choices, they develop a sense of competence and ownership. Moyles (2015) suggests that play allows children to rehearse real</w:t>
      </w:r>
      <w:r w:rsidR="00687E4D" w:rsidRPr="006C6027">
        <w:rPr>
          <w:rStyle w:val="s1"/>
          <w:rFonts w:asciiTheme="minorHAnsi" w:hAnsiTheme="minorHAnsi"/>
        </w:rPr>
        <w:t xml:space="preserve"> </w:t>
      </w:r>
      <w:r w:rsidRPr="006C6027">
        <w:rPr>
          <w:rStyle w:val="s1"/>
          <w:rFonts w:asciiTheme="minorHAnsi" w:hAnsiTheme="minorHAnsi"/>
        </w:rPr>
        <w:t>life challenges in a safe and controlled way, supporting emotional regulation and resilience. Children learn to manage frustration, negotiate disagreements, and cope with setbacks without immediate adult direction. This contributes to positive self</w:t>
      </w:r>
      <w:r w:rsidR="00687E4D" w:rsidRPr="006C6027">
        <w:rPr>
          <w:rStyle w:val="s1"/>
          <w:rFonts w:asciiTheme="minorHAnsi" w:hAnsiTheme="minorHAnsi"/>
        </w:rPr>
        <w:t xml:space="preserve"> </w:t>
      </w:r>
      <w:r w:rsidRPr="006C6027">
        <w:rPr>
          <w:rStyle w:val="s1"/>
          <w:rFonts w:asciiTheme="minorHAnsi" w:hAnsiTheme="minorHAnsi"/>
        </w:rPr>
        <w:t>efficacy and long</w:t>
      </w:r>
      <w:r w:rsidR="003E0C7F" w:rsidRPr="006C6027">
        <w:rPr>
          <w:rStyle w:val="s1"/>
          <w:rFonts w:asciiTheme="minorHAnsi" w:hAnsiTheme="minorHAnsi"/>
        </w:rPr>
        <w:t xml:space="preserve"> </w:t>
      </w:r>
      <w:r w:rsidRPr="006C6027">
        <w:rPr>
          <w:rStyle w:val="s1"/>
          <w:rFonts w:asciiTheme="minorHAnsi" w:hAnsiTheme="minorHAnsi"/>
        </w:rPr>
        <w:t>term wellbeing.</w:t>
      </w:r>
    </w:p>
    <w:p w14:paraId="04FFE9D3" w14:textId="1266D06E"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Socially, self</w:t>
      </w:r>
      <w:r w:rsidR="003E0C7F" w:rsidRPr="006C6027">
        <w:rPr>
          <w:rStyle w:val="s1"/>
          <w:rFonts w:asciiTheme="minorHAnsi" w:hAnsiTheme="minorHAnsi"/>
        </w:rPr>
        <w:t xml:space="preserve"> </w:t>
      </w:r>
      <w:r w:rsidRPr="006C6027">
        <w:rPr>
          <w:rStyle w:val="s1"/>
          <w:rFonts w:asciiTheme="minorHAnsi" w:hAnsiTheme="minorHAnsi"/>
        </w:rPr>
        <w:t xml:space="preserve">directed play fosters collaboration, </w:t>
      </w:r>
      <w:r w:rsidR="003E0C7F" w:rsidRPr="006C6027">
        <w:rPr>
          <w:rStyle w:val="s1"/>
          <w:rFonts w:asciiTheme="minorHAnsi" w:hAnsiTheme="minorHAnsi"/>
        </w:rPr>
        <w:t>rule making</w:t>
      </w:r>
      <w:r w:rsidRPr="006C6027">
        <w:rPr>
          <w:rStyle w:val="s1"/>
          <w:rFonts w:asciiTheme="minorHAnsi" w:hAnsiTheme="minorHAnsi"/>
        </w:rPr>
        <w:t>, compromise, and conflict resolution. Children learn to express ideas clearly, listen to peers, and negotiate shared goals. Siraj-Blatchford (2009) emphasises that sustained shared thinking between children, and occasionally with adults, promotes deeper cognitive and social development. Through peer interaction, children refine communication skills and develop empathy, strengthening their social competence.</w:t>
      </w:r>
    </w:p>
    <w:p w14:paraId="415E9DC1" w14:textId="52DEE51E"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Although children lead the play, adults have a crucial and carefully balanced role. Rather than directing activities, practitioners act as facilitators, co</w:t>
      </w:r>
      <w:r w:rsidR="001C3A09" w:rsidRPr="006C6027">
        <w:rPr>
          <w:rStyle w:val="s1"/>
          <w:rFonts w:asciiTheme="minorHAnsi" w:hAnsiTheme="minorHAnsi"/>
        </w:rPr>
        <w:t xml:space="preserve"> </w:t>
      </w:r>
      <w:r w:rsidRPr="006C6027">
        <w:rPr>
          <w:rStyle w:val="s1"/>
          <w:rFonts w:asciiTheme="minorHAnsi" w:hAnsiTheme="minorHAnsi"/>
        </w:rPr>
        <w:t xml:space="preserve">thinkers, and observers. One key responsibility is creating enabling environments that encourage exploration. Open-ended resources, loose parts, and adaptable spaces support </w:t>
      </w:r>
      <w:r w:rsidRPr="006C6027">
        <w:rPr>
          <w:rStyle w:val="s1"/>
          <w:rFonts w:asciiTheme="minorHAnsi" w:hAnsiTheme="minorHAnsi"/>
        </w:rPr>
        <w:lastRenderedPageBreak/>
        <w:t xml:space="preserve">creativity and </w:t>
      </w:r>
      <w:r w:rsidR="001C3A09" w:rsidRPr="006C6027">
        <w:rPr>
          <w:rStyle w:val="s1"/>
          <w:rFonts w:asciiTheme="minorHAnsi" w:hAnsiTheme="minorHAnsi"/>
        </w:rPr>
        <w:t>independence</w:t>
      </w:r>
      <w:r w:rsidRPr="006C6027">
        <w:rPr>
          <w:rStyle w:val="s1"/>
          <w:rFonts w:asciiTheme="minorHAnsi" w:hAnsiTheme="minorHAnsi"/>
        </w:rPr>
        <w:t>(Whitebread, 2012). The environment itself becomes a “third teacher,” inviting inquiry without dictating outcomes.</w:t>
      </w:r>
    </w:p>
    <w:p w14:paraId="7E2A08A9" w14:textId="4FDE6029"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 xml:space="preserve">Effective adult involvement requires sensitivity and professional judgement. Practitioners must </w:t>
      </w:r>
      <w:bookmarkStart w:id="9" w:name="_Int_MZV9B8YQ"/>
      <w:r w:rsidRPr="006C6027">
        <w:rPr>
          <w:rStyle w:val="s1"/>
          <w:rFonts w:asciiTheme="minorHAnsi" w:hAnsiTheme="minorHAnsi"/>
        </w:rPr>
        <w:t>observe</w:t>
      </w:r>
      <w:bookmarkEnd w:id="9"/>
      <w:r w:rsidRPr="006C6027">
        <w:rPr>
          <w:rStyle w:val="s1"/>
          <w:rFonts w:asciiTheme="minorHAnsi" w:hAnsiTheme="minorHAnsi"/>
        </w:rPr>
        <w:t xml:space="preserve"> carefully before intervening, knowing when to step back and when to extend learning. </w:t>
      </w:r>
      <w:r w:rsidR="000264B0" w:rsidRPr="006C6027">
        <w:rPr>
          <w:rStyle w:val="s1"/>
          <w:rFonts w:asciiTheme="minorHAnsi" w:hAnsiTheme="minorHAnsi"/>
        </w:rPr>
        <w:t xml:space="preserve">To </w:t>
      </w:r>
      <w:r w:rsidR="00BB12CF" w:rsidRPr="006C6027">
        <w:rPr>
          <w:rStyle w:val="s1"/>
          <w:rFonts w:asciiTheme="minorHAnsi" w:hAnsiTheme="minorHAnsi"/>
        </w:rPr>
        <w:t>much supervision</w:t>
      </w:r>
      <w:r w:rsidRPr="006C6027">
        <w:rPr>
          <w:rStyle w:val="s1"/>
          <w:rFonts w:asciiTheme="minorHAnsi" w:hAnsiTheme="minorHAnsi"/>
        </w:rPr>
        <w:t xml:space="preserve"> or instruction can </w:t>
      </w:r>
      <w:r w:rsidR="00D22CC3" w:rsidRPr="006C6027">
        <w:rPr>
          <w:rStyle w:val="s1"/>
          <w:rFonts w:asciiTheme="minorHAnsi" w:hAnsiTheme="minorHAnsi"/>
        </w:rPr>
        <w:t>interrupt</w:t>
      </w:r>
      <w:r w:rsidRPr="006C6027">
        <w:rPr>
          <w:rStyle w:val="s1"/>
          <w:rFonts w:asciiTheme="minorHAnsi" w:hAnsiTheme="minorHAnsi"/>
        </w:rPr>
        <w:t xml:space="preserve"> intrinsic motivation by reducing autonomy and transforming play into adult</w:t>
      </w:r>
      <w:r w:rsidR="00D22CC3" w:rsidRPr="006C6027">
        <w:rPr>
          <w:rStyle w:val="s1"/>
          <w:rFonts w:asciiTheme="minorHAnsi" w:hAnsiTheme="minorHAnsi"/>
        </w:rPr>
        <w:t xml:space="preserve"> </w:t>
      </w:r>
      <w:r w:rsidRPr="006C6027">
        <w:rPr>
          <w:rStyle w:val="s1"/>
          <w:rFonts w:asciiTheme="minorHAnsi" w:hAnsiTheme="minorHAnsi"/>
        </w:rPr>
        <w:t xml:space="preserve">controlled </w:t>
      </w:r>
      <w:r w:rsidR="00D22CC3" w:rsidRPr="006C6027">
        <w:rPr>
          <w:rStyle w:val="s1"/>
          <w:rFonts w:asciiTheme="minorHAnsi" w:hAnsiTheme="minorHAnsi"/>
        </w:rPr>
        <w:t>activities</w:t>
      </w:r>
      <w:r w:rsidRPr="006C6027">
        <w:rPr>
          <w:rStyle w:val="s1"/>
          <w:rFonts w:asciiTheme="minorHAnsi" w:hAnsiTheme="minorHAnsi"/>
        </w:rPr>
        <w:t>.</w:t>
      </w:r>
      <w:r w:rsidR="00295F49" w:rsidRPr="006C6027">
        <w:rPr>
          <w:rStyle w:val="s1"/>
          <w:rFonts w:asciiTheme="minorHAnsi" w:hAnsiTheme="minorHAnsi"/>
        </w:rPr>
        <w:t>However</w:t>
      </w:r>
      <w:r w:rsidRPr="006C6027">
        <w:rPr>
          <w:rStyle w:val="s1"/>
          <w:rFonts w:asciiTheme="minorHAnsi" w:hAnsiTheme="minorHAnsi"/>
        </w:rPr>
        <w:t>, complete withdrawal may limit opportunities for cognitive extension. Fisher (2016) notes that high</w:t>
      </w:r>
      <w:r w:rsidR="00295F49" w:rsidRPr="006C6027">
        <w:rPr>
          <w:rStyle w:val="s1"/>
          <w:rFonts w:asciiTheme="minorHAnsi" w:hAnsiTheme="minorHAnsi"/>
        </w:rPr>
        <w:t xml:space="preserve"> </w:t>
      </w:r>
      <w:r w:rsidRPr="006C6027">
        <w:rPr>
          <w:rStyle w:val="s1"/>
          <w:rFonts w:asciiTheme="minorHAnsi" w:hAnsiTheme="minorHAnsi"/>
        </w:rPr>
        <w:t>quality interactions occur when adults respond thoughtfully to children’s ideas rather than dominating the experience.</w:t>
      </w:r>
    </w:p>
    <w:p w14:paraId="6DF91AF6" w14:textId="026D2068" w:rsidR="002C4E3F" w:rsidRPr="006C6027" w:rsidRDefault="00D93089" w:rsidP="006C6027">
      <w:pPr>
        <w:pStyle w:val="p1"/>
        <w:spacing w:line="360" w:lineRule="auto"/>
        <w:rPr>
          <w:rStyle w:val="s1"/>
          <w:rFonts w:asciiTheme="minorHAnsi" w:hAnsiTheme="minorHAnsi"/>
        </w:rPr>
      </w:pPr>
      <w:r w:rsidRPr="006C6027">
        <w:rPr>
          <w:rStyle w:val="s1"/>
          <w:rFonts w:asciiTheme="minorHAnsi" w:hAnsiTheme="minorHAnsi"/>
        </w:rPr>
        <w:t>Scaffolding, based on Vygotsky’s (1978) theory of the Zone of Proximal Development, involves offering guidance that supports children in achieving tasks slightly beyond their independent capability. This may include modelling vocabulary, asking open</w:t>
      </w:r>
      <w:r w:rsidR="00070B4E" w:rsidRPr="006C6027">
        <w:rPr>
          <w:rStyle w:val="s1"/>
          <w:rFonts w:asciiTheme="minorHAnsi" w:hAnsiTheme="minorHAnsi"/>
        </w:rPr>
        <w:t xml:space="preserve"> </w:t>
      </w:r>
      <w:r w:rsidRPr="006C6027">
        <w:rPr>
          <w:rStyle w:val="s1"/>
          <w:rFonts w:asciiTheme="minorHAnsi" w:hAnsiTheme="minorHAnsi"/>
        </w:rPr>
        <w:t xml:space="preserve">ended questions, or introducing subtle challenges. Wood (2014) argues that responsive interaction </w:t>
      </w:r>
      <w:bookmarkStart w:id="10" w:name="_Int_GmX31HZt"/>
      <w:r w:rsidRPr="006C6027">
        <w:rPr>
          <w:rStyle w:val="s1"/>
          <w:rFonts w:asciiTheme="minorHAnsi" w:hAnsiTheme="minorHAnsi"/>
        </w:rPr>
        <w:t>maintains</w:t>
      </w:r>
      <w:bookmarkEnd w:id="10"/>
      <w:r w:rsidRPr="006C6027">
        <w:rPr>
          <w:rStyle w:val="s1"/>
          <w:rFonts w:asciiTheme="minorHAnsi" w:hAnsiTheme="minorHAnsi"/>
        </w:rPr>
        <w:t xml:space="preserve"> child agency while e</w:t>
      </w:r>
      <w:r w:rsidR="00070B4E" w:rsidRPr="006C6027">
        <w:rPr>
          <w:rStyle w:val="s1"/>
          <w:rFonts w:asciiTheme="minorHAnsi" w:hAnsiTheme="minorHAnsi"/>
        </w:rPr>
        <w:t>ncouraging</w:t>
      </w:r>
      <w:r w:rsidRPr="006C6027">
        <w:rPr>
          <w:rStyle w:val="s1"/>
          <w:rFonts w:asciiTheme="minorHAnsi" w:hAnsiTheme="minorHAnsi"/>
        </w:rPr>
        <w:t xml:space="preserve"> thinking. Questions such as “What might happen if?” or “How could you make that stronger?” extend learning while preserving ownership (Moyles, 2015).</w:t>
      </w:r>
    </w:p>
    <w:p w14:paraId="3B625C93" w14:textId="6B11BCF8"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Adults also contribute to emotional security within self</w:t>
      </w:r>
      <w:r w:rsidR="00C973ED" w:rsidRPr="006C6027">
        <w:rPr>
          <w:rStyle w:val="s1"/>
          <w:rFonts w:asciiTheme="minorHAnsi" w:hAnsiTheme="minorHAnsi"/>
        </w:rPr>
        <w:t xml:space="preserve"> </w:t>
      </w:r>
      <w:r w:rsidRPr="006C6027">
        <w:rPr>
          <w:rStyle w:val="s1"/>
          <w:rFonts w:asciiTheme="minorHAnsi" w:hAnsiTheme="minorHAnsi"/>
        </w:rPr>
        <w:t xml:space="preserve">directed play. Secure, responsive relationships allow children to explore confidently and take </w:t>
      </w:r>
      <w:bookmarkStart w:id="11" w:name="_Int_n2ze5C8c"/>
      <w:r w:rsidRPr="006C6027">
        <w:rPr>
          <w:rStyle w:val="s1"/>
          <w:rFonts w:asciiTheme="minorHAnsi" w:hAnsiTheme="minorHAnsi"/>
        </w:rPr>
        <w:t>appropriate risks</w:t>
      </w:r>
      <w:bookmarkEnd w:id="11"/>
      <w:r w:rsidRPr="006C6027">
        <w:rPr>
          <w:rStyle w:val="s1"/>
          <w:rFonts w:asciiTheme="minorHAnsi" w:hAnsiTheme="minorHAnsi"/>
        </w:rPr>
        <w:t xml:space="preserve">. Siraj-Blatchford (2009) highlights that emotionally supportive interactions are linked to improved developmental outcomes. When practitioners </w:t>
      </w:r>
      <w:bookmarkStart w:id="12" w:name="_Int_YnGuoQJ8"/>
      <w:r w:rsidRPr="006C6027">
        <w:rPr>
          <w:rStyle w:val="s1"/>
          <w:rFonts w:asciiTheme="minorHAnsi" w:hAnsiTheme="minorHAnsi"/>
        </w:rPr>
        <w:t>validate</w:t>
      </w:r>
      <w:bookmarkEnd w:id="12"/>
      <w:r w:rsidRPr="006C6027">
        <w:rPr>
          <w:rStyle w:val="s1"/>
          <w:rFonts w:asciiTheme="minorHAnsi" w:hAnsiTheme="minorHAnsi"/>
        </w:rPr>
        <w:t xml:space="preserve"> children’s ideas, recognise effort, and provide encouragement during difficulty, children </w:t>
      </w:r>
      <w:r w:rsidR="007D53F7" w:rsidRPr="006C6027">
        <w:rPr>
          <w:rStyle w:val="s1"/>
          <w:rFonts w:asciiTheme="minorHAnsi" w:hAnsiTheme="minorHAnsi"/>
        </w:rPr>
        <w:t>show</w:t>
      </w:r>
      <w:r w:rsidRPr="006C6027">
        <w:rPr>
          <w:rStyle w:val="s1"/>
          <w:rFonts w:asciiTheme="minorHAnsi" w:hAnsiTheme="minorHAnsi"/>
        </w:rPr>
        <w:t xml:space="preserve"> higher levels of involvement and wellbeing (Laevers, 2005).</w:t>
      </w:r>
    </w:p>
    <w:p w14:paraId="06D52F1F" w14:textId="79C61F27"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t>Despite its recognised benefits, implementing self</w:t>
      </w:r>
      <w:r w:rsidR="007D53F7" w:rsidRPr="006C6027">
        <w:rPr>
          <w:rStyle w:val="s1"/>
          <w:rFonts w:asciiTheme="minorHAnsi" w:hAnsiTheme="minorHAnsi"/>
        </w:rPr>
        <w:t xml:space="preserve"> </w:t>
      </w:r>
      <w:r w:rsidRPr="006C6027">
        <w:rPr>
          <w:rStyle w:val="s1"/>
          <w:rFonts w:asciiTheme="minorHAnsi" w:hAnsiTheme="minorHAnsi"/>
        </w:rPr>
        <w:t>directed play within structured educational settings can present challenges. Curriculum frameworks may prioritise measurable outcomes, potentially conflicting with open</w:t>
      </w:r>
      <w:r w:rsidR="007D53F7" w:rsidRPr="006C6027">
        <w:rPr>
          <w:rStyle w:val="s1"/>
          <w:rFonts w:asciiTheme="minorHAnsi" w:hAnsiTheme="minorHAnsi"/>
        </w:rPr>
        <w:t xml:space="preserve"> </w:t>
      </w:r>
      <w:r w:rsidRPr="006C6027">
        <w:rPr>
          <w:rStyle w:val="s1"/>
          <w:rFonts w:asciiTheme="minorHAnsi" w:hAnsiTheme="minorHAnsi"/>
        </w:rPr>
        <w:t xml:space="preserve">ended exploration. However, Bottrill (2022) argues that learning </w:t>
      </w:r>
      <w:bookmarkStart w:id="13" w:name="_Int_nxmewg0f"/>
      <w:r w:rsidRPr="006C6027">
        <w:rPr>
          <w:rStyle w:val="s1"/>
          <w:rFonts w:asciiTheme="minorHAnsi" w:hAnsiTheme="minorHAnsi"/>
        </w:rPr>
        <w:t>objectives</w:t>
      </w:r>
      <w:bookmarkEnd w:id="13"/>
      <w:r w:rsidRPr="006C6027">
        <w:rPr>
          <w:rStyle w:val="s1"/>
          <w:rFonts w:asciiTheme="minorHAnsi" w:hAnsiTheme="minorHAnsi"/>
        </w:rPr>
        <w:t xml:space="preserve"> can be </w:t>
      </w:r>
      <w:r w:rsidR="007D53F7" w:rsidRPr="006C6027">
        <w:rPr>
          <w:rStyle w:val="s1"/>
          <w:rFonts w:asciiTheme="minorHAnsi" w:hAnsiTheme="minorHAnsi"/>
        </w:rPr>
        <w:t>implemented</w:t>
      </w:r>
      <w:r w:rsidRPr="006C6027">
        <w:rPr>
          <w:rStyle w:val="s1"/>
          <w:rFonts w:asciiTheme="minorHAnsi" w:hAnsiTheme="minorHAnsi"/>
        </w:rPr>
        <w:t xml:space="preserve"> within meaningful play experiences rather than imposed externally. When play </w:t>
      </w:r>
      <w:r w:rsidR="00230482" w:rsidRPr="006C6027">
        <w:rPr>
          <w:rStyle w:val="s1"/>
          <w:rFonts w:asciiTheme="minorHAnsi" w:hAnsiTheme="minorHAnsi"/>
        </w:rPr>
        <w:t>stays</w:t>
      </w:r>
      <w:r w:rsidRPr="006C6027">
        <w:rPr>
          <w:rStyle w:val="s1"/>
          <w:rFonts w:asciiTheme="minorHAnsi" w:hAnsiTheme="minorHAnsi"/>
        </w:rPr>
        <w:t xml:space="preserve"> central, children are more motivated and learning becomes authentic and sustainable.</w:t>
      </w:r>
    </w:p>
    <w:p w14:paraId="5541E757" w14:textId="628FAF52" w:rsidR="00D93089" w:rsidRPr="006C6027" w:rsidRDefault="00D93089" w:rsidP="006C6027">
      <w:pPr>
        <w:pStyle w:val="p1"/>
        <w:spacing w:line="360" w:lineRule="auto"/>
        <w:rPr>
          <w:rFonts w:asciiTheme="minorHAnsi" w:hAnsiTheme="minorHAnsi"/>
        </w:rPr>
      </w:pPr>
      <w:r w:rsidRPr="006C6027">
        <w:rPr>
          <w:rStyle w:val="s1"/>
          <w:rFonts w:asciiTheme="minorHAnsi" w:hAnsiTheme="minorHAnsi"/>
        </w:rPr>
        <w:lastRenderedPageBreak/>
        <w:t>In conclusion, self</w:t>
      </w:r>
      <w:r w:rsidR="00230482" w:rsidRPr="006C6027">
        <w:rPr>
          <w:rStyle w:val="s1"/>
          <w:rFonts w:asciiTheme="minorHAnsi" w:hAnsiTheme="minorHAnsi"/>
        </w:rPr>
        <w:t xml:space="preserve"> </w:t>
      </w:r>
      <w:r w:rsidRPr="006C6027">
        <w:rPr>
          <w:rStyle w:val="s1"/>
          <w:rFonts w:asciiTheme="minorHAnsi" w:hAnsiTheme="minorHAnsi"/>
        </w:rPr>
        <w:t>directed play is essential for promoting autonomy, intrinsic motivation, and holistic development. It strengthens cognitive flexibility, emotional resilience, social competence, and self</w:t>
      </w:r>
      <w:r w:rsidR="00230482" w:rsidRPr="006C6027">
        <w:rPr>
          <w:rStyle w:val="s1"/>
          <w:rFonts w:asciiTheme="minorHAnsi" w:hAnsiTheme="minorHAnsi"/>
        </w:rPr>
        <w:t xml:space="preserve"> </w:t>
      </w:r>
      <w:r w:rsidRPr="006C6027">
        <w:rPr>
          <w:rStyle w:val="s1"/>
          <w:rFonts w:asciiTheme="minorHAnsi" w:hAnsiTheme="minorHAnsi"/>
        </w:rPr>
        <w:t>regulation. The adult’s role is dynamic and responsive</w:t>
      </w:r>
      <w:r w:rsidR="00230482" w:rsidRPr="006C6027">
        <w:rPr>
          <w:rStyle w:val="s1"/>
          <w:rFonts w:asciiTheme="minorHAnsi" w:hAnsiTheme="minorHAnsi"/>
        </w:rPr>
        <w:t xml:space="preserve">, </w:t>
      </w:r>
      <w:r w:rsidRPr="006C6027">
        <w:rPr>
          <w:rStyle w:val="s1"/>
          <w:rFonts w:asciiTheme="minorHAnsi" w:hAnsiTheme="minorHAnsi"/>
        </w:rPr>
        <w:t xml:space="preserve">creating enabling environments, offering sensitive scaffolding, providing emotional security, and advocating for the value of play within educational systems. When this balance </w:t>
      </w:r>
      <w:bookmarkStart w:id="14" w:name="_Int_v6OZBsrj"/>
      <w:r w:rsidRPr="006C6027">
        <w:rPr>
          <w:rStyle w:val="s1"/>
          <w:rFonts w:asciiTheme="minorHAnsi" w:hAnsiTheme="minorHAnsi"/>
        </w:rPr>
        <w:t>is achieved</w:t>
      </w:r>
      <w:bookmarkEnd w:id="14"/>
      <w:r w:rsidRPr="006C6027">
        <w:rPr>
          <w:rStyle w:val="s1"/>
          <w:rFonts w:asciiTheme="minorHAnsi" w:hAnsiTheme="minorHAnsi"/>
        </w:rPr>
        <w:t xml:space="preserve">, children </w:t>
      </w:r>
      <w:r w:rsidR="001A1E54" w:rsidRPr="006C6027">
        <w:rPr>
          <w:rStyle w:val="s1"/>
          <w:rFonts w:asciiTheme="minorHAnsi" w:hAnsiTheme="minorHAnsi"/>
        </w:rPr>
        <w:t>stay</w:t>
      </w:r>
      <w:r w:rsidRPr="006C6027">
        <w:rPr>
          <w:rStyle w:val="s1"/>
          <w:rFonts w:asciiTheme="minorHAnsi" w:hAnsiTheme="minorHAnsi"/>
        </w:rPr>
        <w:t xml:space="preserve"> active, motivated participants in their own learning (Whitebread, 2012; Wood, 2014; Siraj-Blatchford, 2009; Deci and Ryan, 2000).</w:t>
      </w:r>
    </w:p>
    <w:p w14:paraId="1D4192D3" w14:textId="4C9A84C3" w:rsidR="00B91F1C" w:rsidRPr="00C078F6" w:rsidRDefault="00B91F1C" w:rsidP="006C6027">
      <w:pPr>
        <w:spacing w:before="100" w:beforeAutospacing="1" w:after="100" w:afterAutospacing="1" w:line="360" w:lineRule="auto"/>
        <w:outlineLvl w:val="1"/>
        <w:rPr>
          <w:rFonts w:eastAsia="Times New Roman" w:cs="Times New Roman"/>
          <w:b/>
          <w:bCs/>
          <w:kern w:val="0"/>
          <w14:ligatures w14:val="none"/>
        </w:rPr>
      </w:pPr>
      <w:r w:rsidRPr="00C078F6">
        <w:rPr>
          <w:rFonts w:eastAsia="Times New Roman" w:cs="Times New Roman"/>
          <w:b/>
          <w:bCs/>
          <w:kern w:val="0"/>
          <w14:ligatures w14:val="none"/>
        </w:rPr>
        <w:t xml:space="preserve">Section 3: </w:t>
      </w:r>
      <w:r w:rsidR="00F03D40" w:rsidRPr="00C078F6">
        <w:rPr>
          <w:rFonts w:eastAsia="Times New Roman" w:cs="Times New Roman"/>
          <w:b/>
          <w:bCs/>
          <w:kern w:val="0"/>
          <w14:ligatures w14:val="none"/>
        </w:rPr>
        <w:t xml:space="preserve"> In depth discussion and understanding of an </w:t>
      </w:r>
      <w:r w:rsidR="00385A11" w:rsidRPr="00C078F6">
        <w:rPr>
          <w:rFonts w:eastAsia="Times New Roman" w:cs="Times New Roman"/>
          <w:b/>
          <w:bCs/>
          <w:kern w:val="0"/>
          <w14:ligatures w14:val="none"/>
        </w:rPr>
        <w:t>observation</w:t>
      </w:r>
      <w:r w:rsidR="00F03D40" w:rsidRPr="00C078F6">
        <w:rPr>
          <w:rFonts w:eastAsia="Times New Roman" w:cs="Times New Roman"/>
          <w:b/>
          <w:bCs/>
          <w:kern w:val="0"/>
          <w14:ligatures w14:val="none"/>
        </w:rPr>
        <w:t xml:space="preserve"> method for </w:t>
      </w:r>
      <w:r w:rsidR="00365AC1" w:rsidRPr="00C078F6">
        <w:rPr>
          <w:rFonts w:eastAsia="Times New Roman" w:cs="Times New Roman"/>
          <w:b/>
          <w:bCs/>
          <w:kern w:val="0"/>
          <w14:ligatures w14:val="none"/>
        </w:rPr>
        <w:t>young children. Choose from the following obs</w:t>
      </w:r>
      <w:r w:rsidR="00385A11" w:rsidRPr="00C078F6">
        <w:rPr>
          <w:rFonts w:eastAsia="Times New Roman" w:cs="Times New Roman"/>
          <w:b/>
          <w:bCs/>
          <w:kern w:val="0"/>
          <w14:ligatures w14:val="none"/>
        </w:rPr>
        <w:t>ervation types. (750 words)</w:t>
      </w:r>
    </w:p>
    <w:p w14:paraId="15817E20" w14:textId="61A4148C"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 xml:space="preserve">Observation is the systematic process of watching, listening to, and documenting children’s behaviour </w:t>
      </w:r>
      <w:r w:rsidR="001A1E54" w:rsidRPr="006C6027">
        <w:rPr>
          <w:rStyle w:val="s1"/>
          <w:rFonts w:asciiTheme="minorHAnsi" w:hAnsiTheme="minorHAnsi"/>
        </w:rPr>
        <w:t>to</w:t>
      </w:r>
      <w:r w:rsidRPr="006C6027">
        <w:rPr>
          <w:rStyle w:val="s1"/>
          <w:rFonts w:asciiTheme="minorHAnsi" w:hAnsiTheme="minorHAnsi"/>
        </w:rPr>
        <w:t xml:space="preserve"> understand their development, learning, and overall wellbeing. In early childhood education, observation enables practitioners to </w:t>
      </w:r>
      <w:bookmarkStart w:id="15" w:name="_Int_r9Grvs09"/>
      <w:r w:rsidRPr="006C6027">
        <w:rPr>
          <w:rStyle w:val="s1"/>
          <w:rFonts w:asciiTheme="minorHAnsi" w:hAnsiTheme="minorHAnsi"/>
        </w:rPr>
        <w:t>identify</w:t>
      </w:r>
      <w:bookmarkEnd w:id="15"/>
      <w:r w:rsidRPr="006C6027">
        <w:rPr>
          <w:rStyle w:val="s1"/>
          <w:rFonts w:asciiTheme="minorHAnsi" w:hAnsiTheme="minorHAnsi"/>
        </w:rPr>
        <w:t xml:space="preserve"> children’s interests, dispositions, and learning processes in natural contexts (Siraj-Blatchford, 2009). Rather than relying on </w:t>
      </w:r>
      <w:r w:rsidR="001A1E54" w:rsidRPr="006C6027">
        <w:rPr>
          <w:rStyle w:val="s1"/>
          <w:rFonts w:asciiTheme="minorHAnsi" w:hAnsiTheme="minorHAnsi"/>
        </w:rPr>
        <w:t xml:space="preserve">just </w:t>
      </w:r>
      <w:r w:rsidRPr="006C6027">
        <w:rPr>
          <w:rStyle w:val="s1"/>
          <w:rFonts w:asciiTheme="minorHAnsi" w:hAnsiTheme="minorHAnsi"/>
        </w:rPr>
        <w:t>testing, the Welsh Government (2022) states that assessment should be ongoing, formative, and holistic to build a complete understanding of each child.</w:t>
      </w:r>
    </w:p>
    <w:p w14:paraId="069ED7A4" w14:textId="72B9C260"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 xml:space="preserve">Structured observation tools promote consistency and reflection. One approach is the </w:t>
      </w:r>
      <w:r w:rsidRPr="006C6027">
        <w:rPr>
          <w:rStyle w:val="s2"/>
          <w:rFonts w:asciiTheme="minorHAnsi" w:hAnsiTheme="minorHAnsi"/>
        </w:rPr>
        <w:t>Leuven Scale of Involvement and Wellbeing</w:t>
      </w:r>
      <w:r w:rsidRPr="006C6027">
        <w:rPr>
          <w:rStyle w:val="s1"/>
          <w:rFonts w:asciiTheme="minorHAnsi" w:hAnsiTheme="minorHAnsi"/>
        </w:rPr>
        <w:t>, developed by Laevers (2005). Unlike methods that focus primarily on measurable academic skills, the Leuven Scale evaluates the quality of children’s experiences. It measures two key indicators</w:t>
      </w:r>
      <w:r w:rsidR="00C411E0" w:rsidRPr="006C6027">
        <w:rPr>
          <w:rStyle w:val="s1"/>
          <w:rFonts w:asciiTheme="minorHAnsi" w:hAnsiTheme="minorHAnsi"/>
        </w:rPr>
        <w:t xml:space="preserve">, the </w:t>
      </w:r>
      <w:r w:rsidRPr="006C6027">
        <w:rPr>
          <w:rStyle w:val="s1"/>
          <w:rFonts w:asciiTheme="minorHAnsi" w:hAnsiTheme="minorHAnsi"/>
        </w:rPr>
        <w:t>involvement and wellbeing. The core principle is that deep learning occurs when children feel emotionally secure and are highly engaged in meaningful activity (Laevers, 2005).</w:t>
      </w:r>
    </w:p>
    <w:p w14:paraId="5FE34CC6" w14:textId="77777777"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 xml:space="preserve">Involvement refers to the level of concentration, energy, persistence, and intrinsic motivation a child </w:t>
      </w:r>
      <w:bookmarkStart w:id="16" w:name="_Int_CaWu4MM1"/>
      <w:r w:rsidRPr="006C6027">
        <w:rPr>
          <w:rStyle w:val="s1"/>
          <w:rFonts w:asciiTheme="minorHAnsi" w:hAnsiTheme="minorHAnsi"/>
        </w:rPr>
        <w:t>demonstrates</w:t>
      </w:r>
      <w:bookmarkEnd w:id="16"/>
      <w:r w:rsidRPr="006C6027">
        <w:rPr>
          <w:rStyle w:val="s1"/>
          <w:rFonts w:asciiTheme="minorHAnsi" w:hAnsiTheme="minorHAnsi"/>
        </w:rPr>
        <w:t>. A highly involved child shows focus, curiosity, and determination. Wellbeing reflects how relaxed, confident, and emotionally secure a child appears within the environment. When both involvement and wellbeing are high, learning is likely to be deep and developmentally significant (Whitebread, 2012).</w:t>
      </w:r>
    </w:p>
    <w:p w14:paraId="19A7A94E" w14:textId="5B0304AB"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lastRenderedPageBreak/>
        <w:t xml:space="preserve">The Leuven Scale uses a </w:t>
      </w:r>
      <w:bookmarkStart w:id="17" w:name="_Int_tsEgRJYk"/>
      <w:r w:rsidRPr="006C6027">
        <w:rPr>
          <w:rStyle w:val="s1"/>
          <w:rFonts w:asciiTheme="minorHAnsi" w:hAnsiTheme="minorHAnsi"/>
        </w:rPr>
        <w:t>five</w:t>
      </w:r>
      <w:r w:rsidR="00D61636" w:rsidRPr="006C6027">
        <w:rPr>
          <w:rStyle w:val="s1"/>
          <w:rFonts w:asciiTheme="minorHAnsi" w:hAnsiTheme="minorHAnsi"/>
        </w:rPr>
        <w:t xml:space="preserve"> </w:t>
      </w:r>
      <w:r w:rsidRPr="006C6027">
        <w:rPr>
          <w:rStyle w:val="s1"/>
          <w:rFonts w:asciiTheme="minorHAnsi" w:hAnsiTheme="minorHAnsi"/>
        </w:rPr>
        <w:t>point</w:t>
      </w:r>
      <w:bookmarkEnd w:id="17"/>
      <w:r w:rsidRPr="006C6027">
        <w:rPr>
          <w:rStyle w:val="s1"/>
          <w:rFonts w:asciiTheme="minorHAnsi" w:hAnsiTheme="minorHAnsi"/>
        </w:rPr>
        <w:t xml:space="preserve"> rating system. A score of one </w:t>
      </w:r>
      <w:bookmarkStart w:id="18" w:name="_Int_7VbFl0A2"/>
      <w:r w:rsidR="005E302D" w:rsidRPr="006C6027">
        <w:rPr>
          <w:rStyle w:val="s1"/>
          <w:rFonts w:asciiTheme="minorHAnsi" w:hAnsiTheme="minorHAnsi"/>
        </w:rPr>
        <w:t>shows</w:t>
      </w:r>
      <w:bookmarkEnd w:id="18"/>
      <w:r w:rsidRPr="006C6027">
        <w:rPr>
          <w:rStyle w:val="s1"/>
          <w:rFonts w:asciiTheme="minorHAnsi" w:hAnsiTheme="minorHAnsi"/>
        </w:rPr>
        <w:t xml:space="preserve"> extremely low involvement or wellbeing, where a child may appear withdrawn, distracted, or anxious. A score of five reflects intense concentration, enjoyment, creativity, and confidence. Practitioners </w:t>
      </w:r>
      <w:bookmarkStart w:id="19" w:name="_Int_9eBnOfVe"/>
      <w:r w:rsidRPr="006C6027">
        <w:rPr>
          <w:rStyle w:val="s1"/>
          <w:rFonts w:asciiTheme="minorHAnsi" w:hAnsiTheme="minorHAnsi"/>
        </w:rPr>
        <w:t>observe</w:t>
      </w:r>
      <w:bookmarkEnd w:id="19"/>
      <w:r w:rsidRPr="006C6027">
        <w:rPr>
          <w:rStyle w:val="s1"/>
          <w:rFonts w:asciiTheme="minorHAnsi" w:hAnsiTheme="minorHAnsi"/>
        </w:rPr>
        <w:t xml:space="preserve"> without interrupting play and record descriptive notes to justify their scoring. Importantly, the purpose is not to judge the child but to evaluate the quality of the learning environment and adult interaction (Laevers, 2005).</w:t>
      </w:r>
    </w:p>
    <w:p w14:paraId="16FFCFC5" w14:textId="4CD1F7FA"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This approach aligns closely with research on effective early years practice. The EPPE project found that high</w:t>
      </w:r>
      <w:r w:rsidR="001C298E" w:rsidRPr="006C6027">
        <w:rPr>
          <w:rStyle w:val="s1"/>
          <w:rFonts w:asciiTheme="minorHAnsi" w:hAnsiTheme="minorHAnsi"/>
        </w:rPr>
        <w:t xml:space="preserve"> </w:t>
      </w:r>
      <w:r w:rsidRPr="006C6027">
        <w:rPr>
          <w:rStyle w:val="s1"/>
          <w:rFonts w:asciiTheme="minorHAnsi" w:hAnsiTheme="minorHAnsi"/>
        </w:rPr>
        <w:t>quality interactions and emotionally supportive environments significantly improve long</w:t>
      </w:r>
      <w:r w:rsidR="001C298E" w:rsidRPr="006C6027">
        <w:rPr>
          <w:rStyle w:val="s1"/>
          <w:rFonts w:asciiTheme="minorHAnsi" w:hAnsiTheme="minorHAnsi"/>
        </w:rPr>
        <w:t xml:space="preserve"> </w:t>
      </w:r>
      <w:r w:rsidRPr="006C6027">
        <w:rPr>
          <w:rStyle w:val="s1"/>
          <w:rFonts w:asciiTheme="minorHAnsi" w:hAnsiTheme="minorHAnsi"/>
        </w:rPr>
        <w:t xml:space="preserve">term outcomes for children (Sylva et al., 2010). By measuring involvement and wellbeing, the Leuven Scale helps practitioners </w:t>
      </w:r>
      <w:r w:rsidR="001C298E" w:rsidRPr="006C6027">
        <w:rPr>
          <w:rStyle w:val="s1"/>
          <w:rFonts w:asciiTheme="minorHAnsi" w:hAnsiTheme="minorHAnsi"/>
        </w:rPr>
        <w:t>find</w:t>
      </w:r>
      <w:r w:rsidRPr="006C6027">
        <w:rPr>
          <w:rStyle w:val="s1"/>
          <w:rFonts w:asciiTheme="minorHAnsi" w:hAnsiTheme="minorHAnsi"/>
        </w:rPr>
        <w:t xml:space="preserve"> whether those </w:t>
      </w:r>
      <w:bookmarkStart w:id="20" w:name="_Int_g3oX8MFh"/>
      <w:r w:rsidRPr="006C6027">
        <w:rPr>
          <w:rStyle w:val="s1"/>
          <w:rFonts w:asciiTheme="minorHAnsi" w:hAnsiTheme="minorHAnsi"/>
        </w:rPr>
        <w:t>high</w:t>
      </w:r>
      <w:r w:rsidR="001C298E" w:rsidRPr="006C6027">
        <w:rPr>
          <w:rStyle w:val="s1"/>
          <w:rFonts w:asciiTheme="minorHAnsi" w:hAnsiTheme="minorHAnsi"/>
        </w:rPr>
        <w:t xml:space="preserve"> </w:t>
      </w:r>
      <w:r w:rsidRPr="006C6027">
        <w:rPr>
          <w:rStyle w:val="s1"/>
          <w:rFonts w:asciiTheme="minorHAnsi" w:hAnsiTheme="minorHAnsi"/>
        </w:rPr>
        <w:t>quality</w:t>
      </w:r>
      <w:bookmarkEnd w:id="20"/>
      <w:r w:rsidRPr="006C6027">
        <w:rPr>
          <w:rStyle w:val="s1"/>
          <w:rFonts w:asciiTheme="minorHAnsi" w:hAnsiTheme="minorHAnsi"/>
        </w:rPr>
        <w:t xml:space="preserve"> conditions are present.</w:t>
      </w:r>
    </w:p>
    <w:p w14:paraId="1A6DA953" w14:textId="5F822424"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The Leuven method is particularly effective during self</w:t>
      </w:r>
      <w:r w:rsidR="00677A4F" w:rsidRPr="006C6027">
        <w:rPr>
          <w:rStyle w:val="s1"/>
          <w:rFonts w:asciiTheme="minorHAnsi" w:hAnsiTheme="minorHAnsi"/>
        </w:rPr>
        <w:t xml:space="preserve"> </w:t>
      </w:r>
      <w:r w:rsidRPr="006C6027">
        <w:rPr>
          <w:rStyle w:val="s1"/>
          <w:rFonts w:asciiTheme="minorHAnsi" w:hAnsiTheme="minorHAnsi"/>
        </w:rPr>
        <w:t xml:space="preserve">directed play. When children choose activities freely, their engagement is more authentic and intrinsically motivated. For example, a child constructing a tower may </w:t>
      </w:r>
      <w:r w:rsidR="00677A4F" w:rsidRPr="006C6027">
        <w:rPr>
          <w:rStyle w:val="s1"/>
          <w:rFonts w:asciiTheme="minorHAnsi" w:hAnsiTheme="minorHAnsi"/>
        </w:rPr>
        <w:t>show</w:t>
      </w:r>
      <w:r w:rsidRPr="006C6027">
        <w:rPr>
          <w:rStyle w:val="s1"/>
          <w:rFonts w:asciiTheme="minorHAnsi" w:hAnsiTheme="minorHAnsi"/>
        </w:rPr>
        <w:t xml:space="preserve"> high involvement through sustained attention, problem</w:t>
      </w:r>
      <w:r w:rsidR="00677A4F" w:rsidRPr="006C6027">
        <w:rPr>
          <w:rStyle w:val="s1"/>
          <w:rFonts w:asciiTheme="minorHAnsi" w:hAnsiTheme="minorHAnsi"/>
        </w:rPr>
        <w:t xml:space="preserve"> </w:t>
      </w:r>
      <w:r w:rsidRPr="006C6027">
        <w:rPr>
          <w:rStyle w:val="s1"/>
          <w:rFonts w:asciiTheme="minorHAnsi" w:hAnsiTheme="minorHAnsi"/>
        </w:rPr>
        <w:t>solving, and persistence after failure. Visible enjoyment and relaxed body language may indicate high wellbeing. In contrast, wandering without focus may suggest low involvement, prompting reflection on whether resources, challenge level, or adult interaction need adjustment (Fisher, 2016).</w:t>
      </w:r>
    </w:p>
    <w:p w14:paraId="7D9C0008" w14:textId="7C4165FC"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 xml:space="preserve">The emphasis on intrinsic motivation links to Deci and Ryan’s (2000) Self-Determination Theory, which highlights autonomy as central to deep engagement. Howard and McInnes (2013) similarly found that children who perceive activities as play show greater emotional wellbeing and engagement than when tasks </w:t>
      </w:r>
      <w:bookmarkStart w:id="21" w:name="_Int_bnUGU2Jo"/>
      <w:r w:rsidRPr="006C6027">
        <w:rPr>
          <w:rStyle w:val="s1"/>
          <w:rFonts w:asciiTheme="minorHAnsi" w:hAnsiTheme="minorHAnsi"/>
        </w:rPr>
        <w:t>are presented</w:t>
      </w:r>
      <w:bookmarkEnd w:id="21"/>
      <w:r w:rsidRPr="006C6027">
        <w:rPr>
          <w:rStyle w:val="s1"/>
          <w:rFonts w:asciiTheme="minorHAnsi" w:hAnsiTheme="minorHAnsi"/>
        </w:rPr>
        <w:t xml:space="preserve"> as work. Therefore, the Leuven Scale captures the emotional quality of learning rather than simply recording observable outcomes.</w:t>
      </w:r>
    </w:p>
    <w:p w14:paraId="57F0F7C7" w14:textId="560BA34E"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A major strength of the Leuven Scale is its focus on process rather than performance. Wood (2014) argues that assessment systems overly focused on measurable outcomes can undermine play</w:t>
      </w:r>
      <w:r w:rsidR="00B276F7" w:rsidRPr="006C6027">
        <w:rPr>
          <w:rStyle w:val="s1"/>
          <w:rFonts w:asciiTheme="minorHAnsi" w:hAnsiTheme="minorHAnsi"/>
        </w:rPr>
        <w:t xml:space="preserve"> </w:t>
      </w:r>
      <w:r w:rsidRPr="006C6027">
        <w:rPr>
          <w:rStyle w:val="s1"/>
          <w:rFonts w:asciiTheme="minorHAnsi" w:hAnsiTheme="minorHAnsi"/>
        </w:rPr>
        <w:t xml:space="preserve">based </w:t>
      </w:r>
      <w:r w:rsidR="001E4218" w:rsidRPr="006C6027">
        <w:rPr>
          <w:rStyle w:val="s1"/>
          <w:rFonts w:asciiTheme="minorHAnsi" w:hAnsiTheme="minorHAnsi"/>
        </w:rPr>
        <w:t>education</w:t>
      </w:r>
      <w:r w:rsidRPr="006C6027">
        <w:rPr>
          <w:rStyle w:val="s1"/>
          <w:rFonts w:asciiTheme="minorHAnsi" w:hAnsiTheme="minorHAnsi"/>
        </w:rPr>
        <w:t xml:space="preserve">. By prioritising involvement and wellbeing, practitioners consider whether learning conditions support curiosity and independence. Bruce (2011) supports this view, suggesting that observation in early </w:t>
      </w:r>
      <w:r w:rsidRPr="006C6027">
        <w:rPr>
          <w:rStyle w:val="s1"/>
          <w:rFonts w:asciiTheme="minorHAnsi" w:hAnsiTheme="minorHAnsi"/>
        </w:rPr>
        <w:lastRenderedPageBreak/>
        <w:t>years should honour children’s natural ways of learning rather than impose</w:t>
      </w:r>
      <w:r w:rsidR="00EE70B9" w:rsidRPr="006C6027">
        <w:rPr>
          <w:rStyle w:val="s1"/>
          <w:rFonts w:asciiTheme="minorHAnsi" w:hAnsiTheme="minorHAnsi"/>
        </w:rPr>
        <w:t xml:space="preserve"> </w:t>
      </w:r>
      <w:r w:rsidRPr="006C6027">
        <w:rPr>
          <w:rStyle w:val="s1"/>
          <w:rFonts w:asciiTheme="minorHAnsi" w:hAnsiTheme="minorHAnsi"/>
        </w:rPr>
        <w:t>expectations.</w:t>
      </w:r>
    </w:p>
    <w:p w14:paraId="0C36E30D" w14:textId="61AA0770"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However, the Leuven Scale does not assess specific curriculum skills such as early writing or</w:t>
      </w:r>
      <w:r w:rsidR="002C4E3F" w:rsidRPr="006C6027">
        <w:rPr>
          <w:rStyle w:val="s1"/>
          <w:rFonts w:asciiTheme="minorHAnsi" w:hAnsiTheme="minorHAnsi"/>
        </w:rPr>
        <w:t xml:space="preserve"> </w:t>
      </w:r>
      <w:r w:rsidRPr="006C6027">
        <w:rPr>
          <w:rStyle w:val="s1"/>
          <w:rFonts w:asciiTheme="minorHAnsi" w:hAnsiTheme="minorHAnsi"/>
        </w:rPr>
        <w:t xml:space="preserve">number recognition. It provides insight into readiness and engagement rather than </w:t>
      </w:r>
      <w:r w:rsidR="00E671E1" w:rsidRPr="006C6027">
        <w:rPr>
          <w:rStyle w:val="s1"/>
          <w:rFonts w:asciiTheme="minorHAnsi" w:hAnsiTheme="minorHAnsi"/>
        </w:rPr>
        <w:t>achievemen</w:t>
      </w:r>
      <w:r w:rsidRPr="006C6027">
        <w:rPr>
          <w:rStyle w:val="s1"/>
          <w:rFonts w:asciiTheme="minorHAnsi" w:hAnsiTheme="minorHAnsi"/>
        </w:rPr>
        <w:t xml:space="preserve">t. For this reason, it </w:t>
      </w:r>
      <w:bookmarkStart w:id="22" w:name="_Int_9q6MQXaI"/>
      <w:r w:rsidRPr="006C6027">
        <w:rPr>
          <w:rStyle w:val="s1"/>
          <w:rFonts w:asciiTheme="minorHAnsi" w:hAnsiTheme="minorHAnsi"/>
        </w:rPr>
        <w:t>is often used</w:t>
      </w:r>
      <w:bookmarkEnd w:id="22"/>
      <w:r w:rsidRPr="006C6027">
        <w:rPr>
          <w:rStyle w:val="s1"/>
          <w:rFonts w:asciiTheme="minorHAnsi" w:hAnsiTheme="minorHAnsi"/>
        </w:rPr>
        <w:t xml:space="preserve"> alongside other approaches. Carr (2001), for example, developed Learning Stories as a narrative method of documenting children’s strengths and dispositions. While Learning Stories provide</w:t>
      </w:r>
      <w:r w:rsidR="00E03910" w:rsidRPr="006C6027">
        <w:rPr>
          <w:rStyle w:val="s1"/>
          <w:rFonts w:asciiTheme="minorHAnsi" w:hAnsiTheme="minorHAnsi"/>
        </w:rPr>
        <w:t xml:space="preserve">s </w:t>
      </w:r>
      <w:r w:rsidRPr="006C6027">
        <w:rPr>
          <w:rStyle w:val="s1"/>
          <w:rFonts w:asciiTheme="minorHAnsi" w:hAnsiTheme="minorHAnsi"/>
        </w:rPr>
        <w:t>qualitative detail, the Leuven Scale offers a structured, measurable framework. When combined, these methods provide a more comprehensive understanding of development.</w:t>
      </w:r>
    </w:p>
    <w:p w14:paraId="160D5B74" w14:textId="271F0A45"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There are also limitations. Interpretation of involvement may be subjective, as different practitioners may perceive behaviour differently. Involvement levels can fluctuate depending on mood, peer relationships, or environmental factors. Repeated observations across different contexts increase reliability and validity (Moyles, 2015). Additionally, practitioners must remain unobtrusive to avoid influencing behaviour, ensuring that observations reflect authentic engagement.</w:t>
      </w:r>
    </w:p>
    <w:p w14:paraId="7D20BB79" w14:textId="76D9B55D"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Despite these limitations, the Leuven Scale remains valuable because it centres children’s emotional and cognitive experiences. It encourages reflective practice by prompting adults to adjust environments, resources, or interactions if involvement and wellbeing are low. This child</w:t>
      </w:r>
      <w:r w:rsidR="00BB3A16" w:rsidRPr="006C6027">
        <w:rPr>
          <w:rStyle w:val="s1"/>
          <w:rFonts w:asciiTheme="minorHAnsi" w:hAnsiTheme="minorHAnsi"/>
        </w:rPr>
        <w:t xml:space="preserve"> </w:t>
      </w:r>
      <w:r w:rsidRPr="006C6027">
        <w:rPr>
          <w:rStyle w:val="s1"/>
          <w:rFonts w:asciiTheme="minorHAnsi" w:hAnsiTheme="minorHAnsi"/>
        </w:rPr>
        <w:t>centred focus aligns with play-based learning principles and supports holistic development (Laevers, 2005; Welsh Government, 2022).</w:t>
      </w:r>
    </w:p>
    <w:p w14:paraId="02050583" w14:textId="5B57A23B" w:rsidR="00521A24" w:rsidRPr="006C6027" w:rsidRDefault="00521A24" w:rsidP="006C6027">
      <w:pPr>
        <w:pStyle w:val="p1"/>
        <w:spacing w:line="360" w:lineRule="auto"/>
        <w:rPr>
          <w:rFonts w:asciiTheme="minorHAnsi" w:hAnsiTheme="minorHAnsi"/>
        </w:rPr>
      </w:pPr>
      <w:r w:rsidRPr="006C6027">
        <w:rPr>
          <w:rStyle w:val="s1"/>
          <w:rFonts w:asciiTheme="minorHAnsi" w:hAnsiTheme="minorHAnsi"/>
        </w:rPr>
        <w:t xml:space="preserve">In conclusion, the Leuven Scale provides a structured yet </w:t>
      </w:r>
      <w:bookmarkStart w:id="23" w:name="_Int_Tjih6s1z"/>
      <w:r w:rsidRPr="006C6027">
        <w:rPr>
          <w:rStyle w:val="s1"/>
          <w:rFonts w:asciiTheme="minorHAnsi" w:hAnsiTheme="minorHAnsi"/>
        </w:rPr>
        <w:t>holistic approach</w:t>
      </w:r>
      <w:bookmarkEnd w:id="23"/>
      <w:r w:rsidRPr="006C6027">
        <w:rPr>
          <w:rStyle w:val="s1"/>
          <w:rFonts w:asciiTheme="minorHAnsi" w:hAnsiTheme="minorHAnsi"/>
        </w:rPr>
        <w:t xml:space="preserve"> to </w:t>
      </w:r>
      <w:bookmarkStart w:id="24" w:name="_Int_zc46EjCZ"/>
      <w:r w:rsidRPr="006C6027">
        <w:rPr>
          <w:rStyle w:val="s1"/>
          <w:rFonts w:asciiTheme="minorHAnsi" w:hAnsiTheme="minorHAnsi"/>
        </w:rPr>
        <w:t>observing</w:t>
      </w:r>
      <w:bookmarkEnd w:id="24"/>
      <w:r w:rsidRPr="006C6027">
        <w:rPr>
          <w:rStyle w:val="s1"/>
          <w:rFonts w:asciiTheme="minorHAnsi" w:hAnsiTheme="minorHAnsi"/>
        </w:rPr>
        <w:t xml:space="preserve"> children. By assessing involvement and wellbeing, it captures the depth and quality of children’s learning experiences. When used alongside narrative observations and within play</w:t>
      </w:r>
      <w:r w:rsidR="00952BC5" w:rsidRPr="006C6027">
        <w:rPr>
          <w:rStyle w:val="s1"/>
          <w:rFonts w:asciiTheme="minorHAnsi" w:hAnsiTheme="minorHAnsi"/>
        </w:rPr>
        <w:t xml:space="preserve"> </w:t>
      </w:r>
      <w:r w:rsidRPr="006C6027">
        <w:rPr>
          <w:rStyle w:val="s1"/>
          <w:rFonts w:asciiTheme="minorHAnsi" w:hAnsiTheme="minorHAnsi"/>
        </w:rPr>
        <w:t>based environments, it supports reflective practice and promotes emotionally secure, engaging learning conditions that enhance long-term developmental outcomes (Sylva et al., 2010; Bruce, 2011; Carr, 2001).</w:t>
      </w:r>
    </w:p>
    <w:p w14:paraId="3052CF44" w14:textId="4E39FD4D" w:rsidR="00F07CDA" w:rsidRPr="00C078F6" w:rsidRDefault="00F07CDA" w:rsidP="006C6027">
      <w:pPr>
        <w:spacing w:before="100" w:beforeAutospacing="1" w:after="100" w:afterAutospacing="1" w:line="360" w:lineRule="auto"/>
        <w:outlineLvl w:val="1"/>
        <w:rPr>
          <w:rFonts w:eastAsia="Times New Roman" w:cs="Times New Roman"/>
          <w:b/>
          <w:bCs/>
          <w:kern w:val="0"/>
          <w14:ligatures w14:val="none"/>
        </w:rPr>
      </w:pPr>
      <w:r w:rsidRPr="00C078F6">
        <w:rPr>
          <w:rFonts w:eastAsia="Times New Roman" w:cs="Times New Roman"/>
          <w:b/>
          <w:bCs/>
          <w:kern w:val="0"/>
          <w14:ligatures w14:val="none"/>
        </w:rPr>
        <w:lastRenderedPageBreak/>
        <w:t xml:space="preserve">Section 4: </w:t>
      </w:r>
      <w:bookmarkStart w:id="25" w:name="_Int_Zz7jowD5"/>
      <w:r w:rsidR="0091021A" w:rsidRPr="00C078F6">
        <w:rPr>
          <w:rFonts w:eastAsia="Times New Roman" w:cs="Times New Roman"/>
          <w:b/>
          <w:bCs/>
          <w:kern w:val="0"/>
          <w14:ligatures w14:val="none"/>
        </w:rPr>
        <w:t>Demonstrate</w:t>
      </w:r>
      <w:bookmarkEnd w:id="25"/>
      <w:r w:rsidR="0091021A" w:rsidRPr="00C078F6">
        <w:rPr>
          <w:rFonts w:eastAsia="Times New Roman" w:cs="Times New Roman"/>
          <w:b/>
          <w:bCs/>
          <w:kern w:val="0"/>
          <w14:ligatures w14:val="none"/>
        </w:rPr>
        <w:t xml:space="preserve"> an understanding </w:t>
      </w:r>
      <w:r w:rsidR="00DD31E3" w:rsidRPr="00C078F6">
        <w:rPr>
          <w:rFonts w:eastAsia="Times New Roman" w:cs="Times New Roman"/>
          <w:b/>
          <w:bCs/>
          <w:kern w:val="0"/>
          <w14:ligatures w14:val="none"/>
        </w:rPr>
        <w:t xml:space="preserve">of the role of play when undertaking observations and assessments of children and consider how this affects the </w:t>
      </w:r>
      <w:r w:rsidR="00E97030" w:rsidRPr="00C078F6">
        <w:rPr>
          <w:rFonts w:eastAsia="Times New Roman" w:cs="Times New Roman"/>
          <w:b/>
          <w:bCs/>
          <w:kern w:val="0"/>
          <w14:ligatures w14:val="none"/>
        </w:rPr>
        <w:t>child engagement and the accuracy of the observation. (750 words)</w:t>
      </w:r>
    </w:p>
    <w:p w14:paraId="6CE16DDA" w14:textId="733F273F"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Observation and assessment are central to effective early years practice because they provide insight into children’s development, interests, and individual learning pathways. Rather than serving as a mechanism for comparison or judgement, assessment in early childhood should be formative, responsive, and holistic (Welsh Government, 2022). High</w:t>
      </w:r>
      <w:r w:rsidR="00952BC5" w:rsidRPr="006C6027">
        <w:rPr>
          <w:rStyle w:val="s1"/>
          <w:rFonts w:asciiTheme="minorHAnsi" w:hAnsiTheme="minorHAnsi"/>
        </w:rPr>
        <w:t xml:space="preserve"> </w:t>
      </w:r>
      <w:r w:rsidRPr="006C6027">
        <w:rPr>
          <w:rStyle w:val="s1"/>
          <w:rFonts w:asciiTheme="minorHAnsi" w:hAnsiTheme="minorHAnsi"/>
        </w:rPr>
        <w:t>quality observation enables practitioners to adapt provision, extend thinking, and create emotionally supportive environments that promote both wellbeing and cognitive growth.</w:t>
      </w:r>
    </w:p>
    <w:p w14:paraId="7D0EAB82" w14:textId="598EB24D"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Formative assessment plays a crucial role within this process. Black and </w:t>
      </w:r>
      <w:proofErr w:type="spellStart"/>
      <w:r w:rsidRPr="006C6027">
        <w:rPr>
          <w:rStyle w:val="s1"/>
          <w:rFonts w:asciiTheme="minorHAnsi" w:hAnsiTheme="minorHAnsi"/>
        </w:rPr>
        <w:t>Wiliam</w:t>
      </w:r>
      <w:proofErr w:type="spellEnd"/>
      <w:r w:rsidRPr="006C6027">
        <w:rPr>
          <w:rStyle w:val="s1"/>
          <w:rFonts w:asciiTheme="minorHAnsi" w:hAnsiTheme="minorHAnsi"/>
        </w:rPr>
        <w:t xml:space="preserve"> (2009) argue that assessment is most effective when it informs future teaching and helps learners progress, rather than simply measuring </w:t>
      </w:r>
      <w:r w:rsidR="00594D7D" w:rsidRPr="006C6027">
        <w:rPr>
          <w:rStyle w:val="s1"/>
          <w:rFonts w:asciiTheme="minorHAnsi" w:hAnsiTheme="minorHAnsi"/>
        </w:rPr>
        <w:t>achievement</w:t>
      </w:r>
      <w:r w:rsidRPr="006C6027">
        <w:rPr>
          <w:rStyle w:val="s1"/>
          <w:rFonts w:asciiTheme="minorHAnsi" w:hAnsiTheme="minorHAnsi"/>
        </w:rPr>
        <w:t xml:space="preserve">. Similarly, the Assessment Reform Group (2002) emphasises that Assessment for Learning should involve careful observation, professional judgement, and responsive planning. In early years contexts, this means practitioners must </w:t>
      </w:r>
      <w:bookmarkStart w:id="26" w:name="_Int_59WdIuMB"/>
      <w:r w:rsidRPr="006C6027">
        <w:rPr>
          <w:rStyle w:val="s1"/>
          <w:rFonts w:asciiTheme="minorHAnsi" w:hAnsiTheme="minorHAnsi"/>
        </w:rPr>
        <w:t>observe</w:t>
      </w:r>
      <w:bookmarkEnd w:id="26"/>
      <w:r w:rsidRPr="006C6027">
        <w:rPr>
          <w:rStyle w:val="s1"/>
          <w:rFonts w:asciiTheme="minorHAnsi" w:hAnsiTheme="minorHAnsi"/>
        </w:rPr>
        <w:t xml:space="preserve"> children within meaningful play experiences and use their findings to adjust interactions, challenge levels, and environmental resources.</w:t>
      </w:r>
    </w:p>
    <w:p w14:paraId="62091E78" w14:textId="0C587D47"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Structured tools such as the Leuven Scale contribute to this reflective cycle. By evaluating involvement and wellbeing, practitioners can </w:t>
      </w:r>
      <w:bookmarkStart w:id="27" w:name="_Int_kv3WNYgG"/>
      <w:r w:rsidRPr="006C6027">
        <w:rPr>
          <w:rStyle w:val="s1"/>
          <w:rFonts w:asciiTheme="minorHAnsi" w:hAnsiTheme="minorHAnsi"/>
        </w:rPr>
        <w:t>identify</w:t>
      </w:r>
      <w:bookmarkEnd w:id="27"/>
      <w:r w:rsidRPr="006C6027">
        <w:rPr>
          <w:rStyle w:val="s1"/>
          <w:rFonts w:asciiTheme="minorHAnsi" w:hAnsiTheme="minorHAnsi"/>
        </w:rPr>
        <w:t xml:space="preserve"> whether learning conditions are </w:t>
      </w:r>
      <w:r w:rsidR="00594D7D" w:rsidRPr="006C6027">
        <w:rPr>
          <w:rStyle w:val="s1"/>
          <w:rFonts w:asciiTheme="minorHAnsi" w:hAnsiTheme="minorHAnsi"/>
        </w:rPr>
        <w:t>best</w:t>
      </w:r>
      <w:r w:rsidRPr="006C6027">
        <w:rPr>
          <w:rStyle w:val="s1"/>
          <w:rFonts w:asciiTheme="minorHAnsi" w:hAnsiTheme="minorHAnsi"/>
        </w:rPr>
        <w:t xml:space="preserve"> (Laevers, 2005). However, structured assessment must </w:t>
      </w:r>
      <w:bookmarkStart w:id="28" w:name="_Int_z7MtUWFj"/>
      <w:r w:rsidRPr="006C6027">
        <w:rPr>
          <w:rStyle w:val="s1"/>
          <w:rFonts w:asciiTheme="minorHAnsi" w:hAnsiTheme="minorHAnsi"/>
        </w:rPr>
        <w:t>be balanced</w:t>
      </w:r>
      <w:bookmarkEnd w:id="28"/>
      <w:r w:rsidRPr="006C6027">
        <w:rPr>
          <w:rStyle w:val="s1"/>
          <w:rFonts w:asciiTheme="minorHAnsi" w:hAnsiTheme="minorHAnsi"/>
        </w:rPr>
        <w:t xml:space="preserve"> with professional interpretation. Carr (2001) argues that narrative approaches, such as Learning Stories, allow practitioners to recognise children’s dispositions, strengths, and identities as learners. While the Leuven Scale provides measurable indicators of engagement, Learning Stories offer deeper contextual understanding. Together, they support a more comprehensive approach to assessment.</w:t>
      </w:r>
    </w:p>
    <w:p w14:paraId="1F5D0193" w14:textId="5C5C4670"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From a sociocultural perspective, learning </w:t>
      </w:r>
      <w:bookmarkStart w:id="29" w:name="_Int_vZcdL7Lu"/>
      <w:r w:rsidRPr="006C6027">
        <w:rPr>
          <w:rStyle w:val="s1"/>
          <w:rFonts w:asciiTheme="minorHAnsi" w:hAnsiTheme="minorHAnsi"/>
        </w:rPr>
        <w:t>is shaped</w:t>
      </w:r>
      <w:bookmarkEnd w:id="29"/>
      <w:r w:rsidRPr="006C6027">
        <w:rPr>
          <w:rStyle w:val="s1"/>
          <w:rFonts w:asciiTheme="minorHAnsi" w:hAnsiTheme="minorHAnsi"/>
        </w:rPr>
        <w:t xml:space="preserve"> by interaction and participation within social contexts. </w:t>
      </w:r>
      <w:proofErr w:type="spellStart"/>
      <w:r w:rsidRPr="006C6027">
        <w:rPr>
          <w:rStyle w:val="s1"/>
          <w:rFonts w:asciiTheme="minorHAnsi" w:hAnsiTheme="minorHAnsi"/>
        </w:rPr>
        <w:t>Rogoff</w:t>
      </w:r>
      <w:proofErr w:type="spellEnd"/>
      <w:r w:rsidRPr="006C6027">
        <w:rPr>
          <w:rStyle w:val="s1"/>
          <w:rFonts w:asciiTheme="minorHAnsi" w:hAnsiTheme="minorHAnsi"/>
        </w:rPr>
        <w:t xml:space="preserve"> (2003) describes learning as guided participation, </w:t>
      </w:r>
      <w:bookmarkStart w:id="30" w:name="_Int_ZCrhbTea"/>
      <w:r w:rsidRPr="006C6027">
        <w:rPr>
          <w:rStyle w:val="s1"/>
          <w:rFonts w:asciiTheme="minorHAnsi" w:hAnsiTheme="minorHAnsi"/>
        </w:rPr>
        <w:t>where</w:t>
      </w:r>
      <w:bookmarkEnd w:id="30"/>
      <w:r w:rsidRPr="006C6027">
        <w:rPr>
          <w:rStyle w:val="s1"/>
          <w:rFonts w:asciiTheme="minorHAnsi" w:hAnsiTheme="minorHAnsi"/>
        </w:rPr>
        <w:t xml:space="preserve"> </w:t>
      </w:r>
      <w:r w:rsidRPr="006C6027">
        <w:rPr>
          <w:rStyle w:val="s1"/>
          <w:rFonts w:asciiTheme="minorHAnsi" w:hAnsiTheme="minorHAnsi"/>
        </w:rPr>
        <w:lastRenderedPageBreak/>
        <w:t xml:space="preserve">adults support children’s development through shared activity. Observation allows practitioners to </w:t>
      </w:r>
      <w:bookmarkStart w:id="31" w:name="_Int_GwhMCVaW"/>
      <w:r w:rsidRPr="006C6027">
        <w:rPr>
          <w:rStyle w:val="s1"/>
          <w:rFonts w:asciiTheme="minorHAnsi" w:hAnsiTheme="minorHAnsi"/>
        </w:rPr>
        <w:t>identify</w:t>
      </w:r>
      <w:bookmarkEnd w:id="31"/>
      <w:r w:rsidRPr="006C6027">
        <w:rPr>
          <w:rStyle w:val="s1"/>
          <w:rFonts w:asciiTheme="minorHAnsi" w:hAnsiTheme="minorHAnsi"/>
        </w:rPr>
        <w:t xml:space="preserve"> moments of sustained shared thinking, which the EPPE project found to be strongly associated with improved long</w:t>
      </w:r>
      <w:r w:rsidR="001D75B8" w:rsidRPr="006C6027">
        <w:rPr>
          <w:rStyle w:val="s1"/>
          <w:rFonts w:asciiTheme="minorHAnsi" w:hAnsiTheme="minorHAnsi"/>
        </w:rPr>
        <w:t xml:space="preserve"> </w:t>
      </w:r>
      <w:r w:rsidRPr="006C6027">
        <w:rPr>
          <w:rStyle w:val="s1"/>
          <w:rFonts w:asciiTheme="minorHAnsi" w:hAnsiTheme="minorHAnsi"/>
        </w:rPr>
        <w:t>term outcomes (Sylva et al., 2010). Therefore, assessment should focus not only on individual performance but also on the quality of interactions and collaborative learning experiences.</w:t>
      </w:r>
    </w:p>
    <w:p w14:paraId="2BCE0F00" w14:textId="77777777"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Neuroscientific research further reinforces the importance of emotionally secure environments. </w:t>
      </w:r>
      <w:proofErr w:type="spellStart"/>
      <w:r w:rsidRPr="006C6027">
        <w:rPr>
          <w:rStyle w:val="s1"/>
          <w:rFonts w:asciiTheme="minorHAnsi" w:hAnsiTheme="minorHAnsi"/>
        </w:rPr>
        <w:t>Shonkoff</w:t>
      </w:r>
      <w:proofErr w:type="spellEnd"/>
      <w:r w:rsidRPr="006C6027">
        <w:rPr>
          <w:rStyle w:val="s1"/>
          <w:rFonts w:asciiTheme="minorHAnsi" w:hAnsiTheme="minorHAnsi"/>
        </w:rPr>
        <w:t xml:space="preserve"> and Phillips (2000) highlight that early experiences significantly influence brain architecture. When children experience stress or insecurity, learning can be inhibited. Conversely, environments that promote wellbeing support cognitive flexibility and self-regulation. Assessing wellbeing alongside involvement, as advocated by Laevers (2005), therefore reflects a scientifically grounded understanding of development.</w:t>
      </w:r>
    </w:p>
    <w:p w14:paraId="0BBFDEBE" w14:textId="4A237B3B"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A major strength of observation-based assessment is that it respects play as a legitimate context for learning. Frost (2021) and Bruce (2011) both argue that play fosters creativity, resilience, and problem-solving. Broadhead (2006) further </w:t>
      </w:r>
      <w:r w:rsidR="001D75B8" w:rsidRPr="006C6027">
        <w:rPr>
          <w:rStyle w:val="s1"/>
          <w:rFonts w:asciiTheme="minorHAnsi" w:hAnsiTheme="minorHAnsi"/>
        </w:rPr>
        <w:t>shows</w:t>
      </w:r>
      <w:r w:rsidRPr="006C6027">
        <w:rPr>
          <w:rStyle w:val="s1"/>
          <w:rFonts w:asciiTheme="minorHAnsi" w:hAnsiTheme="minorHAnsi"/>
        </w:rPr>
        <w:t xml:space="preserve"> that social play provides opportunities for negotiation, communication, and collaborative thinking. Observing children within play contexts reveals complex learning processes that formal testing might overlook. This supports Wood’s (2014) argument that overly structured, outcome</w:t>
      </w:r>
      <w:r w:rsidR="0079122B" w:rsidRPr="006C6027">
        <w:rPr>
          <w:rStyle w:val="s1"/>
          <w:rFonts w:asciiTheme="minorHAnsi" w:hAnsiTheme="minorHAnsi"/>
        </w:rPr>
        <w:t xml:space="preserve"> </w:t>
      </w:r>
      <w:r w:rsidRPr="006C6027">
        <w:rPr>
          <w:rStyle w:val="s1"/>
          <w:rFonts w:asciiTheme="minorHAnsi" w:hAnsiTheme="minorHAnsi"/>
        </w:rPr>
        <w:t>driven approaches can undermine authentic engagement.</w:t>
      </w:r>
    </w:p>
    <w:p w14:paraId="168D3CAB" w14:textId="77777777"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However, observation and assessment also present challenges. One significant issue is subjectivity. Practitioner interpretation may </w:t>
      </w:r>
      <w:bookmarkStart w:id="32" w:name="_Int_4I6XtOhX"/>
      <w:r w:rsidRPr="006C6027">
        <w:rPr>
          <w:rStyle w:val="s1"/>
          <w:rFonts w:asciiTheme="minorHAnsi" w:hAnsiTheme="minorHAnsi"/>
        </w:rPr>
        <w:t>be influenced</w:t>
      </w:r>
      <w:bookmarkEnd w:id="32"/>
      <w:r w:rsidRPr="006C6027">
        <w:rPr>
          <w:rStyle w:val="s1"/>
          <w:rFonts w:asciiTheme="minorHAnsi" w:hAnsiTheme="minorHAnsi"/>
        </w:rPr>
        <w:t xml:space="preserve"> by unconscious bias, expectations, or time pressures. Moyles (2015) suggests that collaborative reflection and professional dialogue can strengthen reliability. Repeated observations across different contexts also improve validity and ensure that judgements are not based on isolated incidents.</w:t>
      </w:r>
    </w:p>
    <w:p w14:paraId="68948B1A" w14:textId="3A74B7A5"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Another </w:t>
      </w:r>
      <w:r w:rsidR="00005BBC" w:rsidRPr="006C6027">
        <w:rPr>
          <w:rStyle w:val="s1"/>
          <w:rFonts w:asciiTheme="minorHAnsi" w:hAnsiTheme="minorHAnsi"/>
        </w:rPr>
        <w:t>issue</w:t>
      </w:r>
      <w:r w:rsidRPr="006C6027">
        <w:rPr>
          <w:rStyle w:val="s1"/>
          <w:rFonts w:asciiTheme="minorHAnsi" w:hAnsiTheme="minorHAnsi"/>
        </w:rPr>
        <w:t xml:space="preserve"> i</w:t>
      </w:r>
      <w:r w:rsidR="00005BBC" w:rsidRPr="006C6027">
        <w:rPr>
          <w:rStyle w:val="s1"/>
          <w:rFonts w:asciiTheme="minorHAnsi" w:hAnsiTheme="minorHAnsi"/>
        </w:rPr>
        <w:t>s</w:t>
      </w:r>
      <w:r w:rsidRPr="006C6027">
        <w:rPr>
          <w:rStyle w:val="s1"/>
          <w:rFonts w:asciiTheme="minorHAnsi" w:hAnsiTheme="minorHAnsi"/>
        </w:rPr>
        <w:t xml:space="preserve"> accountability demands. Increasing policy pressures often require documented evidence of progress, which can lead to excessive recording and reduced time for meaningful interaction. While frameworks such as the Curriculum for Wales (Welsh Government, 2022) advocate holistic assessment, practitioners may still </w:t>
      </w:r>
      <w:r w:rsidRPr="006C6027">
        <w:rPr>
          <w:rStyle w:val="s1"/>
          <w:rFonts w:asciiTheme="minorHAnsi" w:hAnsiTheme="minorHAnsi"/>
        </w:rPr>
        <w:lastRenderedPageBreak/>
        <w:t>experience pressure to demonstrate measurable outcomes. This creates a potential conflict between child</w:t>
      </w:r>
      <w:r w:rsidR="004A7643" w:rsidRPr="006C6027">
        <w:rPr>
          <w:rStyle w:val="s1"/>
          <w:rFonts w:asciiTheme="minorHAnsi" w:hAnsiTheme="minorHAnsi"/>
        </w:rPr>
        <w:t xml:space="preserve"> </w:t>
      </w:r>
      <w:r w:rsidRPr="006C6027">
        <w:rPr>
          <w:rStyle w:val="s1"/>
          <w:rFonts w:asciiTheme="minorHAnsi" w:hAnsiTheme="minorHAnsi"/>
        </w:rPr>
        <w:t xml:space="preserve">centred </w:t>
      </w:r>
      <w:r w:rsidR="00872BE4" w:rsidRPr="006C6027">
        <w:rPr>
          <w:rStyle w:val="s1"/>
          <w:rFonts w:asciiTheme="minorHAnsi" w:hAnsiTheme="minorHAnsi"/>
        </w:rPr>
        <w:t xml:space="preserve">education </w:t>
      </w:r>
      <w:r w:rsidRPr="006C6027">
        <w:rPr>
          <w:rStyle w:val="s1"/>
          <w:rFonts w:asciiTheme="minorHAnsi" w:hAnsiTheme="minorHAnsi"/>
        </w:rPr>
        <w:t>and performance</w:t>
      </w:r>
      <w:r w:rsidR="004A7643" w:rsidRPr="006C6027">
        <w:rPr>
          <w:rStyle w:val="s1"/>
          <w:rFonts w:asciiTheme="minorHAnsi" w:hAnsiTheme="minorHAnsi"/>
        </w:rPr>
        <w:t xml:space="preserve"> </w:t>
      </w:r>
      <w:r w:rsidRPr="006C6027">
        <w:rPr>
          <w:rStyle w:val="s1"/>
          <w:rFonts w:asciiTheme="minorHAnsi" w:hAnsiTheme="minorHAnsi"/>
        </w:rPr>
        <w:t>driven systems.</w:t>
      </w:r>
    </w:p>
    <w:p w14:paraId="336B6FF7" w14:textId="77777777" w:rsidR="002C4E3F" w:rsidRPr="006C6027" w:rsidRDefault="008C7918" w:rsidP="006C6027">
      <w:pPr>
        <w:pStyle w:val="p1"/>
        <w:spacing w:line="360" w:lineRule="auto"/>
        <w:rPr>
          <w:rFonts w:asciiTheme="minorHAnsi" w:hAnsiTheme="minorHAnsi"/>
        </w:rPr>
      </w:pPr>
      <w:r w:rsidRPr="006C6027">
        <w:rPr>
          <w:rStyle w:val="s1"/>
          <w:rFonts w:asciiTheme="minorHAnsi" w:hAnsiTheme="minorHAnsi"/>
        </w:rPr>
        <w:t xml:space="preserve">Critically reflecting, effective assessment should empower practitioners rather than constrain them. Observation should enhance understanding and guide provision, not reduce children to scores or checklists. When used ethically and thoughtfully, it promotes inclusion by recognising diverse learning styles and cultural backgrounds. </w:t>
      </w:r>
      <w:proofErr w:type="spellStart"/>
      <w:r w:rsidRPr="006C6027">
        <w:rPr>
          <w:rStyle w:val="s1"/>
          <w:rFonts w:asciiTheme="minorHAnsi" w:hAnsiTheme="minorHAnsi"/>
        </w:rPr>
        <w:t>Rogoff</w:t>
      </w:r>
      <w:proofErr w:type="spellEnd"/>
      <w:r w:rsidRPr="006C6027">
        <w:rPr>
          <w:rStyle w:val="s1"/>
          <w:rFonts w:asciiTheme="minorHAnsi" w:hAnsiTheme="minorHAnsi"/>
        </w:rPr>
        <w:t xml:space="preserve"> (2003) reminds us that development occurs within cultural communities, meaning assessment must be sensitive to contextual differences.</w:t>
      </w:r>
    </w:p>
    <w:p w14:paraId="104559E8" w14:textId="39E5794E"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Furthermore, observation encourages reflective practice. By analysing patterns of involvement or disengagement, practitioners can evaluate whether environments are sufficiently challenging and stimulating. If involvement is consistently low, it may indicate</w:t>
      </w:r>
      <w:r w:rsidR="002C4E3F" w:rsidRPr="006C6027">
        <w:rPr>
          <w:rStyle w:val="s1"/>
          <w:rFonts w:asciiTheme="minorHAnsi" w:hAnsiTheme="minorHAnsi"/>
        </w:rPr>
        <w:t xml:space="preserve"> </w:t>
      </w:r>
      <w:r w:rsidRPr="006C6027">
        <w:rPr>
          <w:rStyle w:val="s1"/>
          <w:rFonts w:asciiTheme="minorHAnsi" w:hAnsiTheme="minorHAnsi"/>
        </w:rPr>
        <w:t xml:space="preserve">that resources lack complexity or that adult interaction is overly directive. Conversely, </w:t>
      </w:r>
      <w:bookmarkStart w:id="33" w:name="_Int_gC3Y792Q"/>
      <w:r w:rsidRPr="006C6027">
        <w:rPr>
          <w:rStyle w:val="s1"/>
          <w:rFonts w:asciiTheme="minorHAnsi" w:hAnsiTheme="minorHAnsi"/>
        </w:rPr>
        <w:t>high levels</w:t>
      </w:r>
      <w:bookmarkEnd w:id="33"/>
      <w:r w:rsidRPr="006C6027">
        <w:rPr>
          <w:rStyle w:val="s1"/>
          <w:rFonts w:asciiTheme="minorHAnsi" w:hAnsiTheme="minorHAnsi"/>
        </w:rPr>
        <w:t xml:space="preserve"> of sustained engagement suggest that provision effectively supports intrinsic motivation (Deci and Ryan, 2000).</w:t>
      </w:r>
    </w:p>
    <w:p w14:paraId="66C9E531" w14:textId="61118C2A" w:rsidR="008C7918" w:rsidRPr="006C6027" w:rsidRDefault="008C7918" w:rsidP="006C6027">
      <w:pPr>
        <w:pStyle w:val="p1"/>
        <w:spacing w:line="360" w:lineRule="auto"/>
        <w:rPr>
          <w:rFonts w:asciiTheme="minorHAnsi" w:hAnsiTheme="minorHAnsi"/>
        </w:rPr>
      </w:pPr>
      <w:r w:rsidRPr="006C6027">
        <w:rPr>
          <w:rStyle w:val="s1"/>
          <w:rFonts w:asciiTheme="minorHAnsi" w:hAnsiTheme="minorHAnsi"/>
        </w:rPr>
        <w:t>In conclusion, observation and assessment are powerful tools in early childhood education when grounded in research and reflective practice. Structured approaches such as the Leuven Scale provide measurable insight into engagement and wellbeing, while narrative methods capture children’s identities and dispositions. When informed by formative assessment theory, sociocultural perspectives, and neuroscientific research, observation supports holistic development and high</w:t>
      </w:r>
      <w:r w:rsidR="00D95013" w:rsidRPr="006C6027">
        <w:rPr>
          <w:rStyle w:val="s1"/>
          <w:rFonts w:asciiTheme="minorHAnsi" w:hAnsiTheme="minorHAnsi"/>
        </w:rPr>
        <w:t xml:space="preserve"> </w:t>
      </w:r>
      <w:r w:rsidRPr="006C6027">
        <w:rPr>
          <w:rStyle w:val="s1"/>
          <w:rFonts w:asciiTheme="minorHAnsi" w:hAnsiTheme="minorHAnsi"/>
        </w:rPr>
        <w:t xml:space="preserve">quality early years provision (Black and </w:t>
      </w:r>
      <w:proofErr w:type="spellStart"/>
      <w:r w:rsidRPr="006C6027">
        <w:rPr>
          <w:rStyle w:val="s1"/>
          <w:rFonts w:asciiTheme="minorHAnsi" w:hAnsiTheme="minorHAnsi"/>
        </w:rPr>
        <w:t>Wiliam</w:t>
      </w:r>
      <w:proofErr w:type="spellEnd"/>
      <w:r w:rsidRPr="006C6027">
        <w:rPr>
          <w:rStyle w:val="s1"/>
          <w:rFonts w:asciiTheme="minorHAnsi" w:hAnsiTheme="minorHAnsi"/>
        </w:rPr>
        <w:t xml:space="preserve">, 2009; </w:t>
      </w:r>
      <w:proofErr w:type="spellStart"/>
      <w:r w:rsidRPr="006C6027">
        <w:rPr>
          <w:rStyle w:val="s1"/>
          <w:rFonts w:asciiTheme="minorHAnsi" w:hAnsiTheme="minorHAnsi"/>
        </w:rPr>
        <w:t>Rogoff</w:t>
      </w:r>
      <w:proofErr w:type="spellEnd"/>
      <w:r w:rsidRPr="006C6027">
        <w:rPr>
          <w:rStyle w:val="s1"/>
          <w:rFonts w:asciiTheme="minorHAnsi" w:hAnsiTheme="minorHAnsi"/>
        </w:rPr>
        <w:t xml:space="preserve">, 2003; </w:t>
      </w:r>
      <w:proofErr w:type="spellStart"/>
      <w:r w:rsidRPr="006C6027">
        <w:rPr>
          <w:rStyle w:val="s1"/>
          <w:rFonts w:asciiTheme="minorHAnsi" w:hAnsiTheme="minorHAnsi"/>
        </w:rPr>
        <w:t>Shonkoff</w:t>
      </w:r>
      <w:proofErr w:type="spellEnd"/>
      <w:r w:rsidRPr="006C6027">
        <w:rPr>
          <w:rStyle w:val="s1"/>
          <w:rFonts w:asciiTheme="minorHAnsi" w:hAnsiTheme="minorHAnsi"/>
        </w:rPr>
        <w:t xml:space="preserve"> and Phillips, 2000).</w:t>
      </w:r>
    </w:p>
    <w:p w14:paraId="5BE230E6" w14:textId="77777777" w:rsidR="008C7918" w:rsidRPr="006C6027" w:rsidRDefault="008C7918" w:rsidP="006C6027">
      <w:pPr>
        <w:spacing w:before="100" w:beforeAutospacing="1" w:after="100" w:afterAutospacing="1" w:line="360" w:lineRule="auto"/>
        <w:outlineLvl w:val="1"/>
        <w:rPr>
          <w:rFonts w:eastAsia="Times New Roman" w:cs="Times New Roman"/>
          <w:kern w:val="0"/>
          <w14:ligatures w14:val="none"/>
        </w:rPr>
      </w:pPr>
    </w:p>
    <w:p w14:paraId="0DA67C3E" w14:textId="77777777" w:rsidR="00E65E4B" w:rsidRPr="00223906" w:rsidRDefault="00E65E4B" w:rsidP="006C6027">
      <w:pPr>
        <w:spacing w:before="100" w:beforeAutospacing="1" w:after="100" w:afterAutospacing="1" w:line="360" w:lineRule="auto"/>
        <w:outlineLvl w:val="2"/>
        <w:rPr>
          <w:rFonts w:cs="Times New Roman"/>
          <w:kern w:val="0"/>
          <w14:ligatures w14:val="none"/>
        </w:rPr>
      </w:pPr>
      <w:r w:rsidRPr="00223906">
        <w:rPr>
          <w:rFonts w:eastAsia="Times New Roman" w:cs="Times New Roman"/>
          <w:kern w:val="0"/>
          <w14:ligatures w14:val="none"/>
        </w:rPr>
        <w:t>Harvard Reference List</w:t>
      </w:r>
    </w:p>
    <w:p w14:paraId="04760254"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Assessment Reform Group (2002) </w:t>
      </w:r>
      <w:r w:rsidRPr="00223906">
        <w:rPr>
          <w:rStyle w:val="s2"/>
          <w:rFonts w:asciiTheme="minorHAnsi" w:hAnsiTheme="minorHAnsi"/>
        </w:rPr>
        <w:t>Assessment for learning: 10 principles</w:t>
      </w:r>
      <w:r w:rsidRPr="00223906">
        <w:rPr>
          <w:rStyle w:val="s1"/>
          <w:rFonts w:asciiTheme="minorHAnsi" w:hAnsiTheme="minorHAnsi"/>
        </w:rPr>
        <w:t>. Cambridge: University of Cambridge School of Education.</w:t>
      </w:r>
    </w:p>
    <w:p w14:paraId="5265786D"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Black, P. and </w:t>
      </w:r>
      <w:proofErr w:type="spellStart"/>
      <w:r w:rsidRPr="00223906">
        <w:rPr>
          <w:rStyle w:val="s1"/>
          <w:rFonts w:asciiTheme="minorHAnsi" w:hAnsiTheme="minorHAnsi"/>
        </w:rPr>
        <w:t>Wiliam</w:t>
      </w:r>
      <w:proofErr w:type="spellEnd"/>
      <w:r w:rsidRPr="00223906">
        <w:rPr>
          <w:rStyle w:val="s1"/>
          <w:rFonts w:asciiTheme="minorHAnsi" w:hAnsiTheme="minorHAnsi"/>
        </w:rPr>
        <w:t xml:space="preserve">, D. (2009) ‘Developing the theory of formative assessment’, </w:t>
      </w:r>
      <w:r w:rsidRPr="00223906">
        <w:rPr>
          <w:rStyle w:val="s2"/>
          <w:rFonts w:asciiTheme="minorHAnsi" w:hAnsiTheme="minorHAnsi"/>
        </w:rPr>
        <w:t>Educational Assessment, Evaluation and Accountability</w:t>
      </w:r>
      <w:r w:rsidRPr="00223906">
        <w:rPr>
          <w:rStyle w:val="s1"/>
          <w:rFonts w:asciiTheme="minorHAnsi" w:hAnsiTheme="minorHAnsi"/>
        </w:rPr>
        <w:t>, 21(1), pp. 5–31.</w:t>
      </w:r>
    </w:p>
    <w:p w14:paraId="702B005F"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lastRenderedPageBreak/>
        <w:t xml:space="preserve">Bottrill, G. (2018) </w:t>
      </w:r>
      <w:r w:rsidRPr="00223906">
        <w:rPr>
          <w:rStyle w:val="s2"/>
          <w:rFonts w:asciiTheme="minorHAnsi" w:hAnsiTheme="minorHAnsi"/>
        </w:rPr>
        <w:t>Can I go and play now? Rethinking the early years</w:t>
      </w:r>
      <w:r w:rsidRPr="00223906">
        <w:rPr>
          <w:rStyle w:val="s1"/>
          <w:rFonts w:asciiTheme="minorHAnsi" w:hAnsiTheme="minorHAnsi"/>
        </w:rPr>
        <w:t>. London: Sage.</w:t>
      </w:r>
    </w:p>
    <w:p w14:paraId="4B7F3ADA"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Bottrill, G. (2022) </w:t>
      </w:r>
      <w:r w:rsidRPr="00223906">
        <w:rPr>
          <w:rStyle w:val="s2"/>
          <w:rFonts w:asciiTheme="minorHAnsi" w:hAnsiTheme="minorHAnsi"/>
        </w:rPr>
        <w:t>School readiness and the characteristics of effective learning</w:t>
      </w:r>
      <w:r w:rsidRPr="00223906">
        <w:rPr>
          <w:rStyle w:val="s1"/>
          <w:rFonts w:asciiTheme="minorHAnsi" w:hAnsiTheme="minorHAnsi"/>
        </w:rPr>
        <w:t>. London: Sage.</w:t>
      </w:r>
    </w:p>
    <w:p w14:paraId="3A4500D3"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Broadhead, P. (2006) </w:t>
      </w:r>
      <w:r w:rsidRPr="00223906">
        <w:rPr>
          <w:rStyle w:val="s2"/>
          <w:rFonts w:asciiTheme="minorHAnsi" w:hAnsiTheme="minorHAnsi"/>
        </w:rPr>
        <w:t>Developing an understanding of young children’s learning through play: The place of observation, interaction and reflection</w:t>
      </w:r>
      <w:r w:rsidRPr="00223906">
        <w:rPr>
          <w:rStyle w:val="s1"/>
          <w:rFonts w:asciiTheme="minorHAnsi" w:hAnsiTheme="minorHAnsi"/>
        </w:rPr>
        <w:t>. Maidenhead: Open University Press.</w:t>
      </w:r>
    </w:p>
    <w:p w14:paraId="463000D7"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Bruce, T. (2011) </w:t>
      </w:r>
      <w:r w:rsidRPr="00223906">
        <w:rPr>
          <w:rStyle w:val="s2"/>
          <w:rFonts w:asciiTheme="minorHAnsi" w:hAnsiTheme="minorHAnsi"/>
        </w:rPr>
        <w:t>Early childhood education</w:t>
      </w:r>
      <w:r w:rsidRPr="00223906">
        <w:rPr>
          <w:rStyle w:val="s1"/>
          <w:rFonts w:asciiTheme="minorHAnsi" w:hAnsiTheme="minorHAnsi"/>
        </w:rPr>
        <w:t xml:space="preserve">. 4th </w:t>
      </w:r>
      <w:proofErr w:type="spellStart"/>
      <w:r w:rsidRPr="00223906">
        <w:rPr>
          <w:rStyle w:val="s1"/>
          <w:rFonts w:asciiTheme="minorHAnsi" w:hAnsiTheme="minorHAnsi"/>
        </w:rPr>
        <w:t>edn</w:t>
      </w:r>
      <w:proofErr w:type="spellEnd"/>
      <w:r w:rsidRPr="00223906">
        <w:rPr>
          <w:rStyle w:val="s1"/>
          <w:rFonts w:asciiTheme="minorHAnsi" w:hAnsiTheme="minorHAnsi"/>
        </w:rPr>
        <w:t xml:space="preserve">. London: </w:t>
      </w:r>
      <w:proofErr w:type="spellStart"/>
      <w:r w:rsidRPr="00223906">
        <w:rPr>
          <w:rStyle w:val="s1"/>
          <w:rFonts w:asciiTheme="minorHAnsi" w:hAnsiTheme="minorHAnsi"/>
        </w:rPr>
        <w:t>Hodder</w:t>
      </w:r>
      <w:proofErr w:type="spellEnd"/>
      <w:r w:rsidRPr="00223906">
        <w:rPr>
          <w:rStyle w:val="s1"/>
          <w:rFonts w:asciiTheme="minorHAnsi" w:hAnsiTheme="minorHAnsi"/>
        </w:rPr>
        <w:t xml:space="preserve"> Education.</w:t>
      </w:r>
    </w:p>
    <w:p w14:paraId="37CEB6B0" w14:textId="4156E2CE"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Bruner, J.</w:t>
      </w:r>
      <w:r w:rsidR="00FC4254" w:rsidRPr="00223906">
        <w:rPr>
          <w:rStyle w:val="s1"/>
          <w:rFonts w:asciiTheme="minorHAnsi" w:hAnsiTheme="minorHAnsi"/>
        </w:rPr>
        <w:t>S</w:t>
      </w:r>
      <w:r w:rsidRPr="00223906">
        <w:rPr>
          <w:rStyle w:val="s1"/>
          <w:rFonts w:asciiTheme="minorHAnsi" w:hAnsiTheme="minorHAnsi"/>
        </w:rPr>
        <w:t xml:space="preserve"> (1966) </w:t>
      </w:r>
      <w:r w:rsidRPr="00223906">
        <w:rPr>
          <w:rStyle w:val="s2"/>
          <w:rFonts w:asciiTheme="minorHAnsi" w:hAnsiTheme="minorHAnsi"/>
        </w:rPr>
        <w:t>Toward a theory of instruction</w:t>
      </w:r>
      <w:r w:rsidRPr="00223906">
        <w:rPr>
          <w:rStyle w:val="s1"/>
          <w:rFonts w:asciiTheme="minorHAnsi" w:hAnsiTheme="minorHAnsi"/>
        </w:rPr>
        <w:t>. Cambridge, MA: Harvard University Press.</w:t>
      </w:r>
    </w:p>
    <w:p w14:paraId="032677FC" w14:textId="5C0D3F6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Carr, M. </w:t>
      </w:r>
      <w:r w:rsidR="00C96E9A" w:rsidRPr="00223906">
        <w:rPr>
          <w:rStyle w:val="s1"/>
          <w:rFonts w:asciiTheme="minorHAnsi" w:hAnsiTheme="minorHAnsi"/>
        </w:rPr>
        <w:t>P</w:t>
      </w:r>
      <w:r w:rsidR="00072D8B" w:rsidRPr="00223906">
        <w:rPr>
          <w:rStyle w:val="s1"/>
          <w:rFonts w:asciiTheme="minorHAnsi" w:hAnsiTheme="minorHAnsi"/>
        </w:rPr>
        <w:t xml:space="preserve"> </w:t>
      </w:r>
      <w:r w:rsidRPr="00223906">
        <w:rPr>
          <w:rStyle w:val="s1"/>
          <w:rFonts w:asciiTheme="minorHAnsi" w:hAnsiTheme="minorHAnsi"/>
        </w:rPr>
        <w:t xml:space="preserve">(2001) </w:t>
      </w:r>
      <w:r w:rsidRPr="00223906">
        <w:rPr>
          <w:rStyle w:val="s2"/>
          <w:rFonts w:asciiTheme="minorHAnsi" w:hAnsiTheme="minorHAnsi"/>
        </w:rPr>
        <w:t>Assessment in early childhood settings: Learning stories</w:t>
      </w:r>
      <w:r w:rsidRPr="00223906">
        <w:rPr>
          <w:rStyle w:val="s1"/>
          <w:rFonts w:asciiTheme="minorHAnsi" w:hAnsiTheme="minorHAnsi"/>
        </w:rPr>
        <w:t>. London: Paul Chapman Publishing.</w:t>
      </w:r>
    </w:p>
    <w:p w14:paraId="232F5571"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Carr, M. and Lee, W. (2012) </w:t>
      </w:r>
      <w:r w:rsidRPr="00223906">
        <w:rPr>
          <w:rStyle w:val="s2"/>
          <w:rFonts w:asciiTheme="minorHAnsi" w:hAnsiTheme="minorHAnsi"/>
        </w:rPr>
        <w:t>Learning stories: Constructing learner identities in early education</w:t>
      </w:r>
      <w:r w:rsidRPr="00223906">
        <w:rPr>
          <w:rStyle w:val="s1"/>
          <w:rFonts w:asciiTheme="minorHAnsi" w:hAnsiTheme="minorHAnsi"/>
        </w:rPr>
        <w:t>. London: Sage.</w:t>
      </w:r>
    </w:p>
    <w:p w14:paraId="596E119C"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Deci, E.L. and Ryan, R.M. (2000) ‘The “what” and “why” of goal pursuits: Human needs and the self-determination of </w:t>
      </w:r>
      <w:proofErr w:type="spellStart"/>
      <w:r w:rsidRPr="00223906">
        <w:rPr>
          <w:rStyle w:val="s1"/>
          <w:rFonts w:asciiTheme="minorHAnsi" w:hAnsiTheme="minorHAnsi"/>
        </w:rPr>
        <w:t>behavior</w:t>
      </w:r>
      <w:proofErr w:type="spellEnd"/>
      <w:r w:rsidRPr="00223906">
        <w:rPr>
          <w:rStyle w:val="s1"/>
          <w:rFonts w:asciiTheme="minorHAnsi" w:hAnsiTheme="minorHAnsi"/>
        </w:rPr>
        <w:t xml:space="preserve">’, </w:t>
      </w:r>
      <w:r w:rsidRPr="00223906">
        <w:rPr>
          <w:rStyle w:val="s2"/>
          <w:rFonts w:asciiTheme="minorHAnsi" w:hAnsiTheme="minorHAnsi"/>
        </w:rPr>
        <w:t>Psychological Inquiry</w:t>
      </w:r>
      <w:r w:rsidRPr="00223906">
        <w:rPr>
          <w:rStyle w:val="s1"/>
          <w:rFonts w:asciiTheme="minorHAnsi" w:hAnsiTheme="minorHAnsi"/>
        </w:rPr>
        <w:t>, 11(4), pp. 227–268.</w:t>
      </w:r>
    </w:p>
    <w:p w14:paraId="009321A1"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Department of Health and Social Care (2019) </w:t>
      </w:r>
      <w:r w:rsidRPr="00223906">
        <w:rPr>
          <w:rStyle w:val="s2"/>
          <w:rFonts w:asciiTheme="minorHAnsi" w:hAnsiTheme="minorHAnsi"/>
        </w:rPr>
        <w:t>UK chief medical officers’ physical activity guidelines</w:t>
      </w:r>
      <w:r w:rsidRPr="00223906">
        <w:rPr>
          <w:rStyle w:val="s1"/>
          <w:rFonts w:asciiTheme="minorHAnsi" w:hAnsiTheme="minorHAnsi"/>
        </w:rPr>
        <w:t>. London: DHSC.</w:t>
      </w:r>
    </w:p>
    <w:p w14:paraId="1F8473E4"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Fisher, J. (2016) </w:t>
      </w:r>
      <w:r w:rsidRPr="00223906">
        <w:rPr>
          <w:rStyle w:val="s2"/>
          <w:rFonts w:asciiTheme="minorHAnsi" w:hAnsiTheme="minorHAnsi"/>
        </w:rPr>
        <w:t>Interacting or interfering? Improving interactions in the early years</w:t>
      </w:r>
      <w:r w:rsidRPr="00223906">
        <w:rPr>
          <w:rStyle w:val="s1"/>
          <w:rFonts w:asciiTheme="minorHAnsi" w:hAnsiTheme="minorHAnsi"/>
        </w:rPr>
        <w:t>. Maidenhead: Open University Press.</w:t>
      </w:r>
    </w:p>
    <w:p w14:paraId="46CE6DDD"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Frost, J.L. (2021) </w:t>
      </w:r>
      <w:r w:rsidRPr="00223906">
        <w:rPr>
          <w:rStyle w:val="s2"/>
          <w:rFonts w:asciiTheme="minorHAnsi" w:hAnsiTheme="minorHAnsi"/>
        </w:rPr>
        <w:t>A history of children’s play and play environments: Toward a contemporary child-saving movement</w:t>
      </w:r>
      <w:r w:rsidRPr="00223906">
        <w:rPr>
          <w:rStyle w:val="s1"/>
          <w:rFonts w:asciiTheme="minorHAnsi" w:hAnsiTheme="minorHAnsi"/>
        </w:rPr>
        <w:t xml:space="preserve">. New York: </w:t>
      </w:r>
      <w:proofErr w:type="spellStart"/>
      <w:r w:rsidRPr="00223906">
        <w:rPr>
          <w:rStyle w:val="s1"/>
          <w:rFonts w:asciiTheme="minorHAnsi" w:hAnsiTheme="minorHAnsi"/>
        </w:rPr>
        <w:t>Routledge</w:t>
      </w:r>
      <w:proofErr w:type="spellEnd"/>
      <w:r w:rsidRPr="00223906">
        <w:rPr>
          <w:rStyle w:val="s1"/>
          <w:rFonts w:asciiTheme="minorHAnsi" w:hAnsiTheme="minorHAnsi"/>
        </w:rPr>
        <w:t>.</w:t>
      </w:r>
    </w:p>
    <w:p w14:paraId="1EB40F37"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Howard, J. and McInnes, K. (2013) ‘The impact of children’s perception of an activity as play rather than not play on emotional wellbeing’, </w:t>
      </w:r>
      <w:r w:rsidRPr="00223906">
        <w:rPr>
          <w:rStyle w:val="s2"/>
          <w:rFonts w:asciiTheme="minorHAnsi" w:hAnsiTheme="minorHAnsi"/>
        </w:rPr>
        <w:t>Child: Care, Health and Development</w:t>
      </w:r>
      <w:r w:rsidRPr="00223906">
        <w:rPr>
          <w:rStyle w:val="s1"/>
          <w:rFonts w:asciiTheme="minorHAnsi" w:hAnsiTheme="minorHAnsi"/>
        </w:rPr>
        <w:t>, 39(5), pp. 737–742.</w:t>
      </w:r>
    </w:p>
    <w:p w14:paraId="495A2985"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lastRenderedPageBreak/>
        <w:t xml:space="preserve">Laevers, F. (2005) </w:t>
      </w:r>
      <w:r w:rsidRPr="00223906">
        <w:rPr>
          <w:rStyle w:val="s2"/>
          <w:rFonts w:asciiTheme="minorHAnsi" w:hAnsiTheme="minorHAnsi"/>
        </w:rPr>
        <w:t>The Leuven involvement scale for young children</w:t>
      </w:r>
      <w:r w:rsidRPr="00223906">
        <w:rPr>
          <w:rStyle w:val="s1"/>
          <w:rFonts w:asciiTheme="minorHAnsi" w:hAnsiTheme="minorHAnsi"/>
        </w:rPr>
        <w:t>. Leuven: Leuven University Press.</w:t>
      </w:r>
    </w:p>
    <w:p w14:paraId="136CE130"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Moyles, J. (2015) </w:t>
      </w:r>
      <w:r w:rsidRPr="00223906">
        <w:rPr>
          <w:rStyle w:val="s2"/>
          <w:rFonts w:asciiTheme="minorHAnsi" w:hAnsiTheme="minorHAnsi"/>
        </w:rPr>
        <w:t>The excellence of play</w:t>
      </w:r>
      <w:r w:rsidRPr="00223906">
        <w:rPr>
          <w:rStyle w:val="s1"/>
          <w:rFonts w:asciiTheme="minorHAnsi" w:hAnsiTheme="minorHAnsi"/>
        </w:rPr>
        <w:t xml:space="preserve">. 4th </w:t>
      </w:r>
      <w:proofErr w:type="spellStart"/>
      <w:r w:rsidRPr="00223906">
        <w:rPr>
          <w:rStyle w:val="s1"/>
          <w:rFonts w:asciiTheme="minorHAnsi" w:hAnsiTheme="minorHAnsi"/>
        </w:rPr>
        <w:t>edn</w:t>
      </w:r>
      <w:proofErr w:type="spellEnd"/>
      <w:r w:rsidRPr="00223906">
        <w:rPr>
          <w:rStyle w:val="s1"/>
          <w:rFonts w:asciiTheme="minorHAnsi" w:hAnsiTheme="minorHAnsi"/>
        </w:rPr>
        <w:t>. Maidenhead: Open University Press.</w:t>
      </w:r>
    </w:p>
    <w:p w14:paraId="68BE49F3"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Parten, M.B. (1932) ‘Social participation among pre-school children’, </w:t>
      </w:r>
      <w:r w:rsidRPr="00223906">
        <w:rPr>
          <w:rStyle w:val="s2"/>
          <w:rFonts w:asciiTheme="minorHAnsi" w:hAnsiTheme="minorHAnsi"/>
        </w:rPr>
        <w:t>Journal of Abnormal and Social Psychology</w:t>
      </w:r>
      <w:r w:rsidRPr="00223906">
        <w:rPr>
          <w:rStyle w:val="s1"/>
          <w:rFonts w:asciiTheme="minorHAnsi" w:hAnsiTheme="minorHAnsi"/>
        </w:rPr>
        <w:t>, 27(3), pp. 243–269.</w:t>
      </w:r>
    </w:p>
    <w:p w14:paraId="01C4D73D"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Piaget, J. (1977) </w:t>
      </w:r>
      <w:r w:rsidRPr="00223906">
        <w:rPr>
          <w:rStyle w:val="s2"/>
          <w:rFonts w:asciiTheme="minorHAnsi" w:hAnsiTheme="minorHAnsi"/>
        </w:rPr>
        <w:t>The development of thought: Equilibration of cognitive structures</w:t>
      </w:r>
      <w:r w:rsidRPr="00223906">
        <w:rPr>
          <w:rStyle w:val="s1"/>
          <w:rFonts w:asciiTheme="minorHAnsi" w:hAnsiTheme="minorHAnsi"/>
        </w:rPr>
        <w:t>. New York: Viking Press.</w:t>
      </w:r>
    </w:p>
    <w:p w14:paraId="507C9AEC" w14:textId="77777777" w:rsidR="00F82C37" w:rsidRPr="00223906" w:rsidRDefault="00F82C37" w:rsidP="006C6027">
      <w:pPr>
        <w:pStyle w:val="p2"/>
        <w:spacing w:line="360" w:lineRule="auto"/>
        <w:rPr>
          <w:rFonts w:asciiTheme="minorHAnsi" w:hAnsiTheme="minorHAnsi"/>
        </w:rPr>
      </w:pPr>
      <w:proofErr w:type="spellStart"/>
      <w:r w:rsidRPr="00223906">
        <w:rPr>
          <w:rStyle w:val="s1"/>
          <w:rFonts w:asciiTheme="minorHAnsi" w:hAnsiTheme="minorHAnsi"/>
        </w:rPr>
        <w:t>Rogoff</w:t>
      </w:r>
      <w:proofErr w:type="spellEnd"/>
      <w:r w:rsidRPr="00223906">
        <w:rPr>
          <w:rStyle w:val="s1"/>
          <w:rFonts w:asciiTheme="minorHAnsi" w:hAnsiTheme="minorHAnsi"/>
        </w:rPr>
        <w:t xml:space="preserve">, B. (2003) </w:t>
      </w:r>
      <w:r w:rsidRPr="00223906">
        <w:rPr>
          <w:rStyle w:val="s2"/>
          <w:rFonts w:asciiTheme="minorHAnsi" w:hAnsiTheme="minorHAnsi"/>
        </w:rPr>
        <w:t>The cultural nature of human development</w:t>
      </w:r>
      <w:r w:rsidRPr="00223906">
        <w:rPr>
          <w:rStyle w:val="s1"/>
          <w:rFonts w:asciiTheme="minorHAnsi" w:hAnsiTheme="minorHAnsi"/>
        </w:rPr>
        <w:t>. Oxford: Oxford University Press.</w:t>
      </w:r>
    </w:p>
    <w:p w14:paraId="3940BF1C" w14:textId="77777777" w:rsidR="00F82C37" w:rsidRPr="00223906" w:rsidRDefault="00F82C37" w:rsidP="006C6027">
      <w:pPr>
        <w:pStyle w:val="p2"/>
        <w:spacing w:line="360" w:lineRule="auto"/>
        <w:rPr>
          <w:rFonts w:asciiTheme="minorHAnsi" w:hAnsiTheme="minorHAnsi"/>
        </w:rPr>
      </w:pPr>
      <w:proofErr w:type="spellStart"/>
      <w:r w:rsidRPr="00223906">
        <w:rPr>
          <w:rStyle w:val="s1"/>
          <w:rFonts w:asciiTheme="minorHAnsi" w:hAnsiTheme="minorHAnsi"/>
        </w:rPr>
        <w:t>Shonkoff</w:t>
      </w:r>
      <w:proofErr w:type="spellEnd"/>
      <w:r w:rsidRPr="00223906">
        <w:rPr>
          <w:rStyle w:val="s1"/>
          <w:rFonts w:asciiTheme="minorHAnsi" w:hAnsiTheme="minorHAnsi"/>
        </w:rPr>
        <w:t xml:space="preserve">, J.P. and Phillips, D.A. (eds.) (2000) </w:t>
      </w:r>
      <w:r w:rsidRPr="00223906">
        <w:rPr>
          <w:rStyle w:val="s2"/>
          <w:rFonts w:asciiTheme="minorHAnsi" w:hAnsiTheme="minorHAnsi"/>
        </w:rPr>
        <w:t xml:space="preserve">From </w:t>
      </w:r>
      <w:proofErr w:type="spellStart"/>
      <w:r w:rsidRPr="00223906">
        <w:rPr>
          <w:rStyle w:val="s2"/>
          <w:rFonts w:asciiTheme="minorHAnsi" w:hAnsiTheme="minorHAnsi"/>
        </w:rPr>
        <w:t>neurons</w:t>
      </w:r>
      <w:proofErr w:type="spellEnd"/>
      <w:r w:rsidRPr="00223906">
        <w:rPr>
          <w:rStyle w:val="s2"/>
          <w:rFonts w:asciiTheme="minorHAnsi" w:hAnsiTheme="minorHAnsi"/>
        </w:rPr>
        <w:t xml:space="preserve"> to </w:t>
      </w:r>
      <w:proofErr w:type="spellStart"/>
      <w:r w:rsidRPr="00223906">
        <w:rPr>
          <w:rStyle w:val="s2"/>
          <w:rFonts w:asciiTheme="minorHAnsi" w:hAnsiTheme="minorHAnsi"/>
        </w:rPr>
        <w:t>neighborhoods</w:t>
      </w:r>
      <w:proofErr w:type="spellEnd"/>
      <w:r w:rsidRPr="00223906">
        <w:rPr>
          <w:rStyle w:val="s2"/>
          <w:rFonts w:asciiTheme="minorHAnsi" w:hAnsiTheme="minorHAnsi"/>
        </w:rPr>
        <w:t>: The science of early childhood development</w:t>
      </w:r>
      <w:r w:rsidRPr="00223906">
        <w:rPr>
          <w:rStyle w:val="s1"/>
          <w:rFonts w:asciiTheme="minorHAnsi" w:hAnsiTheme="minorHAnsi"/>
        </w:rPr>
        <w:t>. Washington, DC: National Academy Press.</w:t>
      </w:r>
    </w:p>
    <w:p w14:paraId="38FF61DA"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Siraj-Blatchford, I. (2009) ‘Conceptualising progression in the pedagogy of play and sustained shared thinking in early childhood education: A </w:t>
      </w:r>
      <w:proofErr w:type="spellStart"/>
      <w:r w:rsidRPr="00223906">
        <w:rPr>
          <w:rStyle w:val="s1"/>
          <w:rFonts w:asciiTheme="minorHAnsi" w:hAnsiTheme="minorHAnsi"/>
        </w:rPr>
        <w:t>Vygotskian</w:t>
      </w:r>
      <w:proofErr w:type="spellEnd"/>
      <w:r w:rsidRPr="00223906">
        <w:rPr>
          <w:rStyle w:val="s1"/>
          <w:rFonts w:asciiTheme="minorHAnsi" w:hAnsiTheme="minorHAnsi"/>
        </w:rPr>
        <w:t xml:space="preserve"> perspective’, </w:t>
      </w:r>
      <w:r w:rsidRPr="00223906">
        <w:rPr>
          <w:rStyle w:val="s2"/>
          <w:rFonts w:asciiTheme="minorHAnsi" w:hAnsiTheme="minorHAnsi"/>
        </w:rPr>
        <w:t>Educational and Child Psychology</w:t>
      </w:r>
      <w:r w:rsidRPr="00223906">
        <w:rPr>
          <w:rStyle w:val="s1"/>
          <w:rFonts w:asciiTheme="minorHAnsi" w:hAnsiTheme="minorHAnsi"/>
        </w:rPr>
        <w:t>, 26(2), pp. 77–89.</w:t>
      </w:r>
    </w:p>
    <w:p w14:paraId="62D24ED7"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Sylva, K., </w:t>
      </w:r>
      <w:proofErr w:type="spellStart"/>
      <w:r w:rsidRPr="00223906">
        <w:rPr>
          <w:rStyle w:val="s1"/>
          <w:rFonts w:asciiTheme="minorHAnsi" w:hAnsiTheme="minorHAnsi"/>
        </w:rPr>
        <w:t>Melhuish</w:t>
      </w:r>
      <w:proofErr w:type="spellEnd"/>
      <w:r w:rsidRPr="00223906">
        <w:rPr>
          <w:rStyle w:val="s1"/>
          <w:rFonts w:asciiTheme="minorHAnsi" w:hAnsiTheme="minorHAnsi"/>
        </w:rPr>
        <w:t xml:space="preserve">, E., </w:t>
      </w:r>
      <w:proofErr w:type="spellStart"/>
      <w:r w:rsidRPr="00223906">
        <w:rPr>
          <w:rStyle w:val="s1"/>
          <w:rFonts w:asciiTheme="minorHAnsi" w:hAnsiTheme="minorHAnsi"/>
        </w:rPr>
        <w:t>Sammons</w:t>
      </w:r>
      <w:proofErr w:type="spellEnd"/>
      <w:r w:rsidRPr="00223906">
        <w:rPr>
          <w:rStyle w:val="s1"/>
          <w:rFonts w:asciiTheme="minorHAnsi" w:hAnsiTheme="minorHAnsi"/>
        </w:rPr>
        <w:t xml:space="preserve">, P., Siraj-Blatchford, I. and Taggart, B. (2010) </w:t>
      </w:r>
      <w:r w:rsidRPr="00223906">
        <w:rPr>
          <w:rStyle w:val="s2"/>
          <w:rFonts w:asciiTheme="minorHAnsi" w:hAnsiTheme="minorHAnsi"/>
        </w:rPr>
        <w:t>Early childhood matters: Evidence from the Effective Pre-school and Primary Education project</w:t>
      </w:r>
      <w:r w:rsidRPr="00223906">
        <w:rPr>
          <w:rStyle w:val="s1"/>
          <w:rFonts w:asciiTheme="minorHAnsi" w:hAnsiTheme="minorHAnsi"/>
        </w:rPr>
        <w:t xml:space="preserve">. London: </w:t>
      </w:r>
      <w:proofErr w:type="spellStart"/>
      <w:r w:rsidRPr="00223906">
        <w:rPr>
          <w:rStyle w:val="s1"/>
          <w:rFonts w:asciiTheme="minorHAnsi" w:hAnsiTheme="minorHAnsi"/>
        </w:rPr>
        <w:t>Routledge</w:t>
      </w:r>
      <w:proofErr w:type="spellEnd"/>
      <w:r w:rsidRPr="00223906">
        <w:rPr>
          <w:rStyle w:val="s1"/>
          <w:rFonts w:asciiTheme="minorHAnsi" w:hAnsiTheme="minorHAnsi"/>
        </w:rPr>
        <w:t>.</w:t>
      </w:r>
    </w:p>
    <w:p w14:paraId="3C5A8C15"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Verywell Family (2012) ‘Why play is important for your child’s development’. Available at: https://www.verywellfamily.com (Accessed: 19 February 2026).</w:t>
      </w:r>
    </w:p>
    <w:p w14:paraId="7CA485A6"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Vygotsky, L.S. (1978) </w:t>
      </w:r>
      <w:r w:rsidRPr="00223906">
        <w:rPr>
          <w:rStyle w:val="s2"/>
          <w:rFonts w:asciiTheme="minorHAnsi" w:hAnsiTheme="minorHAnsi"/>
        </w:rPr>
        <w:t>Mind in society: The development of higher psychological processes</w:t>
      </w:r>
      <w:r w:rsidRPr="00223906">
        <w:rPr>
          <w:rStyle w:val="s1"/>
          <w:rFonts w:asciiTheme="minorHAnsi" w:hAnsiTheme="minorHAnsi"/>
        </w:rPr>
        <w:t>. Cambridge, MA: Harvard University Press.</w:t>
      </w:r>
    </w:p>
    <w:p w14:paraId="21D70423"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Welsh Government (2014) </w:t>
      </w:r>
      <w:r w:rsidRPr="00223906">
        <w:rPr>
          <w:rStyle w:val="s2"/>
          <w:rFonts w:asciiTheme="minorHAnsi" w:hAnsiTheme="minorHAnsi"/>
        </w:rPr>
        <w:t>Play policy</w:t>
      </w:r>
      <w:r w:rsidRPr="00223906">
        <w:rPr>
          <w:rStyle w:val="s1"/>
          <w:rFonts w:asciiTheme="minorHAnsi" w:hAnsiTheme="minorHAnsi"/>
        </w:rPr>
        <w:t>. Cardiff: Welsh Government.</w:t>
      </w:r>
    </w:p>
    <w:p w14:paraId="67620AED"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Welsh Government (2022) </w:t>
      </w:r>
      <w:r w:rsidRPr="00223906">
        <w:rPr>
          <w:rStyle w:val="s2"/>
          <w:rFonts w:asciiTheme="minorHAnsi" w:hAnsiTheme="minorHAnsi"/>
        </w:rPr>
        <w:t>Curriculum for Wales: Assessment guidance</w:t>
      </w:r>
      <w:r w:rsidRPr="00223906">
        <w:rPr>
          <w:rStyle w:val="s1"/>
          <w:rFonts w:asciiTheme="minorHAnsi" w:hAnsiTheme="minorHAnsi"/>
        </w:rPr>
        <w:t>. Cardiff: Welsh Government.</w:t>
      </w:r>
    </w:p>
    <w:p w14:paraId="3030E63A"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lastRenderedPageBreak/>
        <w:t xml:space="preserve">Whitebread, D. (2012) </w:t>
      </w:r>
      <w:r w:rsidRPr="00223906">
        <w:rPr>
          <w:rStyle w:val="s2"/>
          <w:rFonts w:asciiTheme="minorHAnsi" w:hAnsiTheme="minorHAnsi"/>
        </w:rPr>
        <w:t>The importance of play</w:t>
      </w:r>
      <w:r w:rsidRPr="00223906">
        <w:rPr>
          <w:rStyle w:val="s1"/>
          <w:rFonts w:asciiTheme="minorHAnsi" w:hAnsiTheme="minorHAnsi"/>
        </w:rPr>
        <w:t>. Brussels: Toy Industries of Europe.</w:t>
      </w:r>
    </w:p>
    <w:p w14:paraId="2D21E64B" w14:textId="77777777" w:rsidR="00F82C37" w:rsidRPr="00223906" w:rsidRDefault="00F82C37" w:rsidP="006C6027">
      <w:pPr>
        <w:pStyle w:val="p2"/>
        <w:spacing w:line="360" w:lineRule="auto"/>
        <w:rPr>
          <w:rFonts w:asciiTheme="minorHAnsi" w:hAnsiTheme="minorHAnsi"/>
        </w:rPr>
      </w:pPr>
      <w:r w:rsidRPr="00223906">
        <w:rPr>
          <w:rStyle w:val="s1"/>
          <w:rFonts w:asciiTheme="minorHAnsi" w:hAnsiTheme="minorHAnsi"/>
        </w:rPr>
        <w:t xml:space="preserve">Wood, E. (2014) ‘Free choice and free play in early childhood education: Troubling the discourse’, </w:t>
      </w:r>
      <w:r w:rsidRPr="00223906">
        <w:rPr>
          <w:rStyle w:val="s2"/>
          <w:rFonts w:asciiTheme="minorHAnsi" w:hAnsiTheme="minorHAnsi"/>
        </w:rPr>
        <w:t>International Journal of Early Years Education</w:t>
      </w:r>
      <w:r w:rsidRPr="00223906">
        <w:rPr>
          <w:rStyle w:val="s1"/>
          <w:rFonts w:asciiTheme="minorHAnsi" w:hAnsiTheme="minorHAnsi"/>
        </w:rPr>
        <w:t>, 22(1), pp. 4–18.</w:t>
      </w:r>
    </w:p>
    <w:p w14:paraId="163033F8" w14:textId="77777777" w:rsidR="00F82C37" w:rsidRPr="006C6027" w:rsidRDefault="00F82C37" w:rsidP="006C6027">
      <w:pPr>
        <w:pStyle w:val="p2"/>
        <w:spacing w:line="360" w:lineRule="auto"/>
        <w:rPr>
          <w:rFonts w:asciiTheme="minorHAnsi" w:hAnsiTheme="minorHAnsi"/>
        </w:rPr>
      </w:pPr>
      <w:r w:rsidRPr="00223906">
        <w:rPr>
          <w:rStyle w:val="s1"/>
          <w:rFonts w:asciiTheme="minorHAnsi" w:hAnsiTheme="minorHAnsi"/>
        </w:rPr>
        <w:t xml:space="preserve">World Health </w:t>
      </w:r>
      <w:proofErr w:type="spellStart"/>
      <w:r w:rsidRPr="00223906">
        <w:rPr>
          <w:rStyle w:val="s1"/>
          <w:rFonts w:asciiTheme="minorHAnsi" w:hAnsiTheme="minorHAnsi"/>
        </w:rPr>
        <w:t>Organization</w:t>
      </w:r>
      <w:proofErr w:type="spellEnd"/>
      <w:r w:rsidRPr="00223906">
        <w:rPr>
          <w:rStyle w:val="s1"/>
          <w:rFonts w:asciiTheme="minorHAnsi" w:hAnsiTheme="minorHAnsi"/>
        </w:rPr>
        <w:t xml:space="preserve"> (2019) </w:t>
      </w:r>
      <w:r w:rsidRPr="00223906">
        <w:rPr>
          <w:rStyle w:val="s2"/>
          <w:rFonts w:asciiTheme="minorHAnsi" w:hAnsiTheme="minorHAnsi"/>
        </w:rPr>
        <w:t>Guidelines on physical activity, sedentary behaviour and sleep for children under 5 years of age</w:t>
      </w:r>
      <w:r w:rsidRPr="00223906">
        <w:rPr>
          <w:rStyle w:val="s1"/>
          <w:rFonts w:asciiTheme="minorHAnsi" w:hAnsiTheme="minorHAnsi"/>
        </w:rPr>
        <w:t>. Geneva: WHO.</w:t>
      </w:r>
    </w:p>
    <w:p w14:paraId="37106AF3" w14:textId="591717ED" w:rsidR="004D4A7A" w:rsidRPr="004D4A7A" w:rsidRDefault="004D4A7A" w:rsidP="004D4A7A">
      <w:pPr>
        <w:spacing w:after="0" w:line="240" w:lineRule="auto"/>
        <w:rPr>
          <w:rFonts w:ascii="Times New Roman" w:eastAsia="Times New Roman" w:hAnsi="Times New Roman" w:cs="Times New Roman"/>
          <w:kern w:val="0"/>
          <w14:ligatures w14:val="none"/>
        </w:rPr>
      </w:pPr>
    </w:p>
    <w:sectPr w:rsidR="004D4A7A" w:rsidRPr="004D4A7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97939" w14:textId="77777777" w:rsidR="00B53FF1" w:rsidRDefault="00B53FF1" w:rsidP="008C7359">
      <w:pPr>
        <w:spacing w:after="0" w:line="240" w:lineRule="auto"/>
      </w:pPr>
      <w:r>
        <w:separator/>
      </w:r>
    </w:p>
  </w:endnote>
  <w:endnote w:type="continuationSeparator" w:id="0">
    <w:p w14:paraId="3317A94B" w14:textId="77777777" w:rsidR="00B53FF1" w:rsidRDefault="00B53FF1" w:rsidP="008C7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2D8F8" w14:textId="77777777" w:rsidR="00B53FF1" w:rsidRDefault="00B53FF1" w:rsidP="008C7359">
      <w:pPr>
        <w:spacing w:after="0" w:line="240" w:lineRule="auto"/>
      </w:pPr>
      <w:r>
        <w:separator/>
      </w:r>
    </w:p>
  </w:footnote>
  <w:footnote w:type="continuationSeparator" w:id="0">
    <w:p w14:paraId="0E2140F2" w14:textId="77777777" w:rsidR="00B53FF1" w:rsidRDefault="00B53FF1" w:rsidP="008C7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CCEB1" w14:textId="34FF2F31" w:rsidR="00FF55B0" w:rsidRDefault="00FF55B0">
    <w:pPr>
      <w:pStyle w:val="Header"/>
    </w:pPr>
    <w:r>
      <w:t>Word count:3</w:t>
    </w:r>
    <w:r w:rsidR="00632AE1">
      <w:t>247</w:t>
    </w:r>
  </w:p>
  <w:p w14:paraId="268D3018" w14:textId="1D2F03F2" w:rsidR="00FF55B0" w:rsidRDefault="00860962">
    <w:pPr>
      <w:pStyle w:val="Header"/>
    </w:pPr>
    <w:r>
      <w:t>Student number:</w:t>
    </w:r>
    <w:r w:rsidR="00DD5119">
      <w:t>2516364</w:t>
    </w:r>
  </w:p>
</w:hdr>
</file>

<file path=word/intelligence2.xml><?xml version="1.0" encoding="utf-8"?>
<int2:intelligence xmlns:int2="http://schemas.microsoft.com/office/intelligence/2020/intelligence" xmlns:oel="http://schemas.microsoft.com/office/2019/extlst">
  <int2:observations>
    <int2:bookmark int2:bookmarkName="_Int_qDsPjnEs" int2:invalidationBookmarkName="" int2:hashCode="5NmnYnEbPG7rVG" int2:id="08IZhCi7">
      <int2:state int2:value="Rejected" int2:type="style"/>
    </int2:bookmark>
    <int2:bookmark int2:bookmarkName="_Int_pJiHsIIH" int2:invalidationBookmarkName="" int2:hashCode="WbuCPnJrzfQmpl" int2:id="S8rXJ9sv">
      <int2:state int2:value="Rejected" int2:type="style"/>
    </int2:bookmark>
    <int2:bookmark int2:bookmarkName="_Int_DEknv3jZ" int2:invalidationBookmarkName="" int2:hashCode="v1+anaRfUIDswh" int2:id="qz7frypa">
      <int2:state int2:value="Rejected" int2:type="style"/>
    </int2:bookmark>
    <int2:bookmark int2:bookmarkName="_Int_dl9qiRhp" int2:invalidationBookmarkName="" int2:hashCode="J7CxdGo4hvPyDF" int2:id="ObwTgy3O">
      <int2:state int2:value="Rejected" int2:type="style"/>
    </int2:bookmark>
    <int2:bookmark int2:bookmarkName="_Int_59ed0XBO" int2:invalidationBookmarkName="" int2:hashCode="T2uh1uCfFUtYOn" int2:id="hiCCsyE7">
      <int2:state int2:value="Rejected" int2:type="style"/>
    </int2:bookmark>
    <int2:bookmark int2:bookmarkName="_Int_DbUqJ7DD" int2:invalidationBookmarkName="" int2:hashCode="BP722YIMEjO0Sh" int2:id="dIMcH4eF">
      <int2:state int2:value="Rejected" int2:type="style"/>
    </int2:bookmark>
    <int2:bookmark int2:bookmarkName="_Int_b4DvAlia" int2:invalidationBookmarkName="" int2:hashCode="a3gPsN1V7UgXyV" int2:id="h9B3wWWO">
      <int2:state int2:value="Rejected" int2:type="style"/>
    </int2:bookmark>
    <int2:bookmark int2:bookmarkName="_Int_eYwLymQd" int2:invalidationBookmarkName="" int2:hashCode="/ghaZ+g/Qaww1k" int2:id="C6p8xlya">
      <int2:state int2:value="Rejected" int2:type="style"/>
    </int2:bookmark>
    <int2:bookmark int2:bookmarkName="_Int_MMraZBKc" int2:invalidationBookmarkName="" int2:hashCode="fb+fkfUDJI9q8F" int2:id="jv0DQaGg">
      <int2:state int2:value="Rejected" int2:type="gram"/>
    </int2:bookmark>
    <int2:bookmark int2:bookmarkName="_Int_MZV9B8YQ" int2:invalidationBookmarkName="" int2:hashCode="T0Ik9ErSnkbHDj" int2:id="kG8jgsHR">
      <int2:state int2:value="Rejected" int2:type="style"/>
    </int2:bookmark>
    <int2:bookmark int2:bookmarkName="_Int_GmX31HZt" int2:invalidationBookmarkName="" int2:hashCode="JhoM56oiDNYlw2" int2:id="qD0Eo5io">
      <int2:state int2:value="Rejected" int2:type="style"/>
    </int2:bookmark>
    <int2:bookmark int2:bookmarkName="_Int_n2ze5C8c" int2:invalidationBookmarkName="" int2:hashCode="jXW94TBx+ffu45" int2:id="TMllc5kC">
      <int2:state int2:value="Rejected" int2:type="style"/>
    </int2:bookmark>
    <int2:bookmark int2:bookmarkName="_Int_YnGuoQJ8" int2:invalidationBookmarkName="" int2:hashCode="4gTSiih09hI3R2" int2:id="sGnjZ7Kl">
      <int2:state int2:value="Rejected" int2:type="style"/>
    </int2:bookmark>
    <int2:bookmark int2:bookmarkName="_Int_nxmewg0f" int2:invalidationBookmarkName="" int2:hashCode="e3+TZqNgMaC5Vf" int2:id="SeA8Hron">
      <int2:state int2:value="Rejected" int2:type="style"/>
    </int2:bookmark>
    <int2:bookmark int2:bookmarkName="_Int_v6OZBsrj" int2:invalidationBookmarkName="" int2:hashCode="gu3ZbP9s/qfw4v" int2:id="aXeVe46h">
      <int2:state int2:value="Rejected" int2:type="style"/>
    </int2:bookmark>
    <int2:bookmark int2:bookmarkName="_Int_r9Grvs09" int2:invalidationBookmarkName="" int2:hashCode="m/D4/19di8v/ud" int2:id="mn62YG9w">
      <int2:state int2:value="Rejected" int2:type="style"/>
    </int2:bookmark>
    <int2:bookmark int2:bookmarkName="_Int_CaWu4MM1" int2:invalidationBookmarkName="" int2:hashCode="SMFwPIHakRGYAb" int2:id="PKRi9F4v">
      <int2:state int2:value="Rejected" int2:type="style"/>
    </int2:bookmark>
    <int2:bookmark int2:bookmarkName="_Int_tsEgRJYk" int2:invalidationBookmarkName="" int2:hashCode="6HAvM6AIDEvqRJ" int2:id="0CzWB9Ut">
      <int2:state int2:value="Rejected" int2:type="gram"/>
    </int2:bookmark>
    <int2:bookmark int2:bookmarkName="_Int_7VbFl0A2" int2:invalidationBookmarkName="" int2:hashCode="2VCKDl9K9HQ8Vh" int2:id="HWfAgK72">
      <int2:state int2:value="Rejected" int2:type="gram"/>
    </int2:bookmark>
    <int2:bookmark int2:bookmarkName="_Int_9eBnOfVe" int2:invalidationBookmarkName="" int2:hashCode="T0Ik9ErSnkbHDj" int2:id="pDFqAMRO">
      <int2:state int2:value="Rejected" int2:type="style"/>
    </int2:bookmark>
    <int2:bookmark int2:bookmarkName="_Int_g3oX8MFh" int2:invalidationBookmarkName="" int2:hashCode="d+en/a1hyWtHds" int2:id="WbiD99t0">
      <int2:state int2:value="Rejected" int2:type="gram"/>
    </int2:bookmark>
    <int2:bookmark int2:bookmarkName="_Int_bnUGU2Jo" int2:invalidationBookmarkName="" int2:hashCode="x1XvEANz4c3Uj0" int2:id="u67tU7bV">
      <int2:state int2:value="Rejected" int2:type="style"/>
    </int2:bookmark>
    <int2:bookmark int2:bookmarkName="_Int_9q6MQXaI" int2:invalidationBookmarkName="" int2:hashCode="izGa7UlkpFrQM6" int2:id="WiVNZGWp">
      <int2:state int2:value="Rejected" int2:type="style"/>
    </int2:bookmark>
    <int2:bookmark int2:bookmarkName="_Int_Tjih6s1z" int2:invalidationBookmarkName="" int2:hashCode="eq6ParIDJ904oT" int2:id="ZG4QpRdq">
      <int2:state int2:value="Rejected" int2:type="style"/>
    </int2:bookmark>
    <int2:bookmark int2:bookmarkName="_Int_zc46EjCZ" int2:invalidationBookmarkName="" int2:hashCode="uy3sOG2uNeRaQM" int2:id="mZUAumPy">
      <int2:state int2:value="Rejected" int2:type="style"/>
    </int2:bookmark>
    <int2:bookmark int2:bookmarkName="_Int_Zz7jowD5" int2:invalidationBookmarkName="" int2:hashCode="yVF0PnyCQ//jha" int2:id="EYhLm6Gw">
      <int2:state int2:value="Rejected" int2:type="style"/>
    </int2:bookmark>
    <int2:bookmark int2:bookmarkName="_Int_59WdIuMB" int2:invalidationBookmarkName="" int2:hashCode="T0Ik9ErSnkbHDj" int2:id="PZNFOzfh">
      <int2:state int2:value="Rejected" int2:type="style"/>
    </int2:bookmark>
    <int2:bookmark int2:bookmarkName="_Int_kv3WNYgG" int2:invalidationBookmarkName="" int2:hashCode="m/D4/19di8v/ud" int2:id="6L6wAIkk">
      <int2:state int2:value="Rejected" int2:type="style"/>
    </int2:bookmark>
    <int2:bookmark int2:bookmarkName="_Int_z7MtUWFj" int2:invalidationBookmarkName="" int2:hashCode="Q+cLWcG/gpkNZz" int2:id="SZ8eSmyI">
      <int2:state int2:value="Rejected" int2:type="style"/>
    </int2:bookmark>
    <int2:bookmark int2:bookmarkName="_Int_vZcdL7Lu" int2:invalidationBookmarkName="" int2:hashCode="QyMHtVzhlTy+I2" int2:id="uR7KD703">
      <int2:state int2:value="Rejected" int2:type="style"/>
    </int2:bookmark>
    <int2:bookmark int2:bookmarkName="_Int_ZCrhbTea" int2:invalidationBookmarkName="" int2:hashCode="RhSMw7TSs6yAc/" int2:id="PDGcoiNz">
      <int2:state int2:value="Rejected" int2:type="gram"/>
    </int2:bookmark>
    <int2:bookmark int2:bookmarkName="_Int_GwhMCVaW" int2:invalidationBookmarkName="" int2:hashCode="m/D4/19di8v/ud" int2:id="QcEgmZbR">
      <int2:state int2:value="Rejected" int2:type="style"/>
    </int2:bookmark>
    <int2:bookmark int2:bookmarkName="_Int_4I6XtOhX" int2:invalidationBookmarkName="" int2:hashCode="Tt+hbXIew+hhuE" int2:id="lxhNjmvI">
      <int2:state int2:value="Rejected" int2:type="style"/>
    </int2:bookmark>
    <int2:bookmark int2:bookmarkName="_Int_gC3Y792Q" int2:invalidationBookmarkName="" int2:hashCode="XfnPlw4VbdG38c" int2:id="YjxPTNO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16F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9672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861E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272396">
    <w:abstractNumId w:val="1"/>
  </w:num>
  <w:num w:numId="2" w16cid:durableId="325206402">
    <w:abstractNumId w:val="2"/>
  </w:num>
  <w:num w:numId="3" w16cid:durableId="95905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751"/>
    <w:rsid w:val="00005BBC"/>
    <w:rsid w:val="00011142"/>
    <w:rsid w:val="000264B0"/>
    <w:rsid w:val="000513FD"/>
    <w:rsid w:val="00070B4E"/>
    <w:rsid w:val="00072D8B"/>
    <w:rsid w:val="000815C7"/>
    <w:rsid w:val="0009028A"/>
    <w:rsid w:val="00095771"/>
    <w:rsid w:val="000B5FE5"/>
    <w:rsid w:val="000C382B"/>
    <w:rsid w:val="000D6F18"/>
    <w:rsid w:val="000F02C0"/>
    <w:rsid w:val="000F15AE"/>
    <w:rsid w:val="000F2EB3"/>
    <w:rsid w:val="000F459E"/>
    <w:rsid w:val="0011414A"/>
    <w:rsid w:val="00130FA0"/>
    <w:rsid w:val="00144369"/>
    <w:rsid w:val="00146A3A"/>
    <w:rsid w:val="001701FA"/>
    <w:rsid w:val="0017322D"/>
    <w:rsid w:val="001800C5"/>
    <w:rsid w:val="00183E93"/>
    <w:rsid w:val="001848B7"/>
    <w:rsid w:val="00184C91"/>
    <w:rsid w:val="001854C3"/>
    <w:rsid w:val="0019776B"/>
    <w:rsid w:val="001A1E54"/>
    <w:rsid w:val="001A6F77"/>
    <w:rsid w:val="001C298E"/>
    <w:rsid w:val="001C3A09"/>
    <w:rsid w:val="001D2BC4"/>
    <w:rsid w:val="001D75B8"/>
    <w:rsid w:val="001E4218"/>
    <w:rsid w:val="001F417D"/>
    <w:rsid w:val="001F7673"/>
    <w:rsid w:val="002009CC"/>
    <w:rsid w:val="0020204E"/>
    <w:rsid w:val="00213B48"/>
    <w:rsid w:val="00222FC7"/>
    <w:rsid w:val="00223906"/>
    <w:rsid w:val="00230482"/>
    <w:rsid w:val="00231FD6"/>
    <w:rsid w:val="00232149"/>
    <w:rsid w:val="0023719D"/>
    <w:rsid w:val="00240FC3"/>
    <w:rsid w:val="0025688B"/>
    <w:rsid w:val="00271C30"/>
    <w:rsid w:val="00277988"/>
    <w:rsid w:val="00281472"/>
    <w:rsid w:val="00295F49"/>
    <w:rsid w:val="002A39B0"/>
    <w:rsid w:val="002A4112"/>
    <w:rsid w:val="002A6026"/>
    <w:rsid w:val="002B5072"/>
    <w:rsid w:val="002C4E3F"/>
    <w:rsid w:val="002C75F4"/>
    <w:rsid w:val="002C7616"/>
    <w:rsid w:val="002E1751"/>
    <w:rsid w:val="002E6D52"/>
    <w:rsid w:val="002E7C66"/>
    <w:rsid w:val="00313A1C"/>
    <w:rsid w:val="00314E3E"/>
    <w:rsid w:val="0031644D"/>
    <w:rsid w:val="00336F4E"/>
    <w:rsid w:val="0034014D"/>
    <w:rsid w:val="00343475"/>
    <w:rsid w:val="00360E89"/>
    <w:rsid w:val="00365AC1"/>
    <w:rsid w:val="00367113"/>
    <w:rsid w:val="0037249B"/>
    <w:rsid w:val="00385A11"/>
    <w:rsid w:val="00387397"/>
    <w:rsid w:val="00395ADA"/>
    <w:rsid w:val="003A4499"/>
    <w:rsid w:val="003A56E8"/>
    <w:rsid w:val="003D4087"/>
    <w:rsid w:val="003D77CD"/>
    <w:rsid w:val="003E0C7F"/>
    <w:rsid w:val="004477DF"/>
    <w:rsid w:val="00454DC1"/>
    <w:rsid w:val="00490441"/>
    <w:rsid w:val="004A3B25"/>
    <w:rsid w:val="004A7643"/>
    <w:rsid w:val="004B35BD"/>
    <w:rsid w:val="004B4157"/>
    <w:rsid w:val="004C0E5B"/>
    <w:rsid w:val="004C66CB"/>
    <w:rsid w:val="004C7898"/>
    <w:rsid w:val="004D4A7A"/>
    <w:rsid w:val="004E1177"/>
    <w:rsid w:val="004F3A87"/>
    <w:rsid w:val="00504BEE"/>
    <w:rsid w:val="00521A24"/>
    <w:rsid w:val="00533B1C"/>
    <w:rsid w:val="00540B72"/>
    <w:rsid w:val="00551590"/>
    <w:rsid w:val="0056314F"/>
    <w:rsid w:val="00570794"/>
    <w:rsid w:val="00570FCE"/>
    <w:rsid w:val="00594D7D"/>
    <w:rsid w:val="005A0793"/>
    <w:rsid w:val="005A18CC"/>
    <w:rsid w:val="005A41FC"/>
    <w:rsid w:val="005B11DA"/>
    <w:rsid w:val="005E302D"/>
    <w:rsid w:val="005F0B34"/>
    <w:rsid w:val="00613C17"/>
    <w:rsid w:val="00632AE1"/>
    <w:rsid w:val="006402E1"/>
    <w:rsid w:val="00651207"/>
    <w:rsid w:val="00664D5C"/>
    <w:rsid w:val="006767D9"/>
    <w:rsid w:val="00677A4F"/>
    <w:rsid w:val="00687E4D"/>
    <w:rsid w:val="006952C2"/>
    <w:rsid w:val="006A68A0"/>
    <w:rsid w:val="006B0C7F"/>
    <w:rsid w:val="006C6027"/>
    <w:rsid w:val="006D44D5"/>
    <w:rsid w:val="006E27EE"/>
    <w:rsid w:val="007017B7"/>
    <w:rsid w:val="00707DD1"/>
    <w:rsid w:val="00713EEE"/>
    <w:rsid w:val="0072422B"/>
    <w:rsid w:val="0076475A"/>
    <w:rsid w:val="00770B0C"/>
    <w:rsid w:val="007733D4"/>
    <w:rsid w:val="00791178"/>
    <w:rsid w:val="0079122B"/>
    <w:rsid w:val="00793FC0"/>
    <w:rsid w:val="007A08E8"/>
    <w:rsid w:val="007A69C8"/>
    <w:rsid w:val="007D53F7"/>
    <w:rsid w:val="007E5814"/>
    <w:rsid w:val="007E5E89"/>
    <w:rsid w:val="00833715"/>
    <w:rsid w:val="008449DA"/>
    <w:rsid w:val="00860962"/>
    <w:rsid w:val="00872BE4"/>
    <w:rsid w:val="00873CFC"/>
    <w:rsid w:val="00877C48"/>
    <w:rsid w:val="00887B0C"/>
    <w:rsid w:val="008A0E93"/>
    <w:rsid w:val="008A4658"/>
    <w:rsid w:val="008C2399"/>
    <w:rsid w:val="008C4255"/>
    <w:rsid w:val="008C50F9"/>
    <w:rsid w:val="008C7359"/>
    <w:rsid w:val="008C7918"/>
    <w:rsid w:val="008E0EE3"/>
    <w:rsid w:val="008E1834"/>
    <w:rsid w:val="008E27DA"/>
    <w:rsid w:val="008F608C"/>
    <w:rsid w:val="0091021A"/>
    <w:rsid w:val="00913C50"/>
    <w:rsid w:val="00941E12"/>
    <w:rsid w:val="00942F59"/>
    <w:rsid w:val="00952BC5"/>
    <w:rsid w:val="00954CF2"/>
    <w:rsid w:val="009602C6"/>
    <w:rsid w:val="009704C1"/>
    <w:rsid w:val="0097677E"/>
    <w:rsid w:val="00977DE9"/>
    <w:rsid w:val="00982070"/>
    <w:rsid w:val="009863FF"/>
    <w:rsid w:val="00987649"/>
    <w:rsid w:val="009931F4"/>
    <w:rsid w:val="009940F8"/>
    <w:rsid w:val="009A5C0B"/>
    <w:rsid w:val="009C2EFD"/>
    <w:rsid w:val="009C3005"/>
    <w:rsid w:val="009D6F56"/>
    <w:rsid w:val="009D7D2D"/>
    <w:rsid w:val="009E5149"/>
    <w:rsid w:val="009E74B6"/>
    <w:rsid w:val="009F67A5"/>
    <w:rsid w:val="00A0758C"/>
    <w:rsid w:val="00A10D53"/>
    <w:rsid w:val="00A178AC"/>
    <w:rsid w:val="00A33CD8"/>
    <w:rsid w:val="00A41A73"/>
    <w:rsid w:val="00A46406"/>
    <w:rsid w:val="00A50A31"/>
    <w:rsid w:val="00A53495"/>
    <w:rsid w:val="00A64001"/>
    <w:rsid w:val="00A64D14"/>
    <w:rsid w:val="00A83B4F"/>
    <w:rsid w:val="00AB5586"/>
    <w:rsid w:val="00AD1154"/>
    <w:rsid w:val="00AD399D"/>
    <w:rsid w:val="00AE0639"/>
    <w:rsid w:val="00AE28DA"/>
    <w:rsid w:val="00AF7252"/>
    <w:rsid w:val="00B00644"/>
    <w:rsid w:val="00B026CE"/>
    <w:rsid w:val="00B12D4E"/>
    <w:rsid w:val="00B16B82"/>
    <w:rsid w:val="00B21C60"/>
    <w:rsid w:val="00B276F7"/>
    <w:rsid w:val="00B42791"/>
    <w:rsid w:val="00B53FF1"/>
    <w:rsid w:val="00B60A31"/>
    <w:rsid w:val="00B61BF7"/>
    <w:rsid w:val="00B72D92"/>
    <w:rsid w:val="00B80B8F"/>
    <w:rsid w:val="00B83844"/>
    <w:rsid w:val="00B83C54"/>
    <w:rsid w:val="00B912D3"/>
    <w:rsid w:val="00B91F1C"/>
    <w:rsid w:val="00B97FC5"/>
    <w:rsid w:val="00BB12CF"/>
    <w:rsid w:val="00BB3611"/>
    <w:rsid w:val="00BB3A16"/>
    <w:rsid w:val="00BE006D"/>
    <w:rsid w:val="00BE135F"/>
    <w:rsid w:val="00BF0C68"/>
    <w:rsid w:val="00BF53D0"/>
    <w:rsid w:val="00C078F6"/>
    <w:rsid w:val="00C1037F"/>
    <w:rsid w:val="00C2451A"/>
    <w:rsid w:val="00C36982"/>
    <w:rsid w:val="00C411E0"/>
    <w:rsid w:val="00C47BF2"/>
    <w:rsid w:val="00C5333F"/>
    <w:rsid w:val="00C6407A"/>
    <w:rsid w:val="00C738CB"/>
    <w:rsid w:val="00C842BB"/>
    <w:rsid w:val="00C96E9A"/>
    <w:rsid w:val="00C973ED"/>
    <w:rsid w:val="00C97F42"/>
    <w:rsid w:val="00CC3ED4"/>
    <w:rsid w:val="00CC7A28"/>
    <w:rsid w:val="00CE0E4F"/>
    <w:rsid w:val="00D018E4"/>
    <w:rsid w:val="00D20D87"/>
    <w:rsid w:val="00D22CC3"/>
    <w:rsid w:val="00D2468C"/>
    <w:rsid w:val="00D3013C"/>
    <w:rsid w:val="00D306CC"/>
    <w:rsid w:val="00D31FC6"/>
    <w:rsid w:val="00D56FD8"/>
    <w:rsid w:val="00D609F1"/>
    <w:rsid w:val="00D61636"/>
    <w:rsid w:val="00D621F6"/>
    <w:rsid w:val="00D62B49"/>
    <w:rsid w:val="00D736FF"/>
    <w:rsid w:val="00D8149A"/>
    <w:rsid w:val="00D93089"/>
    <w:rsid w:val="00D95013"/>
    <w:rsid w:val="00DA2925"/>
    <w:rsid w:val="00DB6C3D"/>
    <w:rsid w:val="00DC04E3"/>
    <w:rsid w:val="00DC5265"/>
    <w:rsid w:val="00DD09B3"/>
    <w:rsid w:val="00DD31E3"/>
    <w:rsid w:val="00DD5119"/>
    <w:rsid w:val="00E03910"/>
    <w:rsid w:val="00E10BC2"/>
    <w:rsid w:val="00E12BC7"/>
    <w:rsid w:val="00E14BA9"/>
    <w:rsid w:val="00E24A2D"/>
    <w:rsid w:val="00E261D2"/>
    <w:rsid w:val="00E401DB"/>
    <w:rsid w:val="00E627D6"/>
    <w:rsid w:val="00E65E4B"/>
    <w:rsid w:val="00E671E1"/>
    <w:rsid w:val="00E7243F"/>
    <w:rsid w:val="00E827F1"/>
    <w:rsid w:val="00E86D12"/>
    <w:rsid w:val="00E93858"/>
    <w:rsid w:val="00E94C97"/>
    <w:rsid w:val="00E97030"/>
    <w:rsid w:val="00EA4086"/>
    <w:rsid w:val="00ED039F"/>
    <w:rsid w:val="00EE70B9"/>
    <w:rsid w:val="00EF0228"/>
    <w:rsid w:val="00F034DE"/>
    <w:rsid w:val="00F03D40"/>
    <w:rsid w:val="00F055D0"/>
    <w:rsid w:val="00F07CDA"/>
    <w:rsid w:val="00F10394"/>
    <w:rsid w:val="00F27EE4"/>
    <w:rsid w:val="00F330E7"/>
    <w:rsid w:val="00F62681"/>
    <w:rsid w:val="00F82C37"/>
    <w:rsid w:val="00F90F0D"/>
    <w:rsid w:val="00FA7961"/>
    <w:rsid w:val="00FB4C90"/>
    <w:rsid w:val="00FC1D1E"/>
    <w:rsid w:val="00FC4254"/>
    <w:rsid w:val="00FC6322"/>
    <w:rsid w:val="00FD5C75"/>
    <w:rsid w:val="00FE6FC9"/>
    <w:rsid w:val="00FF5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6BD640"/>
  <w15:chartTrackingRefBased/>
  <w15:docId w15:val="{E18BFD98-6D65-4B4E-9A3E-9062F5586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7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7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17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7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7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7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7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7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7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7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17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17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7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7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7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7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7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751"/>
    <w:rPr>
      <w:rFonts w:eastAsiaTheme="majorEastAsia" w:cstheme="majorBidi"/>
      <w:color w:val="272727" w:themeColor="text1" w:themeTint="D8"/>
    </w:rPr>
  </w:style>
  <w:style w:type="paragraph" w:styleId="Title">
    <w:name w:val="Title"/>
    <w:basedOn w:val="Normal"/>
    <w:next w:val="Normal"/>
    <w:link w:val="TitleChar"/>
    <w:uiPriority w:val="10"/>
    <w:qFormat/>
    <w:rsid w:val="002E1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7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7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7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751"/>
    <w:pPr>
      <w:spacing w:before="160"/>
      <w:jc w:val="center"/>
    </w:pPr>
    <w:rPr>
      <w:i/>
      <w:iCs/>
      <w:color w:val="404040" w:themeColor="text1" w:themeTint="BF"/>
    </w:rPr>
  </w:style>
  <w:style w:type="character" w:customStyle="1" w:styleId="QuoteChar">
    <w:name w:val="Quote Char"/>
    <w:basedOn w:val="DefaultParagraphFont"/>
    <w:link w:val="Quote"/>
    <w:uiPriority w:val="29"/>
    <w:rsid w:val="002E1751"/>
    <w:rPr>
      <w:i/>
      <w:iCs/>
      <w:color w:val="404040" w:themeColor="text1" w:themeTint="BF"/>
    </w:rPr>
  </w:style>
  <w:style w:type="paragraph" w:styleId="ListParagraph">
    <w:name w:val="List Paragraph"/>
    <w:basedOn w:val="Normal"/>
    <w:uiPriority w:val="34"/>
    <w:qFormat/>
    <w:rsid w:val="002E1751"/>
    <w:pPr>
      <w:ind w:left="720"/>
      <w:contextualSpacing/>
    </w:pPr>
  </w:style>
  <w:style w:type="character" w:styleId="IntenseEmphasis">
    <w:name w:val="Intense Emphasis"/>
    <w:basedOn w:val="DefaultParagraphFont"/>
    <w:uiPriority w:val="21"/>
    <w:qFormat/>
    <w:rsid w:val="002E1751"/>
    <w:rPr>
      <w:i/>
      <w:iCs/>
      <w:color w:val="0F4761" w:themeColor="accent1" w:themeShade="BF"/>
    </w:rPr>
  </w:style>
  <w:style w:type="paragraph" w:styleId="IntenseQuote">
    <w:name w:val="Intense Quote"/>
    <w:basedOn w:val="Normal"/>
    <w:next w:val="Normal"/>
    <w:link w:val="IntenseQuoteChar"/>
    <w:uiPriority w:val="30"/>
    <w:qFormat/>
    <w:rsid w:val="002E17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751"/>
    <w:rPr>
      <w:i/>
      <w:iCs/>
      <w:color w:val="0F4761" w:themeColor="accent1" w:themeShade="BF"/>
    </w:rPr>
  </w:style>
  <w:style w:type="character" w:styleId="IntenseReference">
    <w:name w:val="Intense Reference"/>
    <w:basedOn w:val="DefaultParagraphFont"/>
    <w:uiPriority w:val="32"/>
    <w:qFormat/>
    <w:rsid w:val="002E1751"/>
    <w:rPr>
      <w:b/>
      <w:bCs/>
      <w:smallCaps/>
      <w:color w:val="0F4761" w:themeColor="accent1" w:themeShade="BF"/>
      <w:spacing w:val="5"/>
    </w:rPr>
  </w:style>
  <w:style w:type="character" w:customStyle="1" w:styleId="s1">
    <w:name w:val="s1"/>
    <w:basedOn w:val="DefaultParagraphFont"/>
    <w:rsid w:val="002E1751"/>
  </w:style>
  <w:style w:type="paragraph" w:customStyle="1" w:styleId="p2">
    <w:name w:val="p2"/>
    <w:basedOn w:val="Normal"/>
    <w:rsid w:val="002E175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E1751"/>
  </w:style>
  <w:style w:type="paragraph" w:customStyle="1" w:styleId="p3">
    <w:name w:val="p3"/>
    <w:basedOn w:val="Normal"/>
    <w:rsid w:val="002E175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44369"/>
  </w:style>
  <w:style w:type="paragraph" w:customStyle="1" w:styleId="p1">
    <w:name w:val="p1"/>
    <w:basedOn w:val="Normal"/>
    <w:rsid w:val="008C7359"/>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C73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359"/>
  </w:style>
  <w:style w:type="paragraph" w:styleId="Footer">
    <w:name w:val="footer"/>
    <w:basedOn w:val="Normal"/>
    <w:link w:val="FooterChar"/>
    <w:uiPriority w:val="99"/>
    <w:unhideWhenUsed/>
    <w:rsid w:val="008C73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359"/>
  </w:style>
  <w:style w:type="character" w:customStyle="1" w:styleId="s4">
    <w:name w:val="s4"/>
    <w:basedOn w:val="DefaultParagraphFont"/>
    <w:rsid w:val="00E65E4B"/>
  </w:style>
  <w:style w:type="character" w:customStyle="1" w:styleId="apple-converted-space">
    <w:name w:val="apple-converted-space"/>
    <w:basedOn w:val="DefaultParagraphFont"/>
    <w:rsid w:val="005F0B34"/>
  </w:style>
  <w:style w:type="paragraph" w:styleId="NormalWeb">
    <w:name w:val="Normal (Web)"/>
    <w:basedOn w:val="Normal"/>
    <w:uiPriority w:val="99"/>
    <w:semiHidden/>
    <w:unhideWhenUsed/>
    <w:rsid w:val="00D8149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4440</Words>
  <Characters>25309</Characters>
  <Application>Microsoft Office Word</Application>
  <DocSecurity>0</DocSecurity>
  <Lines>210</Lines>
  <Paragraphs>59</Paragraphs>
  <ScaleCrop>false</ScaleCrop>
  <Company/>
  <LinksUpToDate>false</LinksUpToDate>
  <CharactersWithSpaces>29690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2026-03-01T23:38:00Z</dcterms:created>
  <dcterms:modified xsi:type="dcterms:W3CDTF">2026-03-01T23:38:00Z</dcterms:modified>
</cp:coreProperties>
</file>