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E2826" w:rsidRDefault="005E2826">
      <w:pPr>
        <w:ind w:firstLine="0"/>
        <w:jc w:val="center"/>
      </w:pPr>
    </w:p>
    <w:p w14:paraId="00000002" w14:textId="77777777" w:rsidR="005E2826" w:rsidRDefault="005E2826">
      <w:pPr>
        <w:ind w:firstLine="0"/>
        <w:jc w:val="center"/>
      </w:pPr>
    </w:p>
    <w:p w14:paraId="00000003" w14:textId="77777777" w:rsidR="005E2826" w:rsidRDefault="005E2826">
      <w:pPr>
        <w:ind w:firstLine="0"/>
        <w:jc w:val="center"/>
      </w:pPr>
    </w:p>
    <w:p w14:paraId="00000004" w14:textId="77777777" w:rsidR="005E2826" w:rsidRDefault="005E2826">
      <w:pPr>
        <w:ind w:firstLine="0"/>
        <w:jc w:val="center"/>
      </w:pPr>
    </w:p>
    <w:p w14:paraId="00000005" w14:textId="77777777" w:rsidR="005E2826" w:rsidRDefault="005E2826">
      <w:pPr>
        <w:ind w:firstLine="0"/>
        <w:jc w:val="center"/>
      </w:pPr>
    </w:p>
    <w:p w14:paraId="00000006" w14:textId="77777777" w:rsidR="005E2826" w:rsidRDefault="005E2826">
      <w:pPr>
        <w:ind w:firstLine="0"/>
        <w:jc w:val="center"/>
      </w:pPr>
    </w:p>
    <w:p w14:paraId="00000007" w14:textId="77777777" w:rsidR="005E2826" w:rsidRDefault="005E2826">
      <w:pPr>
        <w:ind w:firstLine="0"/>
        <w:jc w:val="center"/>
      </w:pPr>
    </w:p>
    <w:p w14:paraId="00000008" w14:textId="77777777" w:rsidR="005E2826" w:rsidRDefault="005E2826">
      <w:pPr>
        <w:ind w:firstLine="0"/>
        <w:jc w:val="center"/>
      </w:pPr>
    </w:p>
    <w:p w14:paraId="00000009" w14:textId="77777777" w:rsidR="005E2826" w:rsidRDefault="005E2826">
      <w:pPr>
        <w:ind w:firstLine="0"/>
        <w:jc w:val="center"/>
      </w:pPr>
    </w:p>
    <w:p w14:paraId="0000000A" w14:textId="77777777" w:rsidR="005E2826" w:rsidRDefault="005E2826">
      <w:pPr>
        <w:ind w:firstLine="0"/>
        <w:jc w:val="center"/>
      </w:pPr>
    </w:p>
    <w:p w14:paraId="0000000B" w14:textId="77777777" w:rsidR="005E2826" w:rsidRDefault="00000000">
      <w:pPr>
        <w:ind w:firstLine="0"/>
        <w:jc w:val="center"/>
      </w:pPr>
      <w:r>
        <w:t>Project Management</w:t>
      </w:r>
    </w:p>
    <w:p w14:paraId="0000000C" w14:textId="77777777" w:rsidR="005E2826" w:rsidRDefault="00000000">
      <w:pPr>
        <w:ind w:firstLine="0"/>
        <w:jc w:val="center"/>
      </w:pPr>
      <w:r>
        <w:t>Component 2: Coursework: Essay</w:t>
      </w:r>
    </w:p>
    <w:p w14:paraId="0000000D" w14:textId="77777777" w:rsidR="005E2826" w:rsidRDefault="005E2826">
      <w:pPr>
        <w:ind w:firstLine="0"/>
        <w:jc w:val="center"/>
      </w:pPr>
    </w:p>
    <w:p w14:paraId="0000000E" w14:textId="77777777" w:rsidR="005E2826" w:rsidRDefault="00000000">
      <w:pPr>
        <w:ind w:firstLine="0"/>
        <w:jc w:val="center"/>
      </w:pPr>
      <w:r>
        <w:t>Evaluation of the Google Headquarters Project in London</w:t>
      </w:r>
    </w:p>
    <w:p w14:paraId="0000000F" w14:textId="77777777" w:rsidR="005E2826" w:rsidRDefault="005E2826">
      <w:pPr>
        <w:ind w:firstLine="0"/>
      </w:pPr>
    </w:p>
    <w:p w14:paraId="00000010" w14:textId="77777777" w:rsidR="005E2826" w:rsidRDefault="00000000">
      <w:pPr>
        <w:ind w:firstLine="0"/>
        <w:jc w:val="center"/>
      </w:pPr>
      <w:r>
        <w:t>LCBB5005</w:t>
      </w:r>
    </w:p>
    <w:p w14:paraId="00000011" w14:textId="77777777" w:rsidR="005E2826" w:rsidRDefault="00000000">
      <w:pPr>
        <w:ind w:firstLine="0"/>
        <w:jc w:val="center"/>
      </w:pPr>
      <w:r>
        <w:t>Student</w:t>
      </w:r>
    </w:p>
    <w:p w14:paraId="19DB433A" w14:textId="3D8FC56A" w:rsidR="003B5D7B" w:rsidRDefault="003B5D7B">
      <w:pPr>
        <w:ind w:firstLine="0"/>
        <w:jc w:val="center"/>
      </w:pPr>
      <w:r>
        <w:t>Ivan Gunchev</w:t>
      </w:r>
    </w:p>
    <w:p w14:paraId="00000012" w14:textId="77777777" w:rsidR="005E2826" w:rsidRDefault="00000000">
      <w:pPr>
        <w:ind w:firstLine="0"/>
        <w:jc w:val="center"/>
      </w:pPr>
      <w:r>
        <w:t>Student ID</w:t>
      </w:r>
    </w:p>
    <w:p w14:paraId="2C8EAEF9" w14:textId="57F38F3B" w:rsidR="003B5D7B" w:rsidRDefault="003B5D7B">
      <w:pPr>
        <w:ind w:firstLine="0"/>
        <w:jc w:val="center"/>
      </w:pPr>
      <w:r>
        <w:t>2030335</w:t>
      </w:r>
    </w:p>
    <w:p w14:paraId="00000013" w14:textId="77777777" w:rsidR="005E2826" w:rsidRDefault="005E2826">
      <w:pPr>
        <w:ind w:firstLine="0"/>
        <w:jc w:val="center"/>
      </w:pPr>
    </w:p>
    <w:p w14:paraId="00000014" w14:textId="77777777" w:rsidR="005E2826" w:rsidRDefault="00000000">
      <w:pPr>
        <w:ind w:firstLine="0"/>
        <w:jc w:val="center"/>
      </w:pPr>
      <w:r>
        <w:t>Date</w:t>
      </w:r>
    </w:p>
    <w:p w14:paraId="3B79F2AE" w14:textId="698324C5" w:rsidR="003B5D7B" w:rsidRDefault="003B5D7B">
      <w:pPr>
        <w:ind w:firstLine="0"/>
        <w:jc w:val="center"/>
      </w:pPr>
      <w:r>
        <w:t>26.12.2023</w:t>
      </w:r>
    </w:p>
    <w:p w14:paraId="00000015" w14:textId="77777777" w:rsidR="005E2826" w:rsidRDefault="005E2826">
      <w:pPr>
        <w:jc w:val="center"/>
      </w:pPr>
    </w:p>
    <w:p w14:paraId="00000016" w14:textId="77777777" w:rsidR="005E2826" w:rsidRDefault="005E2826">
      <w:pPr>
        <w:jc w:val="center"/>
      </w:pPr>
    </w:p>
    <w:p w14:paraId="00000017" w14:textId="77777777" w:rsidR="005E2826" w:rsidRDefault="005E2826">
      <w:pPr>
        <w:jc w:val="center"/>
      </w:pPr>
    </w:p>
    <w:p w14:paraId="00000018" w14:textId="77777777" w:rsidR="005E2826" w:rsidRDefault="005E2826">
      <w:pPr>
        <w:jc w:val="center"/>
      </w:pPr>
    </w:p>
    <w:p w14:paraId="00000019" w14:textId="77777777" w:rsidR="005E2826" w:rsidRDefault="005E2826">
      <w:pPr>
        <w:ind w:firstLine="0"/>
      </w:pPr>
    </w:p>
    <w:p w14:paraId="0000001A" w14:textId="77777777" w:rsidR="005E2826" w:rsidRDefault="00000000">
      <w:pPr>
        <w:keepNext/>
        <w:keepLines/>
        <w:pBdr>
          <w:top w:val="nil"/>
          <w:left w:val="nil"/>
          <w:bottom w:val="nil"/>
          <w:right w:val="nil"/>
          <w:between w:val="nil"/>
        </w:pBdr>
        <w:spacing w:before="480" w:line="276" w:lineRule="auto"/>
        <w:ind w:firstLine="0"/>
        <w:jc w:val="center"/>
        <w:rPr>
          <w:b/>
          <w:color w:val="2F5496"/>
          <w:sz w:val="28"/>
          <w:szCs w:val="28"/>
        </w:rPr>
      </w:pPr>
      <w:r>
        <w:rPr>
          <w:b/>
          <w:color w:val="2F5496"/>
          <w:sz w:val="28"/>
          <w:szCs w:val="28"/>
        </w:rPr>
        <w:t>Table of Contents</w:t>
      </w:r>
    </w:p>
    <w:sdt>
      <w:sdtPr>
        <w:id w:val="820857547"/>
        <w:docPartObj>
          <w:docPartGallery w:val="Table of Contents"/>
          <w:docPartUnique/>
        </w:docPartObj>
      </w:sdtPr>
      <w:sdtContent>
        <w:p w14:paraId="0000001B" w14:textId="77777777" w:rsidR="005E2826" w:rsidRDefault="00000000">
          <w:pPr>
            <w:widowControl w:val="0"/>
            <w:tabs>
              <w:tab w:val="right" w:leader="dot" w:pos="12000"/>
            </w:tabs>
            <w:spacing w:before="60" w:line="240" w:lineRule="auto"/>
            <w:ind w:firstLine="0"/>
            <w:rPr>
              <w:color w:val="000000"/>
            </w:rPr>
          </w:pPr>
          <w:r>
            <w:fldChar w:fldCharType="begin"/>
          </w:r>
          <w:r>
            <w:instrText xml:space="preserve"> TOC \h \u \z \t "Heading 1,1,Heading 2,2,Heading 3,3,"</w:instrText>
          </w:r>
          <w:r>
            <w:fldChar w:fldCharType="separate"/>
          </w:r>
          <w:hyperlink w:anchor="_30j0zll">
            <w:r>
              <w:rPr>
                <w:smallCaps/>
                <w:color w:val="000000"/>
              </w:rPr>
              <w:t>Introduction</w:t>
            </w:r>
            <w:r>
              <w:rPr>
                <w:smallCaps/>
                <w:color w:val="000000"/>
              </w:rPr>
              <w:tab/>
              <w:t>3</w:t>
            </w:r>
          </w:hyperlink>
        </w:p>
        <w:p w14:paraId="0000001C" w14:textId="77777777" w:rsidR="005E2826" w:rsidRDefault="00000000">
          <w:pPr>
            <w:widowControl w:val="0"/>
            <w:tabs>
              <w:tab w:val="right" w:leader="dot" w:pos="12000"/>
            </w:tabs>
            <w:spacing w:before="60" w:line="240" w:lineRule="auto"/>
            <w:ind w:firstLine="0"/>
            <w:rPr>
              <w:color w:val="000000"/>
            </w:rPr>
          </w:pPr>
          <w:hyperlink w:anchor="_1fob9te">
            <w:r>
              <w:rPr>
                <w:smallCaps/>
                <w:color w:val="000000"/>
              </w:rPr>
              <w:t>Evaluation of the Project</w:t>
            </w:r>
            <w:r>
              <w:rPr>
                <w:smallCaps/>
                <w:color w:val="000000"/>
              </w:rPr>
              <w:tab/>
              <w:t>3</w:t>
            </w:r>
          </w:hyperlink>
        </w:p>
        <w:p w14:paraId="0000001D" w14:textId="77777777" w:rsidR="005E2826" w:rsidRDefault="00000000">
          <w:pPr>
            <w:widowControl w:val="0"/>
            <w:tabs>
              <w:tab w:val="right" w:leader="dot" w:pos="12000"/>
            </w:tabs>
            <w:spacing w:before="60" w:line="240" w:lineRule="auto"/>
            <w:ind w:firstLine="0"/>
            <w:rPr>
              <w:color w:val="000000"/>
            </w:rPr>
          </w:pPr>
          <w:hyperlink w:anchor="_3znysh7">
            <w:r>
              <w:rPr>
                <w:smallCaps/>
                <w:color w:val="000000"/>
              </w:rPr>
              <w:t>Impacts on the UK technology industry</w:t>
            </w:r>
            <w:r>
              <w:rPr>
                <w:smallCaps/>
                <w:color w:val="000000"/>
              </w:rPr>
              <w:tab/>
              <w:t>4</w:t>
            </w:r>
          </w:hyperlink>
        </w:p>
        <w:p w14:paraId="0000001E" w14:textId="77777777" w:rsidR="005E2826" w:rsidRDefault="00000000">
          <w:pPr>
            <w:widowControl w:val="0"/>
            <w:tabs>
              <w:tab w:val="right" w:leader="dot" w:pos="12000"/>
            </w:tabs>
            <w:spacing w:before="60" w:line="240" w:lineRule="auto"/>
            <w:ind w:firstLine="0"/>
            <w:rPr>
              <w:color w:val="000000"/>
            </w:rPr>
          </w:pPr>
          <w:hyperlink w:anchor="_2et92p0">
            <w:r>
              <w:rPr>
                <w:smallCaps/>
                <w:color w:val="000000"/>
              </w:rPr>
              <w:t>Success or failure?</w:t>
            </w:r>
            <w:r>
              <w:rPr>
                <w:smallCaps/>
                <w:color w:val="000000"/>
              </w:rPr>
              <w:tab/>
              <w:t>9</w:t>
            </w:r>
          </w:hyperlink>
        </w:p>
        <w:p w14:paraId="0000001F" w14:textId="77777777" w:rsidR="005E2826" w:rsidRDefault="00000000">
          <w:pPr>
            <w:widowControl w:val="0"/>
            <w:tabs>
              <w:tab w:val="right" w:leader="dot" w:pos="12000"/>
            </w:tabs>
            <w:spacing w:before="60" w:line="240" w:lineRule="auto"/>
            <w:ind w:firstLine="0"/>
            <w:rPr>
              <w:color w:val="000000"/>
            </w:rPr>
          </w:pPr>
          <w:hyperlink w:anchor="_tyjcwt">
            <w:r>
              <w:rPr>
                <w:smallCaps/>
                <w:color w:val="000000"/>
              </w:rPr>
              <w:t>Knowledge Acquired</w:t>
            </w:r>
            <w:r>
              <w:rPr>
                <w:smallCaps/>
                <w:color w:val="000000"/>
              </w:rPr>
              <w:tab/>
              <w:t>10</w:t>
            </w:r>
          </w:hyperlink>
        </w:p>
        <w:p w14:paraId="00000020" w14:textId="77777777" w:rsidR="005E2826" w:rsidRDefault="00000000">
          <w:pPr>
            <w:widowControl w:val="0"/>
            <w:tabs>
              <w:tab w:val="right" w:leader="dot" w:pos="12000"/>
            </w:tabs>
            <w:spacing w:before="60" w:line="240" w:lineRule="auto"/>
            <w:ind w:firstLine="0"/>
            <w:rPr>
              <w:color w:val="000000"/>
            </w:rPr>
          </w:pPr>
          <w:hyperlink w:anchor="_3dy6vkm">
            <w:r>
              <w:rPr>
                <w:smallCaps/>
                <w:color w:val="000000"/>
              </w:rPr>
              <w:t>Conclusion</w:t>
            </w:r>
            <w:r>
              <w:rPr>
                <w:smallCaps/>
                <w:color w:val="000000"/>
              </w:rPr>
              <w:tab/>
              <w:t>11</w:t>
            </w:r>
          </w:hyperlink>
        </w:p>
        <w:p w14:paraId="00000021" w14:textId="77777777" w:rsidR="005E2826" w:rsidRDefault="00000000">
          <w:pPr>
            <w:widowControl w:val="0"/>
            <w:tabs>
              <w:tab w:val="right" w:leader="dot" w:pos="12000"/>
            </w:tabs>
            <w:spacing w:before="60" w:line="240" w:lineRule="auto"/>
            <w:ind w:firstLine="0"/>
            <w:rPr>
              <w:color w:val="000000"/>
            </w:rPr>
          </w:pPr>
          <w:hyperlink w:anchor="_1t3h5sf">
            <w:r>
              <w:rPr>
                <w:smallCaps/>
                <w:color w:val="000000"/>
              </w:rPr>
              <w:t>References</w:t>
            </w:r>
            <w:r>
              <w:rPr>
                <w:smallCaps/>
                <w:color w:val="000000"/>
              </w:rPr>
              <w:tab/>
              <w:t>13</w:t>
            </w:r>
          </w:hyperlink>
          <w:r>
            <w:fldChar w:fldCharType="end"/>
          </w:r>
        </w:p>
      </w:sdtContent>
    </w:sdt>
    <w:p w14:paraId="00000022" w14:textId="77777777" w:rsidR="005E2826" w:rsidRDefault="005E2826">
      <w:pPr>
        <w:ind w:firstLine="0"/>
      </w:pPr>
    </w:p>
    <w:p w14:paraId="00000023" w14:textId="77777777" w:rsidR="005E2826" w:rsidRDefault="005E2826">
      <w:pPr>
        <w:ind w:firstLine="0"/>
      </w:pPr>
    </w:p>
    <w:p w14:paraId="00000024" w14:textId="77777777" w:rsidR="005E2826" w:rsidRDefault="005E2826">
      <w:pPr>
        <w:ind w:firstLine="0"/>
      </w:pPr>
    </w:p>
    <w:p w14:paraId="00000025" w14:textId="77777777" w:rsidR="005E2826" w:rsidRDefault="005E2826">
      <w:pPr>
        <w:ind w:firstLine="0"/>
      </w:pPr>
    </w:p>
    <w:p w14:paraId="00000026" w14:textId="77777777" w:rsidR="005E2826" w:rsidRDefault="005E2826">
      <w:pPr>
        <w:ind w:firstLine="0"/>
      </w:pPr>
    </w:p>
    <w:p w14:paraId="00000027" w14:textId="77777777" w:rsidR="005E2826" w:rsidRDefault="005E2826">
      <w:pPr>
        <w:ind w:firstLine="0"/>
      </w:pPr>
    </w:p>
    <w:p w14:paraId="00000028" w14:textId="77777777" w:rsidR="005E2826" w:rsidRDefault="005E2826">
      <w:pPr>
        <w:ind w:firstLine="0"/>
      </w:pPr>
    </w:p>
    <w:p w14:paraId="00000029" w14:textId="77777777" w:rsidR="005E2826" w:rsidRDefault="005E2826">
      <w:pPr>
        <w:ind w:firstLine="0"/>
      </w:pPr>
    </w:p>
    <w:p w14:paraId="0000002A" w14:textId="77777777" w:rsidR="005E2826" w:rsidRDefault="005E2826">
      <w:pPr>
        <w:ind w:firstLine="0"/>
      </w:pPr>
      <w:bookmarkStart w:id="0" w:name="_gjdgxs" w:colFirst="0" w:colLast="0"/>
      <w:bookmarkEnd w:id="0"/>
    </w:p>
    <w:p w14:paraId="0000002B" w14:textId="77777777" w:rsidR="005E2826" w:rsidRDefault="005E2826">
      <w:pPr>
        <w:ind w:firstLine="0"/>
      </w:pPr>
    </w:p>
    <w:p w14:paraId="0000002C" w14:textId="77777777" w:rsidR="005E2826" w:rsidRDefault="005E2826">
      <w:pPr>
        <w:ind w:firstLine="0"/>
      </w:pPr>
    </w:p>
    <w:p w14:paraId="0000002D" w14:textId="77777777" w:rsidR="005E2826" w:rsidRDefault="005E2826">
      <w:pPr>
        <w:ind w:firstLine="0"/>
      </w:pPr>
    </w:p>
    <w:p w14:paraId="0000002E" w14:textId="77777777" w:rsidR="005E2826" w:rsidRDefault="005E2826">
      <w:pPr>
        <w:ind w:firstLine="0"/>
      </w:pPr>
    </w:p>
    <w:p w14:paraId="0000002F" w14:textId="77777777" w:rsidR="005E2826" w:rsidRDefault="005E2826">
      <w:pPr>
        <w:ind w:firstLine="0"/>
      </w:pPr>
    </w:p>
    <w:p w14:paraId="00000030" w14:textId="77777777" w:rsidR="005E2826" w:rsidRDefault="005E2826">
      <w:pPr>
        <w:ind w:firstLine="0"/>
      </w:pPr>
    </w:p>
    <w:p w14:paraId="00000031" w14:textId="77777777" w:rsidR="005E2826" w:rsidRDefault="005E2826">
      <w:pPr>
        <w:ind w:firstLine="0"/>
      </w:pPr>
    </w:p>
    <w:p w14:paraId="00000032" w14:textId="77777777" w:rsidR="005E2826" w:rsidRDefault="005E2826">
      <w:pPr>
        <w:ind w:firstLine="0"/>
      </w:pPr>
    </w:p>
    <w:p w14:paraId="00000033" w14:textId="77777777" w:rsidR="005E2826" w:rsidRDefault="005E2826">
      <w:pPr>
        <w:ind w:firstLine="0"/>
      </w:pPr>
    </w:p>
    <w:p w14:paraId="00000034" w14:textId="77777777" w:rsidR="005E2826" w:rsidRDefault="005E2826">
      <w:pPr>
        <w:ind w:firstLine="0"/>
      </w:pPr>
    </w:p>
    <w:p w14:paraId="00000035" w14:textId="77777777" w:rsidR="005E2826" w:rsidRDefault="00000000">
      <w:pPr>
        <w:pStyle w:val="Heading1"/>
        <w:ind w:firstLine="0"/>
        <w:jc w:val="center"/>
        <w:rPr>
          <w:rFonts w:ascii="Times New Roman" w:eastAsia="Times New Roman" w:hAnsi="Times New Roman" w:cs="Times New Roman"/>
          <w:b/>
        </w:rPr>
      </w:pPr>
      <w:bookmarkStart w:id="1" w:name="_30j0zll" w:colFirst="0" w:colLast="0"/>
      <w:bookmarkEnd w:id="1"/>
      <w:r>
        <w:rPr>
          <w:rFonts w:ascii="Times New Roman" w:eastAsia="Times New Roman" w:hAnsi="Times New Roman" w:cs="Times New Roman"/>
          <w:b/>
        </w:rPr>
        <w:t xml:space="preserve">Introduction </w:t>
      </w:r>
    </w:p>
    <w:p w14:paraId="00000036" w14:textId="77777777" w:rsidR="005E2826" w:rsidRDefault="00000000">
      <w:r>
        <w:t xml:space="preserve">Google, one of the top tech companies in the world, is embarking on a major project with the Google Headquarters project in London. The purpose of this analysis is to evaluate the project's goals, execution, and wider implications for the economy and technology landscape in order to determine how the project will affect the UK's IT sector. Specifically, this analysis will evaluate whether the Google Headquarters project in London has been a success or a failure for the future of the UK's IT sector. </w:t>
      </w:r>
    </w:p>
    <w:p w14:paraId="00000037" w14:textId="77777777" w:rsidR="005E2826" w:rsidRDefault="005E2826"/>
    <w:p w14:paraId="00000038" w14:textId="77777777" w:rsidR="005E2826" w:rsidRDefault="00000000">
      <w:pPr>
        <w:pStyle w:val="Heading1"/>
        <w:ind w:firstLine="0"/>
        <w:jc w:val="center"/>
        <w:rPr>
          <w:rFonts w:ascii="Times New Roman" w:eastAsia="Times New Roman" w:hAnsi="Times New Roman" w:cs="Times New Roman"/>
          <w:b/>
        </w:rPr>
      </w:pPr>
      <w:bookmarkStart w:id="2" w:name="_1fob9te" w:colFirst="0" w:colLast="0"/>
      <w:bookmarkEnd w:id="2"/>
      <w:r>
        <w:rPr>
          <w:rFonts w:ascii="Times New Roman" w:eastAsia="Times New Roman" w:hAnsi="Times New Roman" w:cs="Times New Roman"/>
          <w:b/>
        </w:rPr>
        <w:t>Evaluation of the Project</w:t>
      </w:r>
    </w:p>
    <w:p w14:paraId="00000039" w14:textId="77777777" w:rsidR="005E2826" w:rsidRDefault="00000000">
      <w:r>
        <w:t xml:space="preserve">A project's declared goals and objectives can be used to determine whether it was successful or unsuccessful. By constructing the new headquarters in London, Google wanted to become a </w:t>
      </w:r>
      <w:proofErr w:type="spellStart"/>
      <w:r>
        <w:t>center</w:t>
      </w:r>
      <w:proofErr w:type="spellEnd"/>
      <w:r>
        <w:t xml:space="preserve"> of innovation and generate employment (Wainwright, 2013). Although there has been a transition from office-based work to working-from-home arrangements, Google designed its £1 billion headquarters to make its employees feel that going to work was like going on an exciting day out (Prynn, 2022). According to Simon Allford, one of the project’s architects, the goal of the headquarters was to make Google staff like the community of the building (Prynn, 2022). They had the goal of making employees form a community and be attracted to the building. </w:t>
      </w:r>
    </w:p>
    <w:p w14:paraId="0000003A" w14:textId="77777777" w:rsidR="005E2826" w:rsidRDefault="00000000">
      <w:r>
        <w:t xml:space="preserve">Google had specific, doable and smart goals that are in line with the UK’s IT industry. The project was conceived in 2016 and officially started in 2017 (Partridge, 2022). Although it has yet to be occupied, and that is set to happen in 2024, Google's objective of providing </w:t>
      </w:r>
      <w:r>
        <w:lastRenderedPageBreak/>
        <w:t xml:space="preserve">more employment will be achieved. Currently, Google has 6,400 employees in the UK and plans to increase that number to 10,000 once the headquarters are complete and occupied (Partridge, 2022). </w:t>
      </w:r>
    </w:p>
    <w:p w14:paraId="0000003B" w14:textId="77777777" w:rsidR="005E2826" w:rsidRDefault="00000000">
      <w:r>
        <w:t>When evaluating the overall impact of the Google Headquarters project in London, the financial implications are crucial. To fully understand the project's economic implications, it is imperative to assess whether it has benefited nearby businesses, generated employment, and significantly increased the tax base (</w:t>
      </w:r>
      <w:proofErr w:type="spellStart"/>
      <w:r>
        <w:t>Zwikael</w:t>
      </w:r>
      <w:proofErr w:type="spellEnd"/>
      <w:r>
        <w:t xml:space="preserve"> &amp; </w:t>
      </w:r>
      <w:proofErr w:type="spellStart"/>
      <w:r>
        <w:t>Smyrk</w:t>
      </w:r>
      <w:proofErr w:type="spellEnd"/>
      <w:r>
        <w:t>, 2019). One important indicator of the project's capacity to increase employment opportunities in the community is the number of jobs created (Graham &amp; Englund, 2013). Furthermore, the project's impact on nearby enterprises is indicative of its assimilation into the economic system (</w:t>
      </w:r>
      <w:proofErr w:type="spellStart"/>
      <w:r>
        <w:t>Zwikael</w:t>
      </w:r>
      <w:proofErr w:type="spellEnd"/>
      <w:r>
        <w:t xml:space="preserve"> &amp; </w:t>
      </w:r>
      <w:proofErr w:type="spellStart"/>
      <w:r>
        <w:t>Smyrk</w:t>
      </w:r>
      <w:proofErr w:type="spellEnd"/>
      <w:r>
        <w:t>, 2019). In line with this, Google has assured stakeholders that the project will add more than 3000 jobs to the UK economy, thereby providing employment opportunities and expanding the tax base (Hern &amp; Davies, 2016). They will also stimulate more businesses, especially start-ups, in their premises and around Kings' Cross, thereby stimulating the economy and expanding the tax base as the start-ups grow and provide employment to more people (Hern &amp; Davies, 2016). Beyond just benefiting Google directly, the project is significant because of its contribution to a thriving local economy. If the project is successful, it should greatly increase the tax base and generate much-needed funds for infrastructure and public services. Comprehending these economic impacts is imperative for a thorough assessment of the project's effectiveness and its wider integration into the local and national economy.</w:t>
      </w:r>
    </w:p>
    <w:p w14:paraId="0000003C" w14:textId="77777777" w:rsidR="005E2826" w:rsidRDefault="005E2826"/>
    <w:p w14:paraId="0000003D" w14:textId="77777777" w:rsidR="005E2826" w:rsidRDefault="00000000">
      <w:pPr>
        <w:pStyle w:val="Heading1"/>
        <w:ind w:firstLine="0"/>
        <w:jc w:val="center"/>
        <w:rPr>
          <w:rFonts w:ascii="Times New Roman" w:eastAsia="Times New Roman" w:hAnsi="Times New Roman" w:cs="Times New Roman"/>
          <w:b/>
        </w:rPr>
      </w:pPr>
      <w:bookmarkStart w:id="3" w:name="_3znysh7" w:colFirst="0" w:colLast="0"/>
      <w:bookmarkEnd w:id="3"/>
      <w:r>
        <w:rPr>
          <w:rFonts w:ascii="Times New Roman" w:eastAsia="Times New Roman" w:hAnsi="Times New Roman" w:cs="Times New Roman"/>
          <w:b/>
        </w:rPr>
        <w:t xml:space="preserve">Impacts on the UK technology industry </w:t>
      </w:r>
    </w:p>
    <w:p w14:paraId="0000003E" w14:textId="77777777" w:rsidR="005E2826" w:rsidRDefault="00000000">
      <w:r>
        <w:t xml:space="preserve">The project has had a positive impact on the UK's technology industry. It will raise the number of Google's offices in London to three, thereby raising the status of London as a </w:t>
      </w:r>
      <w:r>
        <w:lastRenderedPageBreak/>
        <w:t>technology hub. It will also draw in other technology companies and impact other sectors as well. Soon after Google announced the deal to build the new headquarters, Facebook also announced in 2018 that they had also signed a deal in 2018 to build a 57,000 sq. kilometre of office space in King's Cross – the same area as the new headquarters (Butler, 2017). Other companies have also gotten interested. These include Francis Crick Institute – the largest biomedical and biotechnology research institution in Europe that focuses on health and diseases and Universal Music- a record label ranked among the big three together with Warner and Sony. Universal opened a location in London in 2018 (Prynn, 2022).</w:t>
      </w:r>
    </w:p>
    <w:p w14:paraId="0000003F" w14:textId="77777777" w:rsidR="005E2826" w:rsidRDefault="00000000">
      <w:r>
        <w:t xml:space="preserve">At their headquarters, big tech companies like Google frequently devote a large amount of resources to research and development (Sheng, 2022). This trend suggests that Google's London headquarters could serve as a testing ground for innovative technologies. This could show up in the development of novel goods, services, and solutions, especially in fields like data analytics, machine learning, and artificial intelligence (Petit, 2020). Tech giants are essential in encouraging cooperation in the sector. Google's London headquarters may serve as a spark for collaborations with nearby start-ups, educational institutions, and other tech firms. Joint research projects and knowledge-sharing are two examples of collaborative efforts that have the potential to spur innovation in the larger IT ecosystem (Prado &amp; Bauer, 2022). Indeed, Google’s project has plans to offer rental space to start-ups and a market hall for small businesses. They will also host education events and change programs throughout the year. </w:t>
      </w:r>
    </w:p>
    <w:p w14:paraId="00000040" w14:textId="77777777" w:rsidR="005E2826" w:rsidRDefault="00000000">
      <w:r>
        <w:t xml:space="preserve">The location of a large tech company's headquarters affects a nation's reputation on the international innovation scene in profound ways. With Google's headquarters in London, the UK could become known as a hub for technological innovation. Top talent, large investments, and other tech companies looking to be a part of a growing innovation hub may be drawn to Google by its allure. This force of attraction may start a positive feedback loop </w:t>
      </w:r>
      <w:r>
        <w:lastRenderedPageBreak/>
        <w:t xml:space="preserve">that attracts more companies specialising in cutting-edge innovation and builds a thriving tech ecosystem (Bronson &amp; Birch, 2022). London could also develop a tech hub that is similar to San Francisco's Silicon Valley, where major global technology companies such as Apple, Google, Facebook, Tesla, Oracle and Cisco Systems, among many others, have their headquarters. </w:t>
      </w:r>
    </w:p>
    <w:p w14:paraId="00000041" w14:textId="77777777" w:rsidR="005E2826" w:rsidRDefault="00000000">
      <w:r>
        <w:t>Tech companies, which are frequently regarded as the hubs of innovation, are essential to the start-up incubation process (Rikap &amp; Lundvall, 2020). With its extensive resources and industry clout, Google can play a major role in supporting local start-ups in the United Kingdom. Through program implementation, funding initiatives, and mentorship opportunities, Google has the potential to stimulate the development of a vibrant start-up ecosystem (Subrahmanya, 2022). This entrepreneurship-friendly climate is essential for the emergence of new and disruptive technologies, which could propel the UK to the forefront of international innovation.</w:t>
      </w:r>
    </w:p>
    <w:p w14:paraId="00000042" w14:textId="77777777" w:rsidR="005E2826" w:rsidRDefault="00000000">
      <w:r>
        <w:t>A significant tech company headquarters is a source of economic vibrancy in addition to being an architectural icon. The establishment of Google in the United Kingdom holds promise for generating employment prospects and fostering the growth of a highly proficient labour force. Technological innovation can be stimulated by this inflow of talent and the knowledge transfer that Google's operations facilitate. A competent workforce promotes long-term innovation by ensuring that the UK maintains its competitiveness in the global tech scene.</w:t>
      </w:r>
    </w:p>
    <w:p w14:paraId="00000043" w14:textId="77777777" w:rsidR="005E2826" w:rsidRDefault="00000000">
      <w:r>
        <w:t xml:space="preserve">Beyond talent and infrastructure, which are more material, corporate culture has an intangible but significant impact. A culture of creativity, experimentation, and risk-taking could spread throughout the tech community if Google's London headquarters promotes it. This cultural influence affects more than just Google; it also shapes people's attitudes and </w:t>
      </w:r>
      <w:proofErr w:type="spellStart"/>
      <w:r>
        <w:t>behaviors</w:t>
      </w:r>
      <w:proofErr w:type="spellEnd"/>
      <w:r>
        <w:t xml:space="preserve"> within the UK's tech community. A culture that fosters creativity and audacity can </w:t>
      </w:r>
      <w:r>
        <w:lastRenderedPageBreak/>
        <w:t xml:space="preserve">be a key factor in the sector's overall advancement. Google has a culture of making their workplaces fun places, and they will infuse that culture into the UK's tech industry, thereby making them attractive employers to the country's top IT talents. The new headquarters will come replete with a swimming pool, rooftop exercise track, nap pods, and a Multi-Use Gaming Area (MUGA) (Prynn, 2022). The potential adoption of such aspects by other tech companies across the UK means a revolution of the tech culture in the country, curbing the current exodus of young Britons to countries they deem as tech hubs, such as the UK or the developing markets in Asia. </w:t>
      </w:r>
    </w:p>
    <w:p w14:paraId="00000044" w14:textId="77777777" w:rsidR="005E2826" w:rsidRDefault="00000000">
      <w:r>
        <w:t>Although Google's presence in London has the potential to impact the UK's IT industry going forward significantly, there are drawbacks as well. Prado and Bauer (2022) note that the challenges that require careful consideration include navigating regulatory landscapes, addressing potential concerns about community integration, and striking a balance between attracting global talent and ensuring opportunities for local professionals.</w:t>
      </w:r>
    </w:p>
    <w:p w14:paraId="00000045" w14:textId="77777777" w:rsidR="005E2826" w:rsidRDefault="00000000">
      <w:r>
        <w:t xml:space="preserve">The Google Headquarters project in London is a dynamic process that is interwoven with the expectations and interests of a wide range of stakeholders, not just a construction project. Conducting a comprehensive assessment of these stakeholders is crucial in order to comprehend the project's influence on different aspects of the community and industry, providing valuable insights into its overall efficacy and success (Subrahmanya, 2022). The project's immediate </w:t>
      </w:r>
      <w:proofErr w:type="spellStart"/>
      <w:r>
        <w:t>neighbors</w:t>
      </w:r>
      <w:proofErr w:type="spellEnd"/>
      <w:r>
        <w:t xml:space="preserve">, the locals, anticipate positive social and economic effects. Their expectations </w:t>
      </w:r>
      <w:proofErr w:type="spellStart"/>
      <w:r>
        <w:t>center</w:t>
      </w:r>
      <w:proofErr w:type="spellEnd"/>
      <w:r>
        <w:t xml:space="preserve"> on community development, better infrastructure, and employment opportunities. The project's capacity to interact with and benefit these communities is a critical component of its success. Reducing possible disturbances and encouraging community participation are important factors in a </w:t>
      </w:r>
      <w:proofErr w:type="spellStart"/>
      <w:r>
        <w:t>favorable</w:t>
      </w:r>
      <w:proofErr w:type="spellEnd"/>
      <w:r>
        <w:t xml:space="preserve"> assessment.</w:t>
      </w:r>
    </w:p>
    <w:p w14:paraId="00000046" w14:textId="77777777" w:rsidR="005E2826" w:rsidRDefault="00000000">
      <w:r>
        <w:t xml:space="preserve">Prospective and existing workers want more from their workspace than just a physical location. They anticipate competitive benefits, a dynamic work environment, and avenues for </w:t>
      </w:r>
      <w:r>
        <w:lastRenderedPageBreak/>
        <w:t>professional development. From the perspective of the staff, the project's success is demonstrated by opportunities for professional growth, job satisfaction, and the general work environment. One of the main factors influencing the project's success is its capacity to draw in and keep elite personnel (</w:t>
      </w:r>
      <w:proofErr w:type="spellStart"/>
      <w:r>
        <w:t>Zwikael</w:t>
      </w:r>
      <w:proofErr w:type="spellEnd"/>
      <w:r>
        <w:t xml:space="preserve"> &amp; </w:t>
      </w:r>
      <w:proofErr w:type="spellStart"/>
      <w:r>
        <w:t>Smyrk</w:t>
      </w:r>
      <w:proofErr w:type="spellEnd"/>
      <w:r>
        <w:t xml:space="preserve">, 2019). The project's surrounding business and technology community anticipates opportunities for collaboration, encouragement of innovation, and possible economic spillover effects. The project has a critical impact on developing alliances, promoting creativity, and establishing a welcoming business environment. A </w:t>
      </w:r>
      <w:proofErr w:type="spellStart"/>
      <w:r>
        <w:t>favorable</w:t>
      </w:r>
      <w:proofErr w:type="spellEnd"/>
      <w:r>
        <w:t xml:space="preserve"> assessment within this network enhances the project's reputation within the broader technology sector.</w:t>
      </w:r>
    </w:p>
    <w:p w14:paraId="00000047" w14:textId="77777777" w:rsidR="005E2826" w:rsidRDefault="00000000">
      <w:r>
        <w:t>Expectations regarding compliance with environmental and urban planning standards, contributions to the local economy, and adherence to regulations are set by governments and regulatory bodies. The project's assessment is contingent upon its adherence to legal requirements, financial contributions, and conscientious urban planning methodologies (</w:t>
      </w:r>
      <w:r>
        <w:rPr>
          <w:color w:val="222222"/>
          <w:highlight w:val="white"/>
        </w:rPr>
        <w:t xml:space="preserve">Lukhele, Botha, &amp; </w:t>
      </w:r>
      <w:proofErr w:type="spellStart"/>
      <w:r>
        <w:rPr>
          <w:color w:val="222222"/>
          <w:highlight w:val="white"/>
        </w:rPr>
        <w:t>Mbanga</w:t>
      </w:r>
      <w:proofErr w:type="spellEnd"/>
      <w:r>
        <w:rPr>
          <w:color w:val="222222"/>
          <w:highlight w:val="white"/>
        </w:rPr>
        <w:t>, 2022)</w:t>
      </w:r>
      <w:r>
        <w:t>. For an evaluation to be positive, alignment with more general government objectives is essential. Long-term growth prospects, financial stability, and measurable returns on investment are what shareholders and investors look for (</w:t>
      </w:r>
      <w:r>
        <w:rPr>
          <w:color w:val="222222"/>
          <w:highlight w:val="white"/>
        </w:rPr>
        <w:t xml:space="preserve">Lukhele, Botha, &amp; </w:t>
      </w:r>
      <w:proofErr w:type="spellStart"/>
      <w:r>
        <w:rPr>
          <w:color w:val="222222"/>
          <w:highlight w:val="white"/>
        </w:rPr>
        <w:t>Mbanga</w:t>
      </w:r>
      <w:proofErr w:type="spellEnd"/>
      <w:r>
        <w:rPr>
          <w:color w:val="222222"/>
          <w:highlight w:val="white"/>
        </w:rPr>
        <w:t>, 2022)</w:t>
      </w:r>
      <w:r>
        <w:t>. Important factors to consider are the project's financial performance, market impact, and strategic alignment with corporate goals. The project's capacity to create lasting value is directly related to shareholder satisfaction.</w:t>
      </w:r>
    </w:p>
    <w:p w14:paraId="00000048" w14:textId="77777777" w:rsidR="005E2826" w:rsidRDefault="00000000">
      <w:r>
        <w:t>Environmental activists and conservation groups bring expectations rooted in sustainability, ecological impact mitigation, and adherence to green building standards. The project's commitment to eco-friendly practices, energy efficiency, and its overall environmental footprint significantly influence its evaluation (</w:t>
      </w:r>
      <w:proofErr w:type="spellStart"/>
      <w:r>
        <w:t>Gillespies</w:t>
      </w:r>
      <w:proofErr w:type="spellEnd"/>
      <w:r>
        <w:t xml:space="preserve">, 2022). A positive standing is achieved through alignment with sustainability goals. Google has already </w:t>
      </w:r>
      <w:r>
        <w:lastRenderedPageBreak/>
        <w:t xml:space="preserve">committed to building a rooftop garden with 250 trees and a variety of other plants and greenery. </w:t>
      </w:r>
    </w:p>
    <w:p w14:paraId="00000049" w14:textId="77777777" w:rsidR="005E2826" w:rsidRDefault="00000000">
      <w:r>
        <w:t xml:space="preserve">Academic and research organisations look forward to joint ventures, research alliances, and skill-building programs. An important factor in evaluating the project is how it contributes to talent development, research collaborations, and educational initiatives. Constructive interactions with academic institutions improve the project's reputation. Currently, Google is collaborating with the University of Cambridge in their efforts to build human-inspired artificial intelligence (AI) and make AI more responsible to benefit people (University of Cambridge, 2023). Having the new Google headquarters will support closer collaboration with such universities and establish more connections for the benefit of the UK's IT sector. </w:t>
      </w:r>
    </w:p>
    <w:p w14:paraId="0000004A" w14:textId="77777777" w:rsidR="005E2826" w:rsidRDefault="00000000">
      <w:r>
        <w:t>Local cultural and heritage organisations place a high priority on historical sites, cultural assets, and cultural identity. Because of the project's focus on local culture, preservation initiatives, and community engagement in cultural events, these groups have positive opinions of it (Hern &amp; Davies, 2016). Tech rivals keep an eye on the project's effects on the market, rivalry tactics, and possible industry disruptions. The project's competitive evaluation is positively impacted by its capacity to foster innovation, maintain healthy competition, and advance the industry.</w:t>
      </w:r>
    </w:p>
    <w:p w14:paraId="0000004B" w14:textId="77777777" w:rsidR="005E2826" w:rsidRDefault="005E2826"/>
    <w:p w14:paraId="0000004C" w14:textId="77777777" w:rsidR="005E2826" w:rsidRDefault="00000000">
      <w:pPr>
        <w:pStyle w:val="Heading1"/>
        <w:ind w:firstLine="0"/>
        <w:jc w:val="center"/>
        <w:rPr>
          <w:rFonts w:ascii="Times New Roman" w:eastAsia="Times New Roman" w:hAnsi="Times New Roman" w:cs="Times New Roman"/>
          <w:b/>
        </w:rPr>
      </w:pPr>
      <w:bookmarkStart w:id="4" w:name="_2et92p0" w:colFirst="0" w:colLast="0"/>
      <w:bookmarkEnd w:id="4"/>
      <w:r>
        <w:rPr>
          <w:rFonts w:ascii="Times New Roman" w:eastAsia="Times New Roman" w:hAnsi="Times New Roman" w:cs="Times New Roman"/>
          <w:b/>
        </w:rPr>
        <w:t>Success or failure?</w:t>
      </w:r>
    </w:p>
    <w:p w14:paraId="0000004D" w14:textId="77777777" w:rsidR="005E2826" w:rsidRDefault="00000000">
      <w:pPr>
        <w:ind w:firstLine="0"/>
      </w:pPr>
      <w:r>
        <w:tab/>
        <w:t>Google’s new project in London has been a huge success. All the structural work has been completed, and the company just celebrated "topping out" in late July 2022 after the final beam was hoisted into place to mark a major milestone in achieving the "</w:t>
      </w:r>
      <w:proofErr w:type="spellStart"/>
      <w:r>
        <w:t>landscraper</w:t>
      </w:r>
      <w:proofErr w:type="spellEnd"/>
      <w:r>
        <w:t>” (</w:t>
      </w:r>
      <w:proofErr w:type="spellStart"/>
      <w:r>
        <w:t>Gillespies</w:t>
      </w:r>
      <w:proofErr w:type="spellEnd"/>
      <w:r>
        <w:t xml:space="preserve">, 2022). The façade has also almost been completed, with the metal frame being filled and giant glass panels and wood being fitted. The project has augured and blended well </w:t>
      </w:r>
      <w:r>
        <w:lastRenderedPageBreak/>
        <w:t>in its location at King’s Cross and St Pancras railway station. Google has shown great commitment to achieving the dream of the 72-metre tall building that will stretch 330 metres in the ground. After groundbreaking in 2017, the COVID-19 pandemic would hamper construction efforts later in 2020, but thy continued albeit slowly, and the iconic building will be completed in 2024 (</w:t>
      </w:r>
      <w:proofErr w:type="spellStart"/>
      <w:r>
        <w:t>Gillespies</w:t>
      </w:r>
      <w:proofErr w:type="spellEnd"/>
      <w:r>
        <w:t xml:space="preserve">, 2022). The project is a huge success, having shown that there is a future in the return to office work, which nosedived during and after the pandemic. Google's continued funding of the £1 billion project attests to their confidence in a return of pre-Covid work. The project is the first Google-owned building outside of the US, and it presents huge confidence in the UK tech sector post-Brexit (Prynn, 2022). The prospect of the project's amenities, such as a swimming pool, running track, rooftop garden, MUGA, and many more aspects, has been received well by the current Google employees, who look forward to enjoying them later. </w:t>
      </w:r>
    </w:p>
    <w:p w14:paraId="0000004E" w14:textId="77777777" w:rsidR="005E2826" w:rsidRDefault="00000000">
      <w:pPr>
        <w:ind w:firstLine="0"/>
      </w:pPr>
      <w:r>
        <w:tab/>
        <w:t xml:space="preserve">Google’s project has also been a success because it is futuristic. According to Google’s CEO Sundar Pichai, the company will continue to allow its employees to work from home or other venues for two days a week and three in offices (Partridge, 2022). The new headquarters is designed to have a futuristic space where working will be fun and incorporate leisure, dining, and exercising, all being enjoyed by community members. Additionally, the project has been designed to have a low carbon footprint, and the spaces can be re-engineered within short amounts of time with minimal energy and work requirements.  </w:t>
      </w:r>
    </w:p>
    <w:p w14:paraId="0000004F" w14:textId="77777777" w:rsidR="005E2826" w:rsidRDefault="005E2826">
      <w:pPr>
        <w:ind w:firstLine="0"/>
      </w:pPr>
    </w:p>
    <w:p w14:paraId="00000050" w14:textId="77777777" w:rsidR="005E2826" w:rsidRDefault="00000000">
      <w:pPr>
        <w:pStyle w:val="Heading1"/>
        <w:ind w:firstLine="0"/>
        <w:jc w:val="center"/>
        <w:rPr>
          <w:rFonts w:ascii="Times New Roman" w:eastAsia="Times New Roman" w:hAnsi="Times New Roman" w:cs="Times New Roman"/>
          <w:b/>
        </w:rPr>
      </w:pPr>
      <w:bookmarkStart w:id="5" w:name="_tyjcwt" w:colFirst="0" w:colLast="0"/>
      <w:bookmarkEnd w:id="5"/>
      <w:r>
        <w:rPr>
          <w:rFonts w:ascii="Times New Roman" w:eastAsia="Times New Roman" w:hAnsi="Times New Roman" w:cs="Times New Roman"/>
          <w:b/>
        </w:rPr>
        <w:t xml:space="preserve">Knowledge Acquired </w:t>
      </w:r>
    </w:p>
    <w:p w14:paraId="00000051" w14:textId="77777777" w:rsidR="005E2826" w:rsidRDefault="00000000">
      <w:r>
        <w:t xml:space="preserve">The Google Headquarters project in London is a massive undertaking with far-reaching effects. It is a source of valuable knowledge across multiple domains in addition to being a physical representation of technological prowess. Although particulars regarding the project's advancements might change, a broad examination of possible fields for knowledge </w:t>
      </w:r>
      <w:r>
        <w:lastRenderedPageBreak/>
        <w:t xml:space="preserve">gathering can shed light on the </w:t>
      </w:r>
      <w:proofErr w:type="spellStart"/>
      <w:r>
        <w:t>endeavor's</w:t>
      </w:r>
      <w:proofErr w:type="spellEnd"/>
      <w:r>
        <w:t xml:space="preserve"> diverse effects (</w:t>
      </w:r>
      <w:proofErr w:type="spellStart"/>
      <w:r>
        <w:rPr>
          <w:color w:val="222222"/>
          <w:highlight w:val="white"/>
        </w:rPr>
        <w:t>Hanioglu</w:t>
      </w:r>
      <w:proofErr w:type="spellEnd"/>
      <w:r>
        <w:rPr>
          <w:color w:val="222222"/>
          <w:highlight w:val="white"/>
        </w:rPr>
        <w:t>, 2022)</w:t>
      </w:r>
      <w:r>
        <w:t>. Urban planning and architecture are two areas where the Google London project is likely to have yielded some knowledge. Big corporate headquarters are frequently used as breeding grounds for creative layouts and designs (</w:t>
      </w:r>
      <w:proofErr w:type="spellStart"/>
      <w:r>
        <w:t>Zwikael</w:t>
      </w:r>
      <w:proofErr w:type="spellEnd"/>
      <w:r>
        <w:t xml:space="preserve"> &amp; </w:t>
      </w:r>
      <w:proofErr w:type="spellStart"/>
      <w:r>
        <w:t>Smyrk</w:t>
      </w:r>
      <w:proofErr w:type="spellEnd"/>
      <w:r>
        <w:t>, 2019). The project might provide new perspectives on sustainable architecture, effective land use, and the design of aesthetically beautiful urban areas that blend in with their surroundings.</w:t>
      </w:r>
    </w:p>
    <w:p w14:paraId="00000052" w14:textId="77777777" w:rsidR="005E2826" w:rsidRDefault="00000000">
      <w:r>
        <w:t>Modern infrastructure and technology are given for the London project, considering Google's position as a major player in the technology industry. This could include cutting-edge IT infrastructure, energy-efficient architectural designs, and cutting-edge building systems. Best practices in these domains can benefit from the knowledge gained from deploying and overseeing such technologies (</w:t>
      </w:r>
      <w:proofErr w:type="spellStart"/>
      <w:r>
        <w:rPr>
          <w:color w:val="222222"/>
          <w:highlight w:val="white"/>
        </w:rPr>
        <w:t>Hanioglu</w:t>
      </w:r>
      <w:proofErr w:type="spellEnd"/>
      <w:r>
        <w:rPr>
          <w:color w:val="222222"/>
          <w:highlight w:val="white"/>
        </w:rPr>
        <w:t>, 2022)</w:t>
      </w:r>
      <w:r>
        <w:t xml:space="preserve">. The project's economic effects go beyond its technological aspects. A thorough analysis of the financial effects can provide insightful information about how big tech initiatives affect local job markets, boost small businesses in the area, and broaden the tax base. This information is crucial for comprehending the larger economic effects of these kinds of </w:t>
      </w:r>
      <w:proofErr w:type="spellStart"/>
      <w:r>
        <w:t>endeavors</w:t>
      </w:r>
      <w:proofErr w:type="spellEnd"/>
      <w:r>
        <w:t>.</w:t>
      </w:r>
    </w:p>
    <w:p w14:paraId="00000053" w14:textId="77777777" w:rsidR="005E2826" w:rsidRDefault="00000000">
      <w:r>
        <w:t>The project's relationships with the local community are critical to its success. Acquired knowledge regarding community engagement and social responsibility can function as a model for other businesses pursuing analogous undertakings (</w:t>
      </w:r>
      <w:proofErr w:type="spellStart"/>
      <w:r>
        <w:rPr>
          <w:color w:val="222222"/>
          <w:highlight w:val="white"/>
        </w:rPr>
        <w:t>Hanioglu</w:t>
      </w:r>
      <w:proofErr w:type="spellEnd"/>
      <w:r>
        <w:rPr>
          <w:color w:val="222222"/>
          <w:highlight w:val="white"/>
        </w:rPr>
        <w:t>, 2022)</w:t>
      </w:r>
      <w:r>
        <w:t>. A useful case study for promoting positive social impact is to comprehend how Google works with and benefits local communities. Google is well known for creating creative and well-being-focused work environments for its employees. The London project can provide valuable insights into how the company designs workspaces to improve employee satisfaction, productivity, and collaboration. This information advances the fields of workplace design and organisational psychology, which are both developing fields.</w:t>
      </w:r>
    </w:p>
    <w:p w14:paraId="00000054" w14:textId="77777777" w:rsidR="005E2826" w:rsidRDefault="005E2826"/>
    <w:p w14:paraId="00000055" w14:textId="77777777" w:rsidR="005E2826" w:rsidRDefault="00000000">
      <w:pPr>
        <w:pStyle w:val="Heading1"/>
        <w:ind w:firstLine="0"/>
        <w:jc w:val="center"/>
        <w:rPr>
          <w:rFonts w:ascii="Times New Roman" w:eastAsia="Times New Roman" w:hAnsi="Times New Roman" w:cs="Times New Roman"/>
          <w:b/>
        </w:rPr>
      </w:pPr>
      <w:bookmarkStart w:id="6" w:name="_3dy6vkm" w:colFirst="0" w:colLast="0"/>
      <w:bookmarkEnd w:id="6"/>
      <w:r>
        <w:rPr>
          <w:rFonts w:ascii="Times New Roman" w:eastAsia="Times New Roman" w:hAnsi="Times New Roman" w:cs="Times New Roman"/>
          <w:b/>
        </w:rPr>
        <w:lastRenderedPageBreak/>
        <w:t xml:space="preserve">Conclusion </w:t>
      </w:r>
    </w:p>
    <w:p w14:paraId="00000056" w14:textId="77777777" w:rsidR="005E2826" w:rsidRDefault="00000000">
      <w:r>
        <w:t xml:space="preserve">The Google Headquarters project in London is a knowledge repository spanning several disciplines in addition to being a physical building. Beyond its direct architectural significance, the project's influence extends to advancing technology, creating economic growth, and promoting sustainability in urban landscapes. Further investigation of official statements, project reports, and industry analyses is necessary to gain a more nuanced understanding of the innovations and lessons learned from this enormous undertaking, which will help one to go deeper into the knowledge gained from this project. Google's project to build a London headquarters has had a significant impact on the UK's IT industry, both now and in the future. As a hub for technological advancement, economic growth, and cooperative synergy, the project positions itself as a disruptive force in the UK's IT industry. As of right now, the project helps the UK's IT industry grow and become more dynamic. By collaborating with start-ups, academic institutions, and local businesses, it cultivates an innovative ecosystem that propels the country to the forefront of technological advancements. The industry becomes more globally competitive when talent, resources, and expertise are brought in. Future-facing, the project's lasting influence is clear from the innovative seeds it sowed. The cooperative efforts and information exchange that are promoted today have a cascading effect that will impact the direction of the IT industry for many years to come. The project creates the foundation for a long-lasting innovation culture by emphasising research and development and supporting start-ups and entrepreneurship. Economically speaking, the project will have an impact on the labour market going forward by producing a trained workforce ready to take on new challenges in the IT industry. In addition to fostering the emergence of new technologies and disruptive ideas, fostering an environment that is supportive of entrepreneurship also helps the industry become more resilient and adaptable in the face of changing technological landscapes. Additionally, the project's cultural influence, </w:t>
      </w:r>
      <w:r>
        <w:lastRenderedPageBreak/>
        <w:t>which emphasises innovation, risk-taking, and creativity, spreads throughout the larger IT community. As the project's philosophy permeates the industry, it creates an environment that is conducive to ongoing innovation and establishes the UK as a centre for innovative technology.</w:t>
      </w:r>
    </w:p>
    <w:p w14:paraId="00000057" w14:textId="77777777" w:rsidR="005E2826" w:rsidRDefault="005E2826"/>
    <w:p w14:paraId="00000058" w14:textId="77777777" w:rsidR="005E2826" w:rsidRDefault="00000000">
      <w:pPr>
        <w:pStyle w:val="Heading1"/>
        <w:ind w:firstLine="0"/>
        <w:jc w:val="center"/>
        <w:rPr>
          <w:rFonts w:ascii="Times New Roman" w:eastAsia="Times New Roman" w:hAnsi="Times New Roman" w:cs="Times New Roman"/>
          <w:b/>
        </w:rPr>
      </w:pPr>
      <w:bookmarkStart w:id="7" w:name="_1t3h5sf" w:colFirst="0" w:colLast="0"/>
      <w:bookmarkEnd w:id="7"/>
      <w:r>
        <w:rPr>
          <w:rFonts w:ascii="Times New Roman" w:eastAsia="Times New Roman" w:hAnsi="Times New Roman" w:cs="Times New Roman"/>
          <w:b/>
        </w:rPr>
        <w:t>References</w:t>
      </w:r>
    </w:p>
    <w:p w14:paraId="00000059" w14:textId="77777777" w:rsidR="005E2826" w:rsidRDefault="00000000">
      <w:pPr>
        <w:pBdr>
          <w:top w:val="nil"/>
          <w:left w:val="nil"/>
          <w:bottom w:val="nil"/>
          <w:right w:val="nil"/>
          <w:between w:val="nil"/>
        </w:pBdr>
        <w:ind w:left="720" w:hanging="720"/>
        <w:rPr>
          <w:color w:val="000000"/>
        </w:rPr>
      </w:pPr>
      <w:r>
        <w:rPr>
          <w:color w:val="000000"/>
        </w:rPr>
        <w:t xml:space="preserve">Bronson, K. &amp; Birch, K., 2022. Big Tech. </w:t>
      </w:r>
      <w:r>
        <w:rPr>
          <w:i/>
          <w:color w:val="000000"/>
        </w:rPr>
        <w:t xml:space="preserve">Science as Culture, </w:t>
      </w:r>
      <w:r>
        <w:rPr>
          <w:color w:val="000000"/>
        </w:rPr>
        <w:t>Volume 31, pp. 1-4.</w:t>
      </w:r>
    </w:p>
    <w:p w14:paraId="0000005A" w14:textId="77777777" w:rsidR="005E2826" w:rsidRDefault="00000000">
      <w:pPr>
        <w:pBdr>
          <w:top w:val="nil"/>
          <w:left w:val="nil"/>
          <w:bottom w:val="nil"/>
          <w:right w:val="nil"/>
          <w:between w:val="nil"/>
        </w:pBdr>
        <w:ind w:left="720" w:hanging="720"/>
        <w:rPr>
          <w:color w:val="000000"/>
        </w:rPr>
      </w:pPr>
      <w:r>
        <w:rPr>
          <w:color w:val="000000"/>
        </w:rPr>
        <w:t xml:space="preserve">Butler, S., 2017. </w:t>
      </w:r>
      <w:r>
        <w:rPr>
          <w:i/>
          <w:color w:val="000000"/>
        </w:rPr>
        <w:t xml:space="preserve">Facebook's new London office brings 800 jobs to the capital. </w:t>
      </w:r>
      <w:r>
        <w:rPr>
          <w:color w:val="000000"/>
        </w:rPr>
        <w:t xml:space="preserve">[Online] </w:t>
      </w:r>
    </w:p>
    <w:p w14:paraId="0000005B" w14:textId="77777777" w:rsidR="005E2826" w:rsidRDefault="00000000">
      <w:pPr>
        <w:pBdr>
          <w:top w:val="nil"/>
          <w:left w:val="nil"/>
          <w:bottom w:val="nil"/>
          <w:right w:val="nil"/>
          <w:between w:val="nil"/>
        </w:pBdr>
        <w:ind w:left="720" w:hanging="720"/>
        <w:rPr>
          <w:color w:val="000000"/>
        </w:rPr>
      </w:pPr>
      <w:r>
        <w:rPr>
          <w:color w:val="000000"/>
        </w:rPr>
        <w:t xml:space="preserve">Available at: </w:t>
      </w:r>
      <w:hyperlink r:id="rId6" w:anchor=":~:text=Facebook%20will%20create%20800%20new,amid%20the%20uncertainty%20of%20Brexit">
        <w:r>
          <w:rPr>
            <w:color w:val="0563C1"/>
            <w:u w:val="single"/>
          </w:rPr>
          <w:t>https://www.theguardian.com/technology/2017/dec/04/facebooks-new-london-office-brings-800-jobs-to-the-capital#:~:text=Facebook%20will%20create%20800%20new,amid%20the%20uncertainty%20of%20Brexit</w:t>
        </w:r>
      </w:hyperlink>
      <w:r>
        <w:rPr>
          <w:color w:val="000000"/>
          <w:u w:val="single"/>
        </w:rPr>
        <w:t>.</w:t>
      </w:r>
      <w:r>
        <w:rPr>
          <w:color w:val="000000"/>
        </w:rPr>
        <w:t xml:space="preserve"> [Accessed 11 December 2023].</w:t>
      </w:r>
    </w:p>
    <w:p w14:paraId="0000005C" w14:textId="77777777" w:rsidR="005E2826" w:rsidRDefault="00000000">
      <w:pPr>
        <w:ind w:left="720" w:hanging="720"/>
      </w:pPr>
      <w:proofErr w:type="spellStart"/>
      <w:r>
        <w:t>Gillespies</w:t>
      </w:r>
      <w:proofErr w:type="spellEnd"/>
      <w:r>
        <w:t xml:space="preserve"> (2022) Google Headquarters - Projects, </w:t>
      </w:r>
      <w:proofErr w:type="spellStart"/>
      <w:r>
        <w:t>Gillespies</w:t>
      </w:r>
      <w:proofErr w:type="spellEnd"/>
      <w:r>
        <w:t>. Available at: https://www.gillespies.co.uk/projects/google-headquarters (Accessed: 26 November 2023).</w:t>
      </w:r>
    </w:p>
    <w:p w14:paraId="0000005D" w14:textId="77777777" w:rsidR="005E2826" w:rsidRDefault="00000000">
      <w:pPr>
        <w:pBdr>
          <w:top w:val="nil"/>
          <w:left w:val="nil"/>
          <w:bottom w:val="nil"/>
          <w:right w:val="nil"/>
          <w:between w:val="nil"/>
        </w:pBdr>
        <w:ind w:left="720" w:hanging="720"/>
        <w:rPr>
          <w:color w:val="000000"/>
        </w:rPr>
      </w:pPr>
      <w:r w:rsidRPr="003B5D7B">
        <w:rPr>
          <w:color w:val="000000"/>
          <w:lang w:val="de-DE"/>
        </w:rPr>
        <w:t xml:space="preserve">Graham, R. J. &amp; </w:t>
      </w:r>
      <w:proofErr w:type="spellStart"/>
      <w:r w:rsidRPr="003B5D7B">
        <w:rPr>
          <w:color w:val="000000"/>
          <w:lang w:val="de-DE"/>
        </w:rPr>
        <w:t>Englund</w:t>
      </w:r>
      <w:proofErr w:type="spellEnd"/>
      <w:r w:rsidRPr="003B5D7B">
        <w:rPr>
          <w:color w:val="000000"/>
          <w:lang w:val="de-DE"/>
        </w:rPr>
        <w:t xml:space="preserve">, R. L., 2013. </w:t>
      </w:r>
      <w:r>
        <w:rPr>
          <w:i/>
          <w:color w:val="000000"/>
        </w:rPr>
        <w:t xml:space="preserve">Creating an Environment for Successful Projects. </w:t>
      </w:r>
      <w:proofErr w:type="spellStart"/>
      <w:r>
        <w:rPr>
          <w:color w:val="000000"/>
        </w:rPr>
        <w:t>s.l.:Wiley</w:t>
      </w:r>
      <w:proofErr w:type="spellEnd"/>
      <w:r>
        <w:rPr>
          <w:color w:val="000000"/>
        </w:rPr>
        <w:t>.</w:t>
      </w:r>
    </w:p>
    <w:p w14:paraId="0000005E" w14:textId="77777777" w:rsidR="005E2826" w:rsidRDefault="00000000">
      <w:pPr>
        <w:ind w:left="720" w:hanging="720"/>
        <w:rPr>
          <w:highlight w:val="white"/>
        </w:rPr>
      </w:pPr>
      <w:proofErr w:type="spellStart"/>
      <w:r>
        <w:rPr>
          <w:color w:val="222222"/>
          <w:highlight w:val="white"/>
        </w:rPr>
        <w:t>Hanioglu</w:t>
      </w:r>
      <w:proofErr w:type="spellEnd"/>
      <w:r>
        <w:rPr>
          <w:color w:val="222222"/>
          <w:highlight w:val="white"/>
        </w:rPr>
        <w:t>, M.N. (2022) </w:t>
      </w:r>
      <w:r>
        <w:rPr>
          <w:i/>
          <w:highlight w:val="white"/>
        </w:rPr>
        <w:t>A Cost-Based Approach to Project Management: Planning and Controlling Construction Project Costs</w:t>
      </w:r>
      <w:r>
        <w:rPr>
          <w:highlight w:val="white"/>
        </w:rPr>
        <w:t>. Taylor &amp; Francis.</w:t>
      </w:r>
    </w:p>
    <w:p w14:paraId="0000005F" w14:textId="77777777" w:rsidR="005E2826" w:rsidRDefault="00000000">
      <w:pPr>
        <w:pBdr>
          <w:top w:val="nil"/>
          <w:left w:val="nil"/>
          <w:bottom w:val="nil"/>
          <w:right w:val="nil"/>
          <w:between w:val="nil"/>
        </w:pBdr>
        <w:ind w:left="720" w:hanging="720"/>
        <w:rPr>
          <w:color w:val="000000"/>
        </w:rPr>
      </w:pPr>
      <w:r>
        <w:rPr>
          <w:color w:val="000000"/>
        </w:rPr>
        <w:t xml:space="preserve">Hern, A. &amp; Davies, R., 2016. </w:t>
      </w:r>
      <w:r>
        <w:rPr>
          <w:i/>
          <w:color w:val="000000"/>
        </w:rPr>
        <w:t xml:space="preserve">Google commits to massive new London headquarters. </w:t>
      </w:r>
      <w:r>
        <w:rPr>
          <w:color w:val="000000"/>
        </w:rPr>
        <w:t xml:space="preserve">[Online] </w:t>
      </w:r>
    </w:p>
    <w:p w14:paraId="00000060" w14:textId="77777777" w:rsidR="005E2826" w:rsidRDefault="00000000">
      <w:pPr>
        <w:pBdr>
          <w:top w:val="nil"/>
          <w:left w:val="nil"/>
          <w:bottom w:val="nil"/>
          <w:right w:val="nil"/>
          <w:between w:val="nil"/>
        </w:pBdr>
        <w:ind w:left="720" w:hanging="720"/>
        <w:rPr>
          <w:color w:val="000000"/>
        </w:rPr>
      </w:pPr>
      <w:r>
        <w:rPr>
          <w:color w:val="000000"/>
        </w:rPr>
        <w:t xml:space="preserve">Available at: </w:t>
      </w:r>
      <w:hyperlink r:id="rId7">
        <w:r>
          <w:rPr>
            <w:color w:val="0563C1"/>
            <w:u w:val="single"/>
          </w:rPr>
          <w:t>https://www.theguardian.com/technology/2016/nov/15/google-commits-to-massive-new-london-hq</w:t>
        </w:r>
      </w:hyperlink>
      <w:r>
        <w:rPr>
          <w:color w:val="000000"/>
        </w:rPr>
        <w:t xml:space="preserve"> [Accessed December 10 2023].</w:t>
      </w:r>
    </w:p>
    <w:p w14:paraId="00000061" w14:textId="77777777" w:rsidR="005E2826" w:rsidRDefault="00000000">
      <w:pPr>
        <w:ind w:left="720" w:hanging="720"/>
        <w:rPr>
          <w:color w:val="222222"/>
          <w:highlight w:val="white"/>
        </w:rPr>
      </w:pPr>
      <w:r>
        <w:rPr>
          <w:color w:val="222222"/>
          <w:highlight w:val="white"/>
        </w:rPr>
        <w:t xml:space="preserve">Lukhele, T.M., Botha, B. and </w:t>
      </w:r>
      <w:proofErr w:type="spellStart"/>
      <w:r>
        <w:rPr>
          <w:color w:val="222222"/>
          <w:highlight w:val="white"/>
        </w:rPr>
        <w:t>Mbanga</w:t>
      </w:r>
      <w:proofErr w:type="spellEnd"/>
      <w:r>
        <w:rPr>
          <w:color w:val="222222"/>
          <w:highlight w:val="white"/>
        </w:rPr>
        <w:t>, S., 2022. A Conceptual Framework for Systematic Project Planning Towards the Successful Delivery of Infrastructure Development Projects in the Public Sector. </w:t>
      </w:r>
      <w:r>
        <w:rPr>
          <w:i/>
          <w:color w:val="222222"/>
          <w:highlight w:val="white"/>
        </w:rPr>
        <w:t>Journal of Public Administration</w:t>
      </w:r>
      <w:r>
        <w:rPr>
          <w:color w:val="222222"/>
          <w:highlight w:val="white"/>
        </w:rPr>
        <w:t>, </w:t>
      </w:r>
      <w:r>
        <w:rPr>
          <w:i/>
          <w:color w:val="222222"/>
          <w:highlight w:val="white"/>
        </w:rPr>
        <w:t>57</w:t>
      </w:r>
      <w:r>
        <w:rPr>
          <w:color w:val="222222"/>
          <w:highlight w:val="white"/>
        </w:rPr>
        <w:t>(3), pp.544-557.</w:t>
      </w:r>
    </w:p>
    <w:p w14:paraId="00000062" w14:textId="77777777" w:rsidR="005E2826" w:rsidRDefault="00000000">
      <w:pPr>
        <w:pBdr>
          <w:top w:val="nil"/>
          <w:left w:val="nil"/>
          <w:bottom w:val="nil"/>
          <w:right w:val="nil"/>
          <w:between w:val="nil"/>
        </w:pBdr>
        <w:ind w:left="720" w:hanging="720"/>
        <w:rPr>
          <w:color w:val="000000"/>
        </w:rPr>
      </w:pPr>
      <w:r>
        <w:rPr>
          <w:color w:val="000000"/>
        </w:rPr>
        <w:lastRenderedPageBreak/>
        <w:t xml:space="preserve">Partridge, J., 2022. </w:t>
      </w:r>
      <w:r>
        <w:rPr>
          <w:i/>
          <w:color w:val="000000"/>
        </w:rPr>
        <w:t>Behold London’s ‘</w:t>
      </w:r>
      <w:proofErr w:type="spellStart"/>
      <w:r>
        <w:rPr>
          <w:i/>
          <w:color w:val="000000"/>
        </w:rPr>
        <w:t>landscraper</w:t>
      </w:r>
      <w:proofErr w:type="spellEnd"/>
      <w:r>
        <w:rPr>
          <w:i/>
          <w:color w:val="000000"/>
        </w:rPr>
        <w:t xml:space="preserve">’! Google’s new UK HQ – as long as the Shard is tall. </w:t>
      </w:r>
      <w:r>
        <w:rPr>
          <w:color w:val="000000"/>
        </w:rPr>
        <w:t xml:space="preserve">[Online]  Available at: </w:t>
      </w:r>
      <w:hyperlink r:id="rId8">
        <w:r>
          <w:rPr>
            <w:color w:val="0563C1"/>
            <w:u w:val="single"/>
          </w:rPr>
          <w:t>https://www.theguardian.com/business/2022/jul/01/behold-londons-landscraper-googles-new-uk-hq-as-long-as-the-shard-is-tall</w:t>
        </w:r>
      </w:hyperlink>
      <w:r>
        <w:rPr>
          <w:color w:val="000000"/>
        </w:rPr>
        <w:t xml:space="preserve"> [Accessed 10 December 2023].</w:t>
      </w:r>
    </w:p>
    <w:p w14:paraId="00000063" w14:textId="77777777" w:rsidR="005E2826" w:rsidRDefault="00000000">
      <w:pPr>
        <w:pBdr>
          <w:top w:val="nil"/>
          <w:left w:val="nil"/>
          <w:bottom w:val="nil"/>
          <w:right w:val="nil"/>
          <w:between w:val="nil"/>
        </w:pBdr>
        <w:ind w:left="720" w:hanging="720"/>
        <w:rPr>
          <w:color w:val="000000"/>
        </w:rPr>
      </w:pPr>
      <w:r>
        <w:rPr>
          <w:color w:val="000000"/>
        </w:rPr>
        <w:t xml:space="preserve">Petit, N., 2020. </w:t>
      </w:r>
      <w:r>
        <w:rPr>
          <w:i/>
          <w:color w:val="000000"/>
        </w:rPr>
        <w:t xml:space="preserve">Big Tech and the Digital Economy: The </w:t>
      </w:r>
      <w:proofErr w:type="spellStart"/>
      <w:r>
        <w:rPr>
          <w:i/>
          <w:color w:val="000000"/>
        </w:rPr>
        <w:t>Moligopoly</w:t>
      </w:r>
      <w:proofErr w:type="spellEnd"/>
      <w:r>
        <w:rPr>
          <w:i/>
          <w:color w:val="000000"/>
        </w:rPr>
        <w:t xml:space="preserve"> Scenario. </w:t>
      </w:r>
      <w:proofErr w:type="spellStart"/>
      <w:r>
        <w:rPr>
          <w:color w:val="000000"/>
        </w:rPr>
        <w:t>s.l.:Oxford</w:t>
      </w:r>
      <w:proofErr w:type="spellEnd"/>
      <w:r>
        <w:rPr>
          <w:color w:val="000000"/>
        </w:rPr>
        <w:t xml:space="preserve"> University Press.</w:t>
      </w:r>
    </w:p>
    <w:p w14:paraId="00000064" w14:textId="77777777" w:rsidR="005E2826" w:rsidRDefault="00000000">
      <w:pPr>
        <w:pBdr>
          <w:top w:val="nil"/>
          <w:left w:val="nil"/>
          <w:bottom w:val="nil"/>
          <w:right w:val="nil"/>
          <w:between w:val="nil"/>
        </w:pBdr>
        <w:ind w:left="720" w:hanging="720"/>
        <w:rPr>
          <w:color w:val="000000"/>
        </w:rPr>
      </w:pPr>
      <w:r w:rsidRPr="003B5D7B">
        <w:rPr>
          <w:color w:val="000000"/>
          <w:lang w:val="de-DE"/>
        </w:rPr>
        <w:t xml:space="preserve">Prado, T. S. &amp; Bauer, J. M., 2022. </w:t>
      </w:r>
      <w:r>
        <w:rPr>
          <w:color w:val="000000"/>
        </w:rPr>
        <w:t xml:space="preserve">Big Tech platform acquisitions of start-ups and venture capital funding for innovation. </w:t>
      </w:r>
      <w:r>
        <w:rPr>
          <w:i/>
          <w:color w:val="000000"/>
        </w:rPr>
        <w:t xml:space="preserve">Information Economics and Policy, </w:t>
      </w:r>
      <w:r>
        <w:rPr>
          <w:color w:val="000000"/>
        </w:rPr>
        <w:t>Volume 59.</w:t>
      </w:r>
    </w:p>
    <w:p w14:paraId="00000065" w14:textId="77777777" w:rsidR="005E2826" w:rsidRDefault="00000000">
      <w:pPr>
        <w:pBdr>
          <w:top w:val="nil"/>
          <w:left w:val="nil"/>
          <w:bottom w:val="nil"/>
          <w:right w:val="nil"/>
          <w:between w:val="nil"/>
        </w:pBdr>
        <w:ind w:left="720" w:hanging="720"/>
        <w:rPr>
          <w:color w:val="000000"/>
        </w:rPr>
      </w:pPr>
      <w:r>
        <w:rPr>
          <w:color w:val="000000"/>
        </w:rPr>
        <w:t xml:space="preserve">Prynn, J., 2022. </w:t>
      </w:r>
      <w:r>
        <w:rPr>
          <w:i/>
          <w:color w:val="000000"/>
        </w:rPr>
        <w:t xml:space="preserve">New pictures of £1bn Google HQ bringing retail parade, community space and rooftop running trail to King’s Cross. </w:t>
      </w:r>
      <w:r>
        <w:rPr>
          <w:color w:val="000000"/>
        </w:rPr>
        <w:t xml:space="preserve">[Online]  Available at: </w:t>
      </w:r>
      <w:hyperlink r:id="rId9">
        <w:r>
          <w:rPr>
            <w:color w:val="0563C1"/>
            <w:u w:val="single"/>
          </w:rPr>
          <w:t>https://www.standard.co.uk/homesandproperty/property-news/google-hq-new-office-kings-cross-london-plans-b994436.html</w:t>
        </w:r>
      </w:hyperlink>
      <w:r>
        <w:rPr>
          <w:color w:val="000000"/>
        </w:rPr>
        <w:t xml:space="preserve"> [Accessed 11 December 2023].</w:t>
      </w:r>
    </w:p>
    <w:p w14:paraId="00000066" w14:textId="77777777" w:rsidR="005E2826" w:rsidRDefault="00000000">
      <w:pPr>
        <w:pBdr>
          <w:top w:val="nil"/>
          <w:left w:val="nil"/>
          <w:bottom w:val="nil"/>
          <w:right w:val="nil"/>
          <w:between w:val="nil"/>
        </w:pBdr>
        <w:ind w:left="720" w:hanging="720"/>
        <w:rPr>
          <w:color w:val="000000"/>
        </w:rPr>
      </w:pPr>
      <w:r>
        <w:rPr>
          <w:color w:val="000000"/>
        </w:rPr>
        <w:t xml:space="preserve">Rikap, C. &amp; Lundvall, B.-A., 2020. Big Tech, knowledge predation and the implications for development. </w:t>
      </w:r>
      <w:r>
        <w:rPr>
          <w:i/>
          <w:color w:val="000000"/>
        </w:rPr>
        <w:t xml:space="preserve">Innovation and Development, </w:t>
      </w:r>
      <w:r>
        <w:rPr>
          <w:color w:val="000000"/>
        </w:rPr>
        <w:t>12(2), pp. 1-28.</w:t>
      </w:r>
    </w:p>
    <w:p w14:paraId="00000067" w14:textId="77777777" w:rsidR="005E2826" w:rsidRDefault="00000000">
      <w:pPr>
        <w:pBdr>
          <w:top w:val="nil"/>
          <w:left w:val="nil"/>
          <w:bottom w:val="nil"/>
          <w:right w:val="nil"/>
          <w:between w:val="nil"/>
        </w:pBdr>
        <w:ind w:left="720" w:hanging="720"/>
        <w:rPr>
          <w:color w:val="000000"/>
        </w:rPr>
      </w:pPr>
      <w:r>
        <w:rPr>
          <w:color w:val="000000"/>
        </w:rPr>
        <w:t xml:space="preserve">Sheng, L., 2022. </w:t>
      </w:r>
      <w:r>
        <w:rPr>
          <w:i/>
          <w:color w:val="000000"/>
        </w:rPr>
        <w:t xml:space="preserve">Big Tech Firms and International Relations: The Role of the Nation-State in New Forms of Power. </w:t>
      </w:r>
      <w:proofErr w:type="spellStart"/>
      <w:r>
        <w:rPr>
          <w:color w:val="000000"/>
        </w:rPr>
        <w:t>s.l.:Springer</w:t>
      </w:r>
      <w:proofErr w:type="spellEnd"/>
      <w:r>
        <w:rPr>
          <w:color w:val="000000"/>
        </w:rPr>
        <w:t xml:space="preserve"> Nature Singapore .</w:t>
      </w:r>
    </w:p>
    <w:p w14:paraId="00000068" w14:textId="77777777" w:rsidR="005E2826" w:rsidRDefault="00000000">
      <w:pPr>
        <w:pBdr>
          <w:top w:val="nil"/>
          <w:left w:val="nil"/>
          <w:bottom w:val="nil"/>
          <w:right w:val="nil"/>
          <w:between w:val="nil"/>
        </w:pBdr>
        <w:ind w:left="720" w:hanging="720"/>
        <w:rPr>
          <w:color w:val="000000"/>
        </w:rPr>
      </w:pPr>
      <w:r>
        <w:rPr>
          <w:color w:val="000000"/>
        </w:rPr>
        <w:t xml:space="preserve">Subrahmanya, M. H. B., 2022. Competitiveness of High-Tech Start-Ups and Entrepreneurial Ecosystems: An Overview. </w:t>
      </w:r>
      <w:r>
        <w:rPr>
          <w:i/>
          <w:color w:val="000000"/>
        </w:rPr>
        <w:t xml:space="preserve">International Journal of Global Business and Competitiveness, </w:t>
      </w:r>
      <w:r>
        <w:rPr>
          <w:color w:val="000000"/>
        </w:rPr>
        <w:t>Volume 17, pp. 1-10.</w:t>
      </w:r>
    </w:p>
    <w:p w14:paraId="00000069" w14:textId="77777777" w:rsidR="005E2826" w:rsidRDefault="00000000">
      <w:pPr>
        <w:pBdr>
          <w:top w:val="nil"/>
          <w:left w:val="nil"/>
          <w:bottom w:val="nil"/>
          <w:right w:val="nil"/>
          <w:between w:val="nil"/>
        </w:pBdr>
        <w:ind w:left="720" w:hanging="720"/>
        <w:rPr>
          <w:color w:val="000000"/>
        </w:rPr>
      </w:pPr>
      <w:r>
        <w:rPr>
          <w:color w:val="000000"/>
        </w:rPr>
        <w:t xml:space="preserve">University of Cambridge, 2023. </w:t>
      </w:r>
      <w:r>
        <w:rPr>
          <w:i/>
          <w:color w:val="000000"/>
        </w:rPr>
        <w:t xml:space="preserve">Cambridge and Google partner to facilitate AI research. </w:t>
      </w:r>
      <w:r>
        <w:rPr>
          <w:color w:val="000000"/>
        </w:rPr>
        <w:t xml:space="preserve">[Online]  Available at: </w:t>
      </w:r>
      <w:hyperlink r:id="rId10" w:anchor=":~:text=The%20University%20of%20Cambridge%20and,inspired%20by%20and%20benefits%20people">
        <w:r>
          <w:rPr>
            <w:color w:val="0563C1"/>
            <w:u w:val="single"/>
          </w:rPr>
          <w:t>https://www.cam.ac.uk/news/cambridge-and-google-partner-to-facilitate-ai-research#:~:text=The%20University%20of%20Cambridge%20and,inspired%20by%20and%20benefits%20people</w:t>
        </w:r>
      </w:hyperlink>
      <w:r>
        <w:rPr>
          <w:color w:val="000000"/>
          <w:u w:val="single"/>
        </w:rPr>
        <w:t>.</w:t>
      </w:r>
      <w:r>
        <w:rPr>
          <w:color w:val="000000"/>
        </w:rPr>
        <w:t xml:space="preserve"> [Accessed </w:t>
      </w:r>
      <w:r>
        <w:t xml:space="preserve">09 December </w:t>
      </w:r>
      <w:r>
        <w:rPr>
          <w:color w:val="000000"/>
        </w:rPr>
        <w:t>2023].</w:t>
      </w:r>
    </w:p>
    <w:p w14:paraId="0000006A" w14:textId="77777777" w:rsidR="005E2826" w:rsidRDefault="00000000">
      <w:pPr>
        <w:pBdr>
          <w:top w:val="nil"/>
          <w:left w:val="nil"/>
          <w:bottom w:val="nil"/>
          <w:right w:val="nil"/>
          <w:between w:val="nil"/>
        </w:pBdr>
        <w:ind w:left="720" w:hanging="720"/>
        <w:rPr>
          <w:color w:val="000000"/>
        </w:rPr>
      </w:pPr>
      <w:r>
        <w:rPr>
          <w:color w:val="000000"/>
        </w:rPr>
        <w:lastRenderedPageBreak/>
        <w:t xml:space="preserve">Wainwright, O., 2013. </w:t>
      </w:r>
      <w:r>
        <w:rPr>
          <w:i/>
          <w:color w:val="000000"/>
        </w:rPr>
        <w:t xml:space="preserve">Google's new UK headquarters aims to make going to work exciting. </w:t>
      </w:r>
      <w:r>
        <w:rPr>
          <w:color w:val="000000"/>
        </w:rPr>
        <w:t xml:space="preserve">[Online]  Available at: </w:t>
      </w:r>
      <w:hyperlink r:id="rId11">
        <w:r>
          <w:rPr>
            <w:color w:val="0563C1"/>
            <w:u w:val="single"/>
          </w:rPr>
          <w:t>https://www.theguardian.com/technology/2013/nov/01/google-new-london-headquarters</w:t>
        </w:r>
      </w:hyperlink>
      <w:r>
        <w:rPr>
          <w:color w:val="000000"/>
        </w:rPr>
        <w:t xml:space="preserve"> [Accessed 11 December 2023].</w:t>
      </w:r>
    </w:p>
    <w:p w14:paraId="0000006B" w14:textId="77777777" w:rsidR="005E2826" w:rsidRDefault="00000000">
      <w:pPr>
        <w:pBdr>
          <w:top w:val="nil"/>
          <w:left w:val="nil"/>
          <w:bottom w:val="nil"/>
          <w:right w:val="nil"/>
          <w:between w:val="nil"/>
        </w:pBdr>
        <w:ind w:left="720" w:hanging="720"/>
        <w:rPr>
          <w:color w:val="000000"/>
        </w:rPr>
      </w:pPr>
      <w:proofErr w:type="spellStart"/>
      <w:r w:rsidRPr="003B5D7B">
        <w:rPr>
          <w:color w:val="000000"/>
          <w:lang w:val="de-DE"/>
        </w:rPr>
        <w:t>Zwikael</w:t>
      </w:r>
      <w:proofErr w:type="spellEnd"/>
      <w:r w:rsidRPr="003B5D7B">
        <w:rPr>
          <w:color w:val="000000"/>
          <w:lang w:val="de-DE"/>
        </w:rPr>
        <w:t xml:space="preserve">, O. &amp; </w:t>
      </w:r>
      <w:proofErr w:type="spellStart"/>
      <w:r w:rsidRPr="003B5D7B">
        <w:rPr>
          <w:color w:val="000000"/>
          <w:lang w:val="de-DE"/>
        </w:rPr>
        <w:t>Smyrk</w:t>
      </w:r>
      <w:proofErr w:type="spellEnd"/>
      <w:r w:rsidRPr="003B5D7B">
        <w:rPr>
          <w:color w:val="000000"/>
          <w:lang w:val="de-DE"/>
        </w:rPr>
        <w:t xml:space="preserve">, J. R., 2019. </w:t>
      </w:r>
      <w:r>
        <w:rPr>
          <w:i/>
          <w:color w:val="000000"/>
        </w:rPr>
        <w:t xml:space="preserve">Project Management A Benefit Realisation Approach. </w:t>
      </w:r>
      <w:proofErr w:type="spellStart"/>
      <w:r>
        <w:rPr>
          <w:color w:val="000000"/>
        </w:rPr>
        <w:t>s.l.:Springer</w:t>
      </w:r>
      <w:proofErr w:type="spellEnd"/>
      <w:r>
        <w:rPr>
          <w:color w:val="000000"/>
        </w:rPr>
        <w:t xml:space="preserve"> International Publishing.</w:t>
      </w:r>
    </w:p>
    <w:sectPr w:rsidR="005E2826">
      <w:headerReference w:type="even" r:id="rId12"/>
      <w:headerReference w:type="default" r:id="rId13"/>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402BA" w14:textId="77777777" w:rsidR="00F2606B" w:rsidRDefault="00F2606B">
      <w:pPr>
        <w:spacing w:line="240" w:lineRule="auto"/>
      </w:pPr>
      <w:r>
        <w:separator/>
      </w:r>
    </w:p>
  </w:endnote>
  <w:endnote w:type="continuationSeparator" w:id="0">
    <w:p w14:paraId="68AF8EB2" w14:textId="77777777" w:rsidR="00F2606B" w:rsidRDefault="00F260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A5E77" w14:textId="77777777" w:rsidR="00F2606B" w:rsidRDefault="00F2606B">
      <w:pPr>
        <w:spacing w:line="240" w:lineRule="auto"/>
      </w:pPr>
      <w:r>
        <w:separator/>
      </w:r>
    </w:p>
  </w:footnote>
  <w:footnote w:type="continuationSeparator" w:id="0">
    <w:p w14:paraId="2AB946A3" w14:textId="77777777" w:rsidR="00F2606B" w:rsidRDefault="00F260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E" w14:textId="77777777" w:rsidR="005E282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6F" w14:textId="77777777" w:rsidR="005E2826" w:rsidRDefault="005E2826">
    <w:pPr>
      <w:pBdr>
        <w:top w:val="nil"/>
        <w:left w:val="nil"/>
        <w:bottom w:val="nil"/>
        <w:right w:val="nil"/>
        <w:between w:val="nil"/>
      </w:pBdr>
      <w:tabs>
        <w:tab w:val="center" w:pos="4680"/>
        <w:tab w:val="right" w:pos="9360"/>
      </w:tabs>
      <w:spacing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C" w14:textId="0BAE7B40" w:rsidR="005E282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B5D7B">
      <w:rPr>
        <w:noProof/>
        <w:color w:val="000000"/>
      </w:rPr>
      <w:t>1</w:t>
    </w:r>
    <w:r>
      <w:rPr>
        <w:color w:val="000000"/>
      </w:rPr>
      <w:fldChar w:fldCharType="end"/>
    </w:r>
  </w:p>
  <w:p w14:paraId="0000006D" w14:textId="77777777" w:rsidR="005E2826" w:rsidRDefault="005E2826">
    <w:pPr>
      <w:pBdr>
        <w:top w:val="nil"/>
        <w:left w:val="nil"/>
        <w:bottom w:val="nil"/>
        <w:right w:val="nil"/>
        <w:between w:val="nil"/>
      </w:pBdr>
      <w:tabs>
        <w:tab w:val="center" w:pos="4680"/>
        <w:tab w:val="right" w:pos="9360"/>
      </w:tabs>
      <w:spacing w:line="240" w:lineRule="auto"/>
      <w:ind w:right="36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826"/>
    <w:rsid w:val="003B5D7B"/>
    <w:rsid w:val="005E2826"/>
    <w:rsid w:val="00F26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D7B8E"/>
  <w15:docId w15:val="{B0578970-8B96-4677-8223-C6DF5664A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40"/>
      <w:outlineLvl w:val="1"/>
    </w:pPr>
    <w:rPr>
      <w:rFonts w:ascii="Calibri" w:eastAsia="Calibri" w:hAnsi="Calibri" w:cs="Calibri"/>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2/jul/01/behold-londons-landscraper-googles-new-uk-hq-as-long-as-the-shard-is-tall" TargetMode="External"/><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theguardian.com/technology/2016/nov/15/google-commits-to-massive-new-london-hq"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technology/2017/dec/04/facebooks-new-london-office-brings-800-jobs-to-the-capital" TargetMode="External"/><Relationship Id="rId11" Type="http://schemas.openxmlformats.org/officeDocument/2006/relationships/hyperlink" Target="https://www.theguardian.com/technology/2013/nov/01/google-new-london-headquarter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am.ac.uk/news/cambridge-and-google-partner-to-facilitate-ai-research" TargetMode="External"/><Relationship Id="rId4" Type="http://schemas.openxmlformats.org/officeDocument/2006/relationships/footnotes" Target="footnotes.xml"/><Relationship Id="rId9" Type="http://schemas.openxmlformats.org/officeDocument/2006/relationships/hyperlink" Target="https://www.standard.co.uk/homesandproperty/property-news/google-hq-new-office-kings-cross-london-plans-b994436.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3386</Words>
  <Characters>20509</Characters>
  <Application>Microsoft Office Word</Application>
  <DocSecurity>0</DocSecurity>
  <Lines>354</Lines>
  <Paragraphs>67</Paragraphs>
  <ScaleCrop>false</ScaleCrop>
  <Company/>
  <LinksUpToDate>false</LinksUpToDate>
  <CharactersWithSpaces>23854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 Gunchev</dc:creator>
  <cp:lastModifiedBy>Ivan Gunchev</cp:lastModifiedBy>
  <cp:revision>2</cp:revision>
  <dcterms:created xsi:type="dcterms:W3CDTF">2023-12-26T17:06:00Z</dcterms:created>
  <dcterms:modified xsi:type="dcterms:W3CDTF">2023-12-26T17:06:00Z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2bafbed6293b930304497569b6c23ecbcf88b0074a1cbbd9f7f26ab07116772e</vt:lpwstr>
  </property>
</Properties>
</file>