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1EF42" w14:textId="520DC92C" w:rsidR="006163F8" w:rsidRPr="002734FD" w:rsidRDefault="006163F8" w:rsidP="006163F8">
      <w:pPr>
        <w:spacing w:line="360" w:lineRule="auto"/>
        <w:jc w:val="center"/>
        <w:rPr>
          <w:rFonts w:ascii="Arial" w:eastAsia="Arial" w:hAnsi="Arial" w:cs="Arial"/>
          <w:color w:val="000000" w:themeColor="text1"/>
          <w:sz w:val="22"/>
          <w:szCs w:val="22"/>
        </w:rPr>
      </w:pPr>
      <w:r w:rsidRPr="002734FD">
        <w:rPr>
          <w:rFonts w:ascii="Arial" w:hAnsi="Arial" w:cs="Arial"/>
          <w:noProof/>
          <w:color w:val="000000" w:themeColor="text1"/>
          <w:sz w:val="22"/>
        </w:rPr>
        <w:drawing>
          <wp:anchor distT="0" distB="0" distL="114300" distR="114300" simplePos="0" relativeHeight="251659264" behindDoc="0" locked="0" layoutInCell="1" allowOverlap="1" wp14:anchorId="1D8F9056" wp14:editId="5774AD13">
            <wp:simplePos x="0" y="0"/>
            <wp:positionH relativeFrom="margin">
              <wp:align>center</wp:align>
            </wp:positionH>
            <wp:positionV relativeFrom="paragraph">
              <wp:posOffset>63500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BCF8B82" w14:textId="0B1A95B2" w:rsidR="006163F8" w:rsidRPr="002734FD" w:rsidRDefault="006163F8" w:rsidP="006163F8">
      <w:pPr>
        <w:spacing w:line="360" w:lineRule="auto"/>
        <w:jc w:val="center"/>
        <w:rPr>
          <w:rFonts w:ascii="Arial" w:eastAsia="Arial" w:hAnsi="Arial" w:cs="Arial"/>
          <w:color w:val="000000" w:themeColor="text1"/>
          <w:sz w:val="22"/>
          <w:szCs w:val="22"/>
        </w:rPr>
      </w:pPr>
    </w:p>
    <w:p w14:paraId="2533768B" w14:textId="39310D00" w:rsidR="006163F8" w:rsidRPr="002734FD" w:rsidRDefault="006163F8" w:rsidP="006163F8">
      <w:pPr>
        <w:spacing w:line="360" w:lineRule="auto"/>
        <w:jc w:val="center"/>
        <w:rPr>
          <w:rFonts w:ascii="Arial" w:eastAsia="Arial" w:hAnsi="Arial" w:cs="Arial"/>
          <w:color w:val="000000" w:themeColor="text1"/>
          <w:sz w:val="22"/>
          <w:szCs w:val="22"/>
        </w:rPr>
      </w:pPr>
    </w:p>
    <w:p w14:paraId="29919C2D" w14:textId="77777777" w:rsidR="006163F8" w:rsidRPr="002734FD" w:rsidRDefault="006163F8" w:rsidP="00BD6EB7">
      <w:pPr>
        <w:spacing w:line="360" w:lineRule="auto"/>
        <w:jc w:val="center"/>
        <w:rPr>
          <w:rFonts w:ascii="Arial" w:eastAsia="Arial" w:hAnsi="Arial" w:cs="Arial"/>
          <w:b/>
          <w:bCs/>
          <w:color w:val="000000" w:themeColor="text1"/>
          <w:sz w:val="28"/>
          <w:szCs w:val="28"/>
        </w:rPr>
      </w:pPr>
    </w:p>
    <w:p w14:paraId="1D869B1A" w14:textId="77777777" w:rsidR="00BD6EB7" w:rsidRPr="002734FD" w:rsidRDefault="00BD6EB7" w:rsidP="00BD6EB7">
      <w:pPr>
        <w:tabs>
          <w:tab w:val="left" w:pos="6540"/>
        </w:tabs>
        <w:spacing w:line="360" w:lineRule="auto"/>
        <w:jc w:val="center"/>
        <w:rPr>
          <w:rFonts w:ascii="Arial" w:hAnsi="Arial" w:cs="Arial"/>
          <w:b/>
          <w:bCs/>
          <w:color w:val="000000" w:themeColor="text1"/>
          <w:sz w:val="28"/>
          <w:szCs w:val="28"/>
          <w:lang w:val="nl-NL"/>
        </w:rPr>
      </w:pPr>
      <w:r w:rsidRPr="002734FD">
        <w:rPr>
          <w:rFonts w:ascii="Arial" w:hAnsi="Arial" w:cs="Arial"/>
          <w:b/>
          <w:bCs/>
          <w:color w:val="000000" w:themeColor="text1"/>
          <w:sz w:val="28"/>
          <w:szCs w:val="28"/>
          <w:lang w:val="nl-NL"/>
        </w:rPr>
        <w:t>Student name: Patricia Amofa</w:t>
      </w:r>
    </w:p>
    <w:p w14:paraId="3494FDF7" w14:textId="77777777" w:rsidR="00BD6EB7" w:rsidRPr="002734FD" w:rsidRDefault="00BD6EB7" w:rsidP="00BD6EB7">
      <w:pPr>
        <w:spacing w:line="360" w:lineRule="auto"/>
        <w:jc w:val="center"/>
        <w:rPr>
          <w:rFonts w:ascii="Arial" w:hAnsi="Arial" w:cs="Arial"/>
          <w:b/>
          <w:bCs/>
          <w:color w:val="000000" w:themeColor="text1"/>
          <w:sz w:val="28"/>
          <w:szCs w:val="28"/>
          <w:lang w:val="nl-NL"/>
        </w:rPr>
      </w:pPr>
      <w:r w:rsidRPr="002734FD">
        <w:rPr>
          <w:rFonts w:ascii="Arial" w:hAnsi="Arial" w:cs="Arial"/>
          <w:b/>
          <w:bCs/>
          <w:color w:val="000000" w:themeColor="text1"/>
          <w:sz w:val="28"/>
          <w:szCs w:val="28"/>
          <w:lang w:val="nl-NL"/>
        </w:rPr>
        <w:t>Student ID: 2315962</w:t>
      </w:r>
    </w:p>
    <w:p w14:paraId="1D6632F5" w14:textId="16E9BB52" w:rsidR="006163F8" w:rsidRPr="002734FD" w:rsidRDefault="006163F8" w:rsidP="00BD6EB7">
      <w:pPr>
        <w:spacing w:line="360" w:lineRule="auto"/>
        <w:jc w:val="center"/>
        <w:rPr>
          <w:rFonts w:ascii="Arial" w:hAnsi="Arial" w:cs="Arial"/>
          <w:b/>
          <w:bCs/>
          <w:color w:val="000000" w:themeColor="text1"/>
          <w:sz w:val="32"/>
          <w:szCs w:val="32"/>
        </w:rPr>
      </w:pPr>
      <w:r w:rsidRPr="002734FD">
        <w:rPr>
          <w:rFonts w:ascii="Arial" w:eastAsia="Arial" w:hAnsi="Arial" w:cs="Arial"/>
          <w:b/>
          <w:bCs/>
          <w:color w:val="000000" w:themeColor="text1"/>
          <w:sz w:val="28"/>
          <w:szCs w:val="28"/>
        </w:rPr>
        <w:t xml:space="preserve">Module </w:t>
      </w:r>
      <w:r w:rsidR="00131E88">
        <w:rPr>
          <w:rFonts w:ascii="Arial" w:eastAsia="Arial" w:hAnsi="Arial" w:cs="Arial"/>
          <w:b/>
          <w:bCs/>
          <w:color w:val="000000" w:themeColor="text1"/>
          <w:sz w:val="28"/>
          <w:szCs w:val="28"/>
        </w:rPr>
        <w:t>BMHP 6030</w:t>
      </w:r>
      <w:r w:rsidRPr="002734FD">
        <w:rPr>
          <w:rFonts w:ascii="Arial" w:eastAsia="Arial" w:hAnsi="Arial" w:cs="Arial"/>
          <w:b/>
          <w:bCs/>
          <w:color w:val="000000" w:themeColor="text1"/>
          <w:sz w:val="28"/>
          <w:szCs w:val="28"/>
        </w:rPr>
        <w:t>and Title:</w:t>
      </w:r>
      <w:r w:rsidR="00AD6034">
        <w:rPr>
          <w:rFonts w:ascii="Arial" w:eastAsia="Arial" w:hAnsi="Arial" w:cs="Arial"/>
          <w:b/>
          <w:bCs/>
          <w:color w:val="000000" w:themeColor="text1"/>
          <w:sz w:val="28"/>
          <w:szCs w:val="28"/>
        </w:rPr>
        <w:t xml:space="preserve"> Health wellbeing and sustainable development</w:t>
      </w:r>
    </w:p>
    <w:p w14:paraId="74BD985F" w14:textId="5A73E3E9" w:rsidR="006163F8" w:rsidRPr="002734FD" w:rsidRDefault="006163F8" w:rsidP="006163F8">
      <w:pPr>
        <w:spacing w:line="360" w:lineRule="auto"/>
        <w:jc w:val="center"/>
        <w:rPr>
          <w:rFonts w:ascii="Arial" w:hAnsi="Arial" w:cs="Arial"/>
          <w:b/>
          <w:bCs/>
          <w:color w:val="000000" w:themeColor="text1"/>
          <w:sz w:val="32"/>
          <w:szCs w:val="32"/>
        </w:rPr>
      </w:pPr>
      <w:r w:rsidRPr="002734FD">
        <w:rPr>
          <w:rFonts w:ascii="Arial" w:eastAsia="Arial" w:hAnsi="Arial" w:cs="Arial"/>
          <w:b/>
          <w:bCs/>
          <w:color w:val="000000" w:themeColor="text1"/>
          <w:sz w:val="28"/>
          <w:szCs w:val="28"/>
        </w:rPr>
        <w:t xml:space="preserve">Lecturer: </w:t>
      </w:r>
      <w:r w:rsidR="00AD6034">
        <w:rPr>
          <w:rFonts w:ascii="Arial" w:eastAsia="Arial" w:hAnsi="Arial" w:cs="Arial"/>
          <w:b/>
          <w:bCs/>
          <w:color w:val="000000" w:themeColor="text1"/>
          <w:sz w:val="28"/>
          <w:szCs w:val="28"/>
        </w:rPr>
        <w:t xml:space="preserve">Dr </w:t>
      </w:r>
      <w:proofErr w:type="spellStart"/>
      <w:r w:rsidR="00AD6034">
        <w:rPr>
          <w:rFonts w:ascii="Arial" w:eastAsia="Arial" w:hAnsi="Arial" w:cs="Arial"/>
          <w:b/>
          <w:bCs/>
          <w:color w:val="000000" w:themeColor="text1"/>
          <w:sz w:val="28"/>
          <w:szCs w:val="28"/>
        </w:rPr>
        <w:t>Itse</w:t>
      </w:r>
      <w:proofErr w:type="spellEnd"/>
      <w:r w:rsidR="00AD6034">
        <w:rPr>
          <w:rFonts w:ascii="Arial" w:eastAsia="Arial" w:hAnsi="Arial" w:cs="Arial"/>
          <w:b/>
          <w:bCs/>
          <w:color w:val="000000" w:themeColor="text1"/>
          <w:sz w:val="28"/>
          <w:szCs w:val="28"/>
        </w:rPr>
        <w:t xml:space="preserve"> Olaoye</w:t>
      </w:r>
    </w:p>
    <w:p w14:paraId="288B7DA2" w14:textId="52DFB137" w:rsidR="006163F8" w:rsidRPr="002734FD" w:rsidRDefault="006163F8" w:rsidP="006163F8">
      <w:pPr>
        <w:spacing w:line="360" w:lineRule="auto"/>
        <w:jc w:val="center"/>
        <w:rPr>
          <w:rFonts w:ascii="Arial" w:hAnsi="Arial" w:cs="Arial"/>
          <w:b/>
          <w:bCs/>
          <w:color w:val="000000" w:themeColor="text1"/>
          <w:sz w:val="32"/>
          <w:szCs w:val="32"/>
        </w:rPr>
      </w:pPr>
      <w:r w:rsidRPr="002734FD">
        <w:rPr>
          <w:rFonts w:ascii="Arial" w:eastAsia="Arial" w:hAnsi="Arial" w:cs="Arial"/>
          <w:b/>
          <w:bCs/>
          <w:color w:val="000000" w:themeColor="text1"/>
          <w:sz w:val="28"/>
          <w:szCs w:val="28"/>
        </w:rPr>
        <w:t xml:space="preserve">Assignment Title: </w:t>
      </w:r>
    </w:p>
    <w:p w14:paraId="389B2ECA" w14:textId="77777777" w:rsidR="006163F8" w:rsidRPr="002734FD" w:rsidRDefault="006163F8" w:rsidP="006163F8">
      <w:pPr>
        <w:spacing w:line="360" w:lineRule="auto"/>
        <w:jc w:val="center"/>
        <w:rPr>
          <w:rFonts w:ascii="Arial" w:eastAsia="Arial" w:hAnsi="Arial" w:cs="Arial"/>
          <w:b/>
          <w:bCs/>
          <w:color w:val="000000" w:themeColor="text1"/>
          <w:sz w:val="28"/>
          <w:szCs w:val="28"/>
        </w:rPr>
      </w:pPr>
    </w:p>
    <w:p w14:paraId="3243FE9E" w14:textId="77777777" w:rsidR="006163F8" w:rsidRPr="002734FD" w:rsidRDefault="006163F8" w:rsidP="006163F8">
      <w:pPr>
        <w:spacing w:line="360" w:lineRule="auto"/>
        <w:jc w:val="center"/>
        <w:rPr>
          <w:rFonts w:ascii="Arial" w:eastAsia="Arial" w:hAnsi="Arial" w:cs="Arial"/>
          <w:b/>
          <w:bCs/>
          <w:color w:val="000000" w:themeColor="text1"/>
          <w:sz w:val="28"/>
          <w:szCs w:val="28"/>
        </w:rPr>
      </w:pPr>
    </w:p>
    <w:p w14:paraId="0A5F72EA" w14:textId="21F3F2D9" w:rsidR="006163F8" w:rsidRPr="002734FD" w:rsidRDefault="006163F8" w:rsidP="006163F8">
      <w:pPr>
        <w:spacing w:line="360" w:lineRule="auto"/>
        <w:jc w:val="center"/>
        <w:rPr>
          <w:rFonts w:ascii="Arial" w:hAnsi="Arial" w:cs="Arial"/>
          <w:b/>
          <w:bCs/>
          <w:color w:val="000000" w:themeColor="text1"/>
          <w:sz w:val="32"/>
          <w:szCs w:val="32"/>
        </w:rPr>
      </w:pPr>
      <w:r w:rsidRPr="002734FD">
        <w:rPr>
          <w:rFonts w:ascii="Arial" w:eastAsia="Arial" w:hAnsi="Arial" w:cs="Arial"/>
          <w:b/>
          <w:bCs/>
          <w:color w:val="000000" w:themeColor="text1"/>
          <w:sz w:val="28"/>
          <w:szCs w:val="28"/>
        </w:rPr>
        <w:t xml:space="preserve">Word Count: </w:t>
      </w:r>
      <w:r w:rsidR="00A02A5B">
        <w:rPr>
          <w:rFonts w:ascii="Arial" w:eastAsia="Arial" w:hAnsi="Arial" w:cs="Arial"/>
          <w:b/>
          <w:bCs/>
          <w:color w:val="000000" w:themeColor="text1"/>
          <w:sz w:val="28"/>
          <w:szCs w:val="28"/>
        </w:rPr>
        <w:t>2118</w:t>
      </w:r>
    </w:p>
    <w:p w14:paraId="71394240" w14:textId="77777777" w:rsidR="00380262" w:rsidRPr="002734FD" w:rsidRDefault="00380262">
      <w:pPr>
        <w:rPr>
          <w:rFonts w:ascii="Arial" w:hAnsi="Arial" w:cs="Arial"/>
          <w:b/>
          <w:bCs/>
          <w:color w:val="000000" w:themeColor="text1"/>
          <w:sz w:val="32"/>
          <w:szCs w:val="32"/>
        </w:rPr>
      </w:pPr>
    </w:p>
    <w:p w14:paraId="7042FC98" w14:textId="162C369E" w:rsidR="006163F8" w:rsidRPr="002734FD" w:rsidRDefault="006163F8">
      <w:pPr>
        <w:rPr>
          <w:rFonts w:ascii="Arial" w:hAnsi="Arial" w:cs="Arial"/>
          <w:color w:val="000000" w:themeColor="text1"/>
        </w:rPr>
      </w:pPr>
      <w:r w:rsidRPr="002734FD">
        <w:rPr>
          <w:rFonts w:ascii="Arial" w:hAnsi="Arial" w:cs="Arial"/>
          <w:color w:val="000000" w:themeColor="text1"/>
        </w:rPr>
        <w:br w:type="page"/>
      </w:r>
    </w:p>
    <w:p w14:paraId="393804B8" w14:textId="79C72177" w:rsidR="006163F8" w:rsidRPr="002734FD" w:rsidRDefault="006163F8" w:rsidP="006163F8">
      <w:pPr>
        <w:pStyle w:val="Heading1"/>
        <w:jc w:val="center"/>
        <w:rPr>
          <w:rFonts w:cs="Arial"/>
        </w:rPr>
      </w:pPr>
      <w:bookmarkStart w:id="0" w:name="_Toc233881316"/>
      <w:r w:rsidRPr="002734FD">
        <w:rPr>
          <w:rFonts w:cs="Arial"/>
        </w:rPr>
        <w:lastRenderedPageBreak/>
        <w:t>TABLE OF CONTENTS</w:t>
      </w:r>
      <w:bookmarkEnd w:id="0"/>
    </w:p>
    <w:sdt>
      <w:sdtPr>
        <w:rPr>
          <w:rFonts w:ascii="Arial" w:eastAsiaTheme="minorHAnsi" w:hAnsi="Arial" w:cs="Arial"/>
          <w:color w:val="000000" w:themeColor="text1"/>
          <w:kern w:val="2"/>
          <w:sz w:val="24"/>
          <w:szCs w:val="24"/>
          <w14:ligatures w14:val="standardContextual"/>
        </w:rPr>
        <w:id w:val="1689413834"/>
        <w:docPartObj>
          <w:docPartGallery w:val="Table of Contents"/>
          <w:docPartUnique/>
        </w:docPartObj>
      </w:sdtPr>
      <w:sdtEndPr>
        <w:rPr>
          <w:b/>
          <w:bCs/>
          <w:noProof/>
        </w:rPr>
      </w:sdtEndPr>
      <w:sdtContent>
        <w:p w14:paraId="5C6ECC0B" w14:textId="5C31F76B" w:rsidR="002734FD" w:rsidRPr="002734FD" w:rsidRDefault="002734FD" w:rsidP="002734FD">
          <w:pPr>
            <w:pStyle w:val="TOCHeading"/>
            <w:spacing w:line="360" w:lineRule="auto"/>
            <w:jc w:val="both"/>
            <w:rPr>
              <w:rFonts w:ascii="Arial" w:hAnsi="Arial" w:cs="Arial"/>
              <w:b/>
              <w:bCs/>
              <w:color w:val="000000" w:themeColor="text1"/>
              <w:sz w:val="24"/>
              <w:szCs w:val="24"/>
            </w:rPr>
          </w:pPr>
          <w:r w:rsidRPr="002734FD">
            <w:rPr>
              <w:rFonts w:ascii="Arial" w:hAnsi="Arial" w:cs="Arial"/>
              <w:b/>
              <w:bCs/>
              <w:color w:val="000000" w:themeColor="text1"/>
              <w:sz w:val="24"/>
              <w:szCs w:val="24"/>
            </w:rPr>
            <w:t xml:space="preserve">CONTENT </w:t>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r>
          <w:r w:rsidRPr="002734FD">
            <w:rPr>
              <w:rFonts w:ascii="Arial" w:hAnsi="Arial" w:cs="Arial"/>
              <w:b/>
              <w:bCs/>
              <w:color w:val="000000" w:themeColor="text1"/>
              <w:sz w:val="24"/>
              <w:szCs w:val="24"/>
            </w:rPr>
            <w:tab/>
            <w:t xml:space="preserve">           PAGE</w:t>
          </w:r>
        </w:p>
        <w:p w14:paraId="07BDA449" w14:textId="53B23F88"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r w:rsidRPr="002734FD">
            <w:rPr>
              <w:rFonts w:ascii="Arial" w:hAnsi="Arial" w:cs="Arial"/>
              <w:color w:val="000000" w:themeColor="text1"/>
            </w:rPr>
            <w:fldChar w:fldCharType="begin"/>
          </w:r>
          <w:r w:rsidRPr="002734FD">
            <w:rPr>
              <w:rFonts w:ascii="Arial" w:hAnsi="Arial" w:cs="Arial"/>
              <w:color w:val="000000" w:themeColor="text1"/>
            </w:rPr>
            <w:instrText xml:space="preserve"> TOC \o "1-3" \h \z \u </w:instrText>
          </w:r>
          <w:r w:rsidRPr="002734FD">
            <w:rPr>
              <w:rFonts w:ascii="Arial" w:hAnsi="Arial" w:cs="Arial"/>
              <w:color w:val="000000" w:themeColor="text1"/>
            </w:rPr>
            <w:fldChar w:fldCharType="separate"/>
          </w:r>
          <w:hyperlink w:anchor="_Toc233881316" w:history="1">
            <w:r w:rsidRPr="002734FD">
              <w:rPr>
                <w:rStyle w:val="Hyperlink"/>
                <w:rFonts w:ascii="Arial" w:hAnsi="Arial" w:cs="Arial"/>
                <w:noProof/>
                <w:color w:val="000000" w:themeColor="text1"/>
              </w:rPr>
              <w:t>TABLE OF CONTENTS</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_Toc233881316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ii</w:t>
            </w:r>
            <w:r w:rsidRPr="002734FD">
              <w:rPr>
                <w:rFonts w:ascii="Arial" w:hAnsi="Arial" w:cs="Arial"/>
                <w:noProof/>
                <w:webHidden/>
                <w:color w:val="000000" w:themeColor="text1"/>
              </w:rPr>
              <w:fldChar w:fldCharType="end"/>
            </w:r>
          </w:hyperlink>
        </w:p>
        <w:p w14:paraId="11543D65" w14:textId="3915BDE2"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hyperlink w:anchor="_Toc233881317" w:history="1">
            <w:r w:rsidRPr="002734FD">
              <w:rPr>
                <w:rStyle w:val="Hyperlink"/>
                <w:rFonts w:ascii="Arial" w:hAnsi="Arial" w:cs="Arial"/>
                <w:noProof/>
                <w:color w:val="000000" w:themeColor="text1"/>
              </w:rPr>
              <w:t>Introduction</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_Toc233881317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3</w:t>
            </w:r>
            <w:r w:rsidRPr="002734FD">
              <w:rPr>
                <w:rFonts w:ascii="Arial" w:hAnsi="Arial" w:cs="Arial"/>
                <w:noProof/>
                <w:webHidden/>
                <w:color w:val="000000" w:themeColor="text1"/>
              </w:rPr>
              <w:fldChar w:fldCharType="end"/>
            </w:r>
          </w:hyperlink>
        </w:p>
        <w:p w14:paraId="67C3F9FF" w14:textId="49476DBE"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hyperlink w:anchor="_Toc233881318" w:history="1">
            <w:r w:rsidRPr="002734FD">
              <w:rPr>
                <w:rStyle w:val="Hyperlink"/>
                <w:rFonts w:ascii="Arial" w:hAnsi="Arial" w:cs="Arial"/>
                <w:noProof/>
                <w:color w:val="000000" w:themeColor="text1"/>
              </w:rPr>
              <w:t>Sustainable Development Goal 3</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_Toc233881318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3</w:t>
            </w:r>
            <w:r w:rsidRPr="002734FD">
              <w:rPr>
                <w:rFonts w:ascii="Arial" w:hAnsi="Arial" w:cs="Arial"/>
                <w:noProof/>
                <w:webHidden/>
                <w:color w:val="000000" w:themeColor="text1"/>
              </w:rPr>
              <w:fldChar w:fldCharType="end"/>
            </w:r>
          </w:hyperlink>
        </w:p>
        <w:p w14:paraId="645A8F37" w14:textId="34DE7875"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hyperlink w:anchor="_Toc233881319" w:history="1">
            <w:r w:rsidRPr="002734FD">
              <w:rPr>
                <w:rStyle w:val="Hyperlink"/>
                <w:rFonts w:ascii="Arial" w:hAnsi="Arial" w:cs="Arial"/>
                <w:noProof/>
                <w:color w:val="000000" w:themeColor="text1"/>
              </w:rPr>
              <w:t>Selected SDG: Sustainable Development Goal 11</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_Toc233881319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4</w:t>
            </w:r>
            <w:r w:rsidRPr="002734FD">
              <w:rPr>
                <w:rFonts w:ascii="Arial" w:hAnsi="Arial" w:cs="Arial"/>
                <w:noProof/>
                <w:webHidden/>
                <w:color w:val="000000" w:themeColor="text1"/>
              </w:rPr>
              <w:fldChar w:fldCharType="end"/>
            </w:r>
          </w:hyperlink>
        </w:p>
        <w:p w14:paraId="01351A2F" w14:textId="3CE90233"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hyperlink w:anchor="_Toc233881320" w:history="1">
            <w:r w:rsidRPr="002734FD">
              <w:rPr>
                <w:rStyle w:val="Hyperlink"/>
                <w:rFonts w:ascii="Arial" w:hAnsi="Arial" w:cs="Arial"/>
                <w:noProof/>
                <w:color w:val="000000" w:themeColor="text1"/>
              </w:rPr>
              <w:t>National wellbeing initiatives</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_Toc233881320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6</w:t>
            </w:r>
            <w:r w:rsidRPr="002734FD">
              <w:rPr>
                <w:rFonts w:ascii="Arial" w:hAnsi="Arial" w:cs="Arial"/>
                <w:noProof/>
                <w:webHidden/>
                <w:color w:val="000000" w:themeColor="text1"/>
              </w:rPr>
              <w:fldChar w:fldCharType="end"/>
            </w:r>
          </w:hyperlink>
        </w:p>
        <w:p w14:paraId="6D3A3172" w14:textId="51B91652"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hyperlink w:anchor="_Toc233881321" w:history="1">
            <w:r w:rsidRPr="002734FD">
              <w:rPr>
                <w:rStyle w:val="Hyperlink"/>
                <w:rFonts w:ascii="Arial" w:hAnsi="Arial" w:cs="Arial"/>
                <w:noProof/>
                <w:color w:val="000000" w:themeColor="text1"/>
              </w:rPr>
              <w:t>Local wellbeing initiatives</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_Toc233881321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7</w:t>
            </w:r>
            <w:r w:rsidRPr="002734FD">
              <w:rPr>
                <w:rFonts w:ascii="Arial" w:hAnsi="Arial" w:cs="Arial"/>
                <w:noProof/>
                <w:webHidden/>
                <w:color w:val="000000" w:themeColor="text1"/>
              </w:rPr>
              <w:fldChar w:fldCharType="end"/>
            </w:r>
          </w:hyperlink>
        </w:p>
        <w:p w14:paraId="6C87E157" w14:textId="6BF14227"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hyperlink w:anchor="_Toc233881322" w:history="1">
            <w:r w:rsidRPr="002734FD">
              <w:rPr>
                <w:rStyle w:val="Hyperlink"/>
                <w:rFonts w:ascii="Arial" w:hAnsi="Arial" w:cs="Arial"/>
                <w:noProof/>
                <w:color w:val="000000" w:themeColor="text1"/>
              </w:rPr>
              <w:t>Conclusion</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_Toc233881322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8</w:t>
            </w:r>
            <w:r w:rsidRPr="002734FD">
              <w:rPr>
                <w:rFonts w:ascii="Arial" w:hAnsi="Arial" w:cs="Arial"/>
                <w:noProof/>
                <w:webHidden/>
                <w:color w:val="000000" w:themeColor="text1"/>
              </w:rPr>
              <w:fldChar w:fldCharType="end"/>
            </w:r>
          </w:hyperlink>
        </w:p>
        <w:p w14:paraId="33DCC6CF" w14:textId="56E5B262" w:rsidR="002734FD" w:rsidRPr="002734FD" w:rsidRDefault="002734FD" w:rsidP="002734FD">
          <w:pPr>
            <w:pStyle w:val="TOC1"/>
            <w:tabs>
              <w:tab w:val="right" w:leader="dot" w:pos="9350"/>
            </w:tabs>
            <w:spacing w:line="360" w:lineRule="auto"/>
            <w:jc w:val="both"/>
            <w:rPr>
              <w:rFonts w:ascii="Arial" w:hAnsi="Arial" w:cs="Arial"/>
              <w:noProof/>
              <w:color w:val="000000" w:themeColor="text1"/>
            </w:rPr>
          </w:pPr>
          <w:hyperlink w:anchor="_Toc233881323" w:history="1">
            <w:r w:rsidRPr="002734FD">
              <w:rPr>
                <w:rStyle w:val="Hyperlink"/>
                <w:rFonts w:ascii="Arial" w:eastAsia="Arial" w:hAnsi="Arial" w:cs="Arial"/>
                <w:bCs/>
                <w:noProof/>
                <w:color w:val="000000" w:themeColor="text1"/>
              </w:rPr>
              <w:t>References</w:t>
            </w:r>
            <w:r w:rsidRPr="002734FD">
              <w:rPr>
                <w:rFonts w:ascii="Arial" w:hAnsi="Arial" w:cs="Arial"/>
                <w:noProof/>
                <w:webHidden/>
                <w:color w:val="000000" w:themeColor="text1"/>
              </w:rPr>
              <w:tab/>
            </w:r>
            <w:r w:rsidRPr="002734FD">
              <w:rPr>
                <w:rFonts w:ascii="Arial" w:hAnsi="Arial" w:cs="Arial"/>
                <w:noProof/>
                <w:webHidden/>
                <w:color w:val="000000" w:themeColor="text1"/>
              </w:rPr>
              <w:fldChar w:fldCharType="begin"/>
            </w:r>
            <w:r w:rsidRPr="002734FD">
              <w:rPr>
                <w:rFonts w:ascii="Arial" w:hAnsi="Arial" w:cs="Arial"/>
                <w:noProof/>
                <w:webHidden/>
                <w:color w:val="000000" w:themeColor="text1"/>
              </w:rPr>
              <w:instrText xml:space="preserve"> PAGEREF _Toc233881323 \h </w:instrText>
            </w:r>
            <w:r w:rsidRPr="002734FD">
              <w:rPr>
                <w:rFonts w:ascii="Arial" w:hAnsi="Arial" w:cs="Arial"/>
                <w:noProof/>
                <w:webHidden/>
                <w:color w:val="000000" w:themeColor="text1"/>
              </w:rPr>
            </w:r>
            <w:r w:rsidRPr="002734FD">
              <w:rPr>
                <w:rFonts w:ascii="Arial" w:hAnsi="Arial" w:cs="Arial"/>
                <w:noProof/>
                <w:webHidden/>
                <w:color w:val="000000" w:themeColor="text1"/>
              </w:rPr>
              <w:fldChar w:fldCharType="separate"/>
            </w:r>
            <w:r w:rsidRPr="002734FD">
              <w:rPr>
                <w:rFonts w:ascii="Arial" w:hAnsi="Arial" w:cs="Arial"/>
                <w:noProof/>
                <w:webHidden/>
                <w:color w:val="000000" w:themeColor="text1"/>
              </w:rPr>
              <w:t>9</w:t>
            </w:r>
            <w:r w:rsidRPr="002734FD">
              <w:rPr>
                <w:rFonts w:ascii="Arial" w:hAnsi="Arial" w:cs="Arial"/>
                <w:noProof/>
                <w:webHidden/>
                <w:color w:val="000000" w:themeColor="text1"/>
              </w:rPr>
              <w:fldChar w:fldCharType="end"/>
            </w:r>
          </w:hyperlink>
        </w:p>
        <w:p w14:paraId="21969AA3" w14:textId="44F92E6C" w:rsidR="002734FD" w:rsidRPr="002734FD" w:rsidRDefault="002734FD" w:rsidP="002734FD">
          <w:pPr>
            <w:spacing w:line="360" w:lineRule="auto"/>
            <w:jc w:val="both"/>
            <w:rPr>
              <w:rFonts w:ascii="Arial" w:hAnsi="Arial" w:cs="Arial"/>
              <w:color w:val="000000" w:themeColor="text1"/>
            </w:rPr>
          </w:pPr>
          <w:r w:rsidRPr="002734FD">
            <w:rPr>
              <w:rFonts w:ascii="Arial" w:hAnsi="Arial" w:cs="Arial"/>
              <w:b/>
              <w:bCs/>
              <w:noProof/>
              <w:color w:val="000000" w:themeColor="text1"/>
            </w:rPr>
            <w:fldChar w:fldCharType="end"/>
          </w:r>
        </w:p>
      </w:sdtContent>
    </w:sdt>
    <w:p w14:paraId="4BF7422C" w14:textId="77777777" w:rsidR="006163F8" w:rsidRPr="002734FD" w:rsidRDefault="006163F8">
      <w:pPr>
        <w:rPr>
          <w:rFonts w:ascii="Arial" w:hAnsi="Arial" w:cs="Arial"/>
          <w:color w:val="000000" w:themeColor="text1"/>
        </w:rPr>
      </w:pPr>
    </w:p>
    <w:p w14:paraId="4620E9D2" w14:textId="77777777" w:rsidR="006163F8" w:rsidRPr="002734FD" w:rsidRDefault="006163F8">
      <w:pPr>
        <w:rPr>
          <w:rFonts w:ascii="Arial" w:hAnsi="Arial" w:cs="Arial"/>
          <w:color w:val="000000" w:themeColor="text1"/>
        </w:rPr>
      </w:pPr>
    </w:p>
    <w:p w14:paraId="40420986" w14:textId="77777777" w:rsidR="006163F8" w:rsidRPr="002734FD" w:rsidRDefault="006163F8">
      <w:pPr>
        <w:rPr>
          <w:rFonts w:ascii="Arial" w:hAnsi="Arial" w:cs="Arial"/>
          <w:color w:val="000000" w:themeColor="text1"/>
        </w:rPr>
      </w:pPr>
    </w:p>
    <w:p w14:paraId="450045F4" w14:textId="77777777" w:rsidR="006163F8" w:rsidRPr="002734FD" w:rsidRDefault="006163F8">
      <w:pPr>
        <w:rPr>
          <w:rFonts w:ascii="Arial" w:hAnsi="Arial" w:cs="Arial"/>
          <w:color w:val="000000" w:themeColor="text1"/>
        </w:rPr>
      </w:pPr>
    </w:p>
    <w:p w14:paraId="5FF18E85" w14:textId="77777777" w:rsidR="006163F8" w:rsidRPr="002734FD" w:rsidRDefault="006163F8">
      <w:pPr>
        <w:rPr>
          <w:rFonts w:ascii="Arial" w:hAnsi="Arial" w:cs="Arial"/>
          <w:color w:val="000000" w:themeColor="text1"/>
        </w:rPr>
      </w:pPr>
    </w:p>
    <w:p w14:paraId="71354A2C" w14:textId="77777777" w:rsidR="006163F8" w:rsidRPr="002734FD" w:rsidRDefault="006163F8">
      <w:pPr>
        <w:rPr>
          <w:rFonts w:ascii="Arial" w:hAnsi="Arial" w:cs="Arial"/>
          <w:color w:val="000000" w:themeColor="text1"/>
        </w:rPr>
      </w:pPr>
    </w:p>
    <w:p w14:paraId="4A387563" w14:textId="77777777" w:rsidR="006163F8" w:rsidRPr="002734FD" w:rsidRDefault="006163F8">
      <w:pPr>
        <w:rPr>
          <w:rFonts w:ascii="Arial" w:hAnsi="Arial" w:cs="Arial"/>
          <w:color w:val="000000" w:themeColor="text1"/>
        </w:rPr>
      </w:pPr>
    </w:p>
    <w:p w14:paraId="783428FE" w14:textId="77777777" w:rsidR="006163F8" w:rsidRPr="002734FD" w:rsidRDefault="006163F8">
      <w:pPr>
        <w:rPr>
          <w:rFonts w:ascii="Arial" w:hAnsi="Arial" w:cs="Arial"/>
          <w:color w:val="000000" w:themeColor="text1"/>
        </w:rPr>
        <w:sectPr w:rsidR="006163F8" w:rsidRPr="002734FD" w:rsidSect="006163F8">
          <w:footerReference w:type="default" r:id="rId9"/>
          <w:pgSz w:w="12240" w:h="15840"/>
          <w:pgMar w:top="1440" w:right="1440" w:bottom="1440" w:left="1440" w:header="720" w:footer="720" w:gutter="0"/>
          <w:pgNumType w:fmt="lowerRoman"/>
          <w:cols w:space="720"/>
          <w:titlePg/>
          <w:docGrid w:linePitch="360"/>
        </w:sectPr>
      </w:pPr>
    </w:p>
    <w:p w14:paraId="154FC4FF" w14:textId="77777777" w:rsidR="00BD6EB7" w:rsidRPr="002734FD" w:rsidRDefault="00BD6EB7" w:rsidP="00BD6EB7">
      <w:pPr>
        <w:pStyle w:val="Heading1"/>
        <w:rPr>
          <w:rFonts w:cs="Arial"/>
        </w:rPr>
      </w:pPr>
      <w:bookmarkStart w:id="1" w:name="_Toc233881317"/>
      <w:r w:rsidRPr="002734FD">
        <w:rPr>
          <w:rFonts w:cs="Arial"/>
        </w:rPr>
        <w:lastRenderedPageBreak/>
        <w:t>Introduction</w:t>
      </w:r>
      <w:bookmarkEnd w:id="1"/>
    </w:p>
    <w:p w14:paraId="304539C3" w14:textId="1AB73F6F"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Health, wellbeing and sustainability are inextricably linked and are at the core of the United Nations' 2030 Agenda for Sustainable Development</w:t>
      </w:r>
      <w:r w:rsidR="00BD3FAC">
        <w:rPr>
          <w:rFonts w:ascii="Arial" w:hAnsi="Arial" w:cs="Arial"/>
          <w:color w:val="000000" w:themeColor="text1"/>
        </w:rPr>
        <w:t xml:space="preserve"> </w:t>
      </w:r>
      <w:r w:rsidR="00BD3FAC" w:rsidRPr="00BD3FAC">
        <w:rPr>
          <w:rFonts w:ascii="Arial" w:hAnsi="Arial" w:cs="Arial"/>
          <w:color w:val="000000" w:themeColor="text1"/>
        </w:rPr>
        <w:t>(Gupta, 2026)</w:t>
      </w:r>
      <w:r w:rsidRPr="002734FD">
        <w:rPr>
          <w:rFonts w:ascii="Arial" w:hAnsi="Arial" w:cs="Arial"/>
          <w:color w:val="000000" w:themeColor="text1"/>
        </w:rPr>
        <w:t>. This report critically explores the impact of two of the seventeen Sustainable Development Goals (SDGs), Good Health and Wellbeing (Goal 3) and Sustainable Cities and Communities (Goal 11)</w:t>
      </w:r>
      <w:r w:rsidR="00394A7B" w:rsidRPr="00394A7B">
        <w:rPr>
          <w:rFonts w:ascii="Arial" w:hAnsi="Arial" w:cs="Arial"/>
          <w:color w:val="040102"/>
          <w:sz w:val="21"/>
          <w:szCs w:val="21"/>
          <w:shd w:val="clear" w:color="auto" w:fill="FFFFFF"/>
        </w:rPr>
        <w:t xml:space="preserve"> </w:t>
      </w:r>
      <w:r w:rsidR="00394A7B" w:rsidRPr="00394A7B">
        <w:rPr>
          <w:rFonts w:ascii="Arial" w:hAnsi="Arial" w:cs="Arial"/>
          <w:color w:val="000000" w:themeColor="text1"/>
        </w:rPr>
        <w:t>(“Sustainable Development Goals,” 2026)</w:t>
      </w:r>
      <w:r w:rsidRPr="002734FD">
        <w:rPr>
          <w:rFonts w:ascii="Arial" w:hAnsi="Arial" w:cs="Arial"/>
          <w:color w:val="000000" w:themeColor="text1"/>
        </w:rPr>
        <w:t xml:space="preserve">, on the health and wellbeing of citizens at global, national and local levels. Goal 11 is chosen alongside Goal 3 because the built environment is one of the most consistently demonstrated factors of physical and mental health in high-income nations like the UK, especially air quality, housing and transport. It first sets out the central objectives of each of the goals and their relevance for citizens' health, and then reviews the effectiveness of two national and two local health, wellbeing and sustainable development </w:t>
      </w:r>
      <w:proofErr w:type="spellStart"/>
      <w:r w:rsidRPr="002734FD">
        <w:rPr>
          <w:rFonts w:ascii="Arial" w:hAnsi="Arial" w:cs="Arial"/>
          <w:color w:val="000000" w:themeColor="text1"/>
        </w:rPr>
        <w:t>programmes</w:t>
      </w:r>
      <w:proofErr w:type="spellEnd"/>
      <w:r w:rsidRPr="002734FD">
        <w:rPr>
          <w:rFonts w:ascii="Arial" w:hAnsi="Arial" w:cs="Arial"/>
          <w:color w:val="000000" w:themeColor="text1"/>
        </w:rPr>
        <w:t xml:space="preserve"> implemented in the United Kingdom, including a local case study of London, which has an unusually strong, peer-reviewed evidence base. Throughout, practical recommendations for improvement are provided and the report ends with a summary of the key findings.</w:t>
      </w:r>
    </w:p>
    <w:p w14:paraId="6AC5C07C" w14:textId="2820C8B4" w:rsidR="00BD6EB7" w:rsidRPr="002734FD" w:rsidRDefault="00BD6EB7" w:rsidP="00EF7EAC">
      <w:pPr>
        <w:pStyle w:val="Heading1"/>
        <w:rPr>
          <w:rFonts w:cs="Arial"/>
        </w:rPr>
      </w:pPr>
      <w:bookmarkStart w:id="2" w:name="_Toc233881318"/>
      <w:r w:rsidRPr="002734FD">
        <w:rPr>
          <w:rFonts w:cs="Arial"/>
        </w:rPr>
        <w:t>Sustainable Development Goal 3</w:t>
      </w:r>
      <w:bookmarkEnd w:id="2"/>
    </w:p>
    <w:p w14:paraId="3F763C4C" w14:textId="77777777"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SDG 3 is a pledge by the international community to “ensure healthy lives and promote well-being for all at all ages” (University of Southampton, 2024). Broadly, SDG 3 is designed to be more inclusive than previous global health agendas, covering thirteen targets from maternal and child mortality to communicable diseases (including TB, HIV and malaria), non-communicable diseases (NCDs, including cardiovascular disease, cancer and diabetes), mental health and substance misuse, road traffic injuries, sexual and reproductive health, universal health coverage (UHC), and risks from pollution and hazardous chemicals. These goals are underpinned by an understanding that good health is a prerequisite for, and a result of, sustainable development: citizens cannot access education, employment or community life without good health, and poverty, poor housing and environmental degradation have a negative impact on health.</w:t>
      </w:r>
    </w:p>
    <w:p w14:paraId="35F41523" w14:textId="5EF64D0A"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SDG 3 means real-life changes for citizens</w:t>
      </w:r>
      <w:r w:rsidR="00394A7B" w:rsidRPr="00394A7B">
        <w:rPr>
          <w:rFonts w:ascii="Arial" w:hAnsi="Arial" w:cs="Arial"/>
          <w:color w:val="040102"/>
          <w:sz w:val="21"/>
          <w:szCs w:val="21"/>
          <w:shd w:val="clear" w:color="auto" w:fill="FFFFFF"/>
        </w:rPr>
        <w:t xml:space="preserve"> </w:t>
      </w:r>
      <w:r w:rsidR="00394A7B" w:rsidRPr="00394A7B">
        <w:rPr>
          <w:rFonts w:ascii="Arial" w:hAnsi="Arial" w:cs="Arial"/>
          <w:color w:val="000000" w:themeColor="text1"/>
        </w:rPr>
        <w:t>(WHO, 2022)</w:t>
      </w:r>
      <w:r w:rsidRPr="002734FD">
        <w:rPr>
          <w:rFonts w:ascii="Arial" w:hAnsi="Arial" w:cs="Arial"/>
          <w:color w:val="000000" w:themeColor="text1"/>
        </w:rPr>
        <w:t xml:space="preserve">. A key target is universal health coverage, which means that everyone has access to essential health services without </w:t>
      </w:r>
      <w:r w:rsidRPr="002734FD">
        <w:rPr>
          <w:rFonts w:ascii="Arial" w:hAnsi="Arial" w:cs="Arial"/>
          <w:color w:val="000000" w:themeColor="text1"/>
        </w:rPr>
        <w:lastRenderedPageBreak/>
        <w:t xml:space="preserve">facing financial hardship. In the United Kingdom this principle is reflected in the National Health Service, which provides free access at the point of use, but the issue of universal access is still far from being </w:t>
      </w:r>
      <w:proofErr w:type="spellStart"/>
      <w:r w:rsidRPr="002734FD">
        <w:rPr>
          <w:rFonts w:ascii="Arial" w:hAnsi="Arial" w:cs="Arial"/>
          <w:color w:val="000000" w:themeColor="text1"/>
        </w:rPr>
        <w:t>realised</w:t>
      </w:r>
      <w:proofErr w:type="spellEnd"/>
      <w:r w:rsidRPr="002734FD">
        <w:rPr>
          <w:rFonts w:ascii="Arial" w:hAnsi="Arial" w:cs="Arial"/>
          <w:color w:val="000000" w:themeColor="text1"/>
        </w:rPr>
        <w:t>, and staffing levels, funding and waiting times are all live policy issues. The focus on non-communicable disease prevention in the goal is also important, as NCDs account for the bulk of deaths in the UK and targets on reducing premature mortality from NCDs directly influence UK policies on tobacco control, physical activity, diet and alcohol consumption. Mental health has also moved up the domestic policy agenda, with implications for funding services and their integration with physical health care, and was explicitly mentioned for the first time in a global development framework.</w:t>
      </w:r>
    </w:p>
    <w:p w14:paraId="6FDBBE46" w14:textId="0FB79B29"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 xml:space="preserve">SDG 3 also affects citizens by </w:t>
      </w:r>
      <w:proofErr w:type="spellStart"/>
      <w:r w:rsidRPr="002734FD">
        <w:rPr>
          <w:rFonts w:ascii="Arial" w:hAnsi="Arial" w:cs="Arial"/>
          <w:color w:val="000000" w:themeColor="text1"/>
        </w:rPr>
        <w:t>focussing</w:t>
      </w:r>
      <w:proofErr w:type="spellEnd"/>
      <w:r w:rsidRPr="002734FD">
        <w:rPr>
          <w:rFonts w:ascii="Arial" w:hAnsi="Arial" w:cs="Arial"/>
          <w:color w:val="000000" w:themeColor="text1"/>
        </w:rPr>
        <w:t xml:space="preserve"> on health inequalities. The target "for all" highlights the gap in life expectancy and disease burden between the most deprived and least deprived communities, and </w:t>
      </w:r>
      <w:proofErr w:type="spellStart"/>
      <w:r w:rsidRPr="002734FD">
        <w:rPr>
          <w:rFonts w:ascii="Arial" w:hAnsi="Arial" w:cs="Arial"/>
          <w:color w:val="000000" w:themeColor="text1"/>
        </w:rPr>
        <w:t>incentivises</w:t>
      </w:r>
      <w:proofErr w:type="spellEnd"/>
      <w:r w:rsidRPr="002734FD">
        <w:rPr>
          <w:rFonts w:ascii="Arial" w:hAnsi="Arial" w:cs="Arial"/>
          <w:color w:val="000000" w:themeColor="text1"/>
        </w:rPr>
        <w:t xml:space="preserve"> policy makers to develop interventions that address the needs of </w:t>
      </w:r>
      <w:proofErr w:type="spellStart"/>
      <w:r w:rsidRPr="002734FD">
        <w:rPr>
          <w:rFonts w:ascii="Arial" w:hAnsi="Arial" w:cs="Arial"/>
          <w:color w:val="000000" w:themeColor="text1"/>
        </w:rPr>
        <w:t>marginalised</w:t>
      </w:r>
      <w:proofErr w:type="spellEnd"/>
      <w:r w:rsidRPr="002734FD">
        <w:rPr>
          <w:rFonts w:ascii="Arial" w:hAnsi="Arial" w:cs="Arial"/>
          <w:color w:val="000000" w:themeColor="text1"/>
        </w:rPr>
        <w:t xml:space="preserve"> communities, not just average life expectancy. UK universities have been actively involved in this agenda</w:t>
      </w:r>
      <w:r w:rsidR="00EF7EAC" w:rsidRPr="002734FD">
        <w:rPr>
          <w:rFonts w:ascii="Arial" w:hAnsi="Arial" w:cs="Arial"/>
          <w:color w:val="000000" w:themeColor="text1"/>
        </w:rPr>
        <w:t>,</w:t>
      </w:r>
      <w:r w:rsidRPr="002734FD">
        <w:rPr>
          <w:rFonts w:ascii="Arial" w:hAnsi="Arial" w:cs="Arial"/>
          <w:color w:val="000000" w:themeColor="text1"/>
        </w:rPr>
        <w:t xml:space="preserve"> for instance, University College London promotes research with international partners on infectious disease control, while also hosting the UK's first World Health </w:t>
      </w:r>
      <w:proofErr w:type="spellStart"/>
      <w:r w:rsidRPr="002734FD">
        <w:rPr>
          <w:rFonts w:ascii="Arial" w:hAnsi="Arial" w:cs="Arial"/>
          <w:color w:val="000000" w:themeColor="text1"/>
        </w:rPr>
        <w:t>Organi</w:t>
      </w:r>
      <w:r w:rsidR="00EF7EAC" w:rsidRPr="002734FD">
        <w:rPr>
          <w:rFonts w:ascii="Arial" w:hAnsi="Arial" w:cs="Arial"/>
          <w:color w:val="000000" w:themeColor="text1"/>
        </w:rPr>
        <w:t>s</w:t>
      </w:r>
      <w:r w:rsidRPr="002734FD">
        <w:rPr>
          <w:rFonts w:ascii="Arial" w:hAnsi="Arial" w:cs="Arial"/>
          <w:color w:val="000000" w:themeColor="text1"/>
        </w:rPr>
        <w:t>ation</w:t>
      </w:r>
      <w:proofErr w:type="spellEnd"/>
      <w:r w:rsidRPr="002734FD">
        <w:rPr>
          <w:rFonts w:ascii="Arial" w:hAnsi="Arial" w:cs="Arial"/>
          <w:color w:val="000000" w:themeColor="text1"/>
        </w:rPr>
        <w:t xml:space="preserve"> Collaborating Centre for tuberculosis, which can support both domestic and global health systems at the same time (UCL, 2021). Finally, SDG 3 offers a way of linking individual clinical outcomes to the broader social, economic and environmental determinants of health, such that citizens' wellbeing is not only influenced by the provision of health care, but also by housing, income, education and the environment in which they live.</w:t>
      </w:r>
    </w:p>
    <w:p w14:paraId="5C1F661C" w14:textId="44BD5108" w:rsidR="00BD6EB7" w:rsidRPr="002734FD" w:rsidRDefault="00EF7EAC" w:rsidP="00EF7EAC">
      <w:pPr>
        <w:pStyle w:val="Heading1"/>
        <w:rPr>
          <w:rFonts w:cs="Arial"/>
        </w:rPr>
      </w:pPr>
      <w:bookmarkStart w:id="3" w:name="_Toc233881319"/>
      <w:r w:rsidRPr="002734FD">
        <w:rPr>
          <w:rFonts w:cs="Arial"/>
        </w:rPr>
        <w:t xml:space="preserve">Selected SDG: </w:t>
      </w:r>
      <w:r w:rsidR="00BD6EB7" w:rsidRPr="002734FD">
        <w:rPr>
          <w:rFonts w:cs="Arial"/>
        </w:rPr>
        <w:t>Sustainable Development Goal 11</w:t>
      </w:r>
      <w:bookmarkEnd w:id="3"/>
      <w:r w:rsidRPr="002734FD">
        <w:rPr>
          <w:rFonts w:cs="Arial"/>
        </w:rPr>
        <w:t xml:space="preserve"> </w:t>
      </w:r>
    </w:p>
    <w:p w14:paraId="3B9D228E" w14:textId="77777777"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 xml:space="preserve">The goal of SDG 11 is to make cities and human settlements inclusive, safe, resilient and sustainable (University of Exeter, n.d.). It has ten targets that span multiple aspects of urban life, including access to adequate, safe and affordable housing and basic services; safe, affordable and accessible transport systems; inclusive and participatory urban planning; protection of cultural and natural heritage; reduction of death and losses due to disasters; reduction of the environmental impact of cities, including air quality and waste management; and universal access to safe, inclusive green and public spaces. The </w:t>
      </w:r>
      <w:r w:rsidRPr="002734FD">
        <w:rPr>
          <w:rFonts w:ascii="Arial" w:hAnsi="Arial" w:cs="Arial"/>
          <w:color w:val="000000" w:themeColor="text1"/>
        </w:rPr>
        <w:lastRenderedPageBreak/>
        <w:t>targets are based on the understanding that the design, construction and management of cities directly impact the safety, environmental exposure and quality of life of their residents, especially as most of the world's population now lives in urban areas.</w:t>
      </w:r>
    </w:p>
    <w:p w14:paraId="16436805" w14:textId="79B73819"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Citizens' physical and mental health is closely linked to SDG 11. Air quality is a primary environmental risk factor for cardiovascular diseases, respiratory diseases, lung cancer and reduced lung development in children, and is a specific focus in the goal, with urban residents being disproportionately exposed as road transport is a major source of emissions in cities. Housing quality and affordability, a key focus, has an impact on health, for example, damp, cold, and overcrowding are associated with respiratory infections, poor mental health and childhood development issues</w:t>
      </w:r>
      <w:r w:rsidR="00394A7B" w:rsidRPr="00394A7B">
        <w:rPr>
          <w:rFonts w:ascii="Arial" w:hAnsi="Arial" w:cs="Arial"/>
          <w:color w:val="040102"/>
          <w:sz w:val="21"/>
          <w:szCs w:val="21"/>
          <w:shd w:val="clear" w:color="auto" w:fill="FFFFFF"/>
        </w:rPr>
        <w:t xml:space="preserve"> </w:t>
      </w:r>
      <w:r w:rsidR="00394A7B" w:rsidRPr="00394A7B">
        <w:rPr>
          <w:rFonts w:ascii="Arial" w:hAnsi="Arial" w:cs="Arial"/>
          <w:color w:val="000000" w:themeColor="text1"/>
        </w:rPr>
        <w:t>(Department of Health and Social Care, 2026)</w:t>
      </w:r>
      <w:r w:rsidRPr="002734FD">
        <w:rPr>
          <w:rFonts w:ascii="Arial" w:hAnsi="Arial" w:cs="Arial"/>
          <w:color w:val="000000" w:themeColor="text1"/>
        </w:rPr>
        <w:t>. Safe, green and public space, on the other hand, facilitates physical activity and mental wellbeing and promotes active modes of transport like walking and cycling that help to mitigate the burden of non-communicable diseases (NCDs) caused by sedentary lifestyles. Urban areas also have a strong equity dimension as they tend to be where the poorest people are most heavily exposed to traffic pollution, sub-standard housing and lack of green space, and sustainable urban policy must focus on these inequities as well as on improving average conditions.</w:t>
      </w:r>
    </w:p>
    <w:p w14:paraId="32FA57C4" w14:textId="77777777"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SDG 11 also has a direct link to SDG 3 as the built environment is one of the broader social and environmental determinants of health. UK universities have been actively involved in this agenda, for example, the UK's first World Health Organization Collaborating Centre for tuberculosis is at University College London, which shows how universities can link health research with the urban and environmental determinants of disease, and other UK universities, including Exeter University, are directly involved in research on health effects of air pollution and on climate-resilient urban planning (UCL, 2023; University of Exeter, n.d.). For the UK citizens specifically, SDG 11 requires action on vehicle emissions and industrial pollution, housing that is safe and warm, and increased equitable access to green and public space, so that the places people live do not become a source of ill health.</w:t>
      </w:r>
    </w:p>
    <w:p w14:paraId="4905CCC6" w14:textId="77777777" w:rsidR="00BD6EB7" w:rsidRPr="002734FD" w:rsidRDefault="00BD6EB7" w:rsidP="00EF7EAC">
      <w:pPr>
        <w:pStyle w:val="Heading1"/>
        <w:rPr>
          <w:rFonts w:cs="Arial"/>
        </w:rPr>
      </w:pPr>
      <w:bookmarkStart w:id="4" w:name="_Toc233881320"/>
      <w:r w:rsidRPr="002734FD">
        <w:rPr>
          <w:rFonts w:cs="Arial"/>
        </w:rPr>
        <w:lastRenderedPageBreak/>
        <w:t>National wellbeing initiatives</w:t>
      </w:r>
      <w:bookmarkEnd w:id="4"/>
    </w:p>
    <w:p w14:paraId="758FA3AC" w14:textId="6E696974" w:rsidR="00447211" w:rsidRDefault="00447211" w:rsidP="00BD6EB7">
      <w:pPr>
        <w:spacing w:line="360" w:lineRule="auto"/>
        <w:jc w:val="both"/>
        <w:rPr>
          <w:rFonts w:ascii="Arial" w:hAnsi="Arial" w:cs="Arial"/>
          <w:color w:val="000000" w:themeColor="text1"/>
        </w:rPr>
      </w:pPr>
      <w:r>
        <w:rPr>
          <w:rFonts w:ascii="Arial" w:hAnsi="Arial" w:cs="Arial"/>
          <w:color w:val="000000" w:themeColor="text1"/>
        </w:rPr>
        <w:t xml:space="preserve">There are several national initiatives that </w:t>
      </w:r>
      <w:r w:rsidR="00BD6EB7" w:rsidRPr="002734FD">
        <w:rPr>
          <w:rFonts w:ascii="Arial" w:hAnsi="Arial" w:cs="Arial"/>
          <w:color w:val="000000" w:themeColor="text1"/>
        </w:rPr>
        <w:t>reflect the UK's approach to the health, wellbeing and sustainability agenda.</w:t>
      </w:r>
      <w:r w:rsidR="00EF7EAC" w:rsidRPr="002734FD">
        <w:rPr>
          <w:rFonts w:ascii="Arial" w:hAnsi="Arial" w:cs="Arial"/>
          <w:color w:val="000000" w:themeColor="text1"/>
        </w:rPr>
        <w:t xml:space="preserve"> </w:t>
      </w:r>
      <w:r>
        <w:rPr>
          <w:rFonts w:ascii="Arial" w:hAnsi="Arial" w:cs="Arial"/>
          <w:color w:val="000000" w:themeColor="text1"/>
        </w:rPr>
        <w:t>Two of these include t</w:t>
      </w:r>
      <w:r w:rsidRPr="002734FD">
        <w:rPr>
          <w:rFonts w:ascii="Arial" w:hAnsi="Arial" w:cs="Arial"/>
          <w:color w:val="000000" w:themeColor="text1"/>
        </w:rPr>
        <w:t>he NHS Long Term Plan and the Clean Air Strategy 2019</w:t>
      </w:r>
      <w:r>
        <w:rPr>
          <w:rFonts w:ascii="Arial" w:hAnsi="Arial" w:cs="Arial"/>
          <w:color w:val="000000" w:themeColor="text1"/>
        </w:rPr>
        <w:t>.</w:t>
      </w:r>
    </w:p>
    <w:p w14:paraId="44414C76" w14:textId="25CA80D9" w:rsidR="00447211" w:rsidRPr="00447211" w:rsidRDefault="00447211" w:rsidP="00BD6EB7">
      <w:pPr>
        <w:spacing w:line="360" w:lineRule="auto"/>
        <w:jc w:val="both"/>
        <w:rPr>
          <w:rFonts w:ascii="Arial" w:hAnsi="Arial" w:cs="Arial"/>
          <w:b/>
          <w:bCs/>
          <w:color w:val="000000" w:themeColor="text1"/>
        </w:rPr>
      </w:pPr>
      <w:r w:rsidRPr="00447211">
        <w:rPr>
          <w:rFonts w:ascii="Arial" w:hAnsi="Arial" w:cs="Arial"/>
          <w:b/>
          <w:bCs/>
          <w:color w:val="000000" w:themeColor="text1"/>
        </w:rPr>
        <w:t>The NHS Longterm Plan</w:t>
      </w:r>
    </w:p>
    <w:p w14:paraId="1B7B091E" w14:textId="2C2FE3C2" w:rsidR="00BD6EB7" w:rsidRPr="002734FD" w:rsidRDefault="00447211" w:rsidP="00BD6EB7">
      <w:pPr>
        <w:spacing w:line="360" w:lineRule="auto"/>
        <w:jc w:val="both"/>
        <w:rPr>
          <w:rFonts w:ascii="Arial" w:hAnsi="Arial" w:cs="Arial"/>
          <w:color w:val="000000" w:themeColor="text1"/>
        </w:rPr>
      </w:pPr>
      <w:r>
        <w:rPr>
          <w:rFonts w:ascii="Arial" w:hAnsi="Arial" w:cs="Arial"/>
          <w:color w:val="000000" w:themeColor="text1"/>
        </w:rPr>
        <w:t xml:space="preserve">In </w:t>
      </w:r>
      <w:r w:rsidR="00BD6EB7" w:rsidRPr="002734FD">
        <w:rPr>
          <w:rFonts w:ascii="Arial" w:hAnsi="Arial" w:cs="Arial"/>
          <w:color w:val="000000" w:themeColor="text1"/>
        </w:rPr>
        <w:t xml:space="preserve">January 2019, the NHS Long Term Plan was published, which outlines a ten-year plan for the National Health Service in England, supported by additional funding, including increased investment in mental health and primary care, a stronger focus on prevention, and the development of integrated care systems to bring together NHS </w:t>
      </w:r>
      <w:proofErr w:type="spellStart"/>
      <w:r w:rsidR="00BD6EB7" w:rsidRPr="002734FD">
        <w:rPr>
          <w:rFonts w:ascii="Arial" w:hAnsi="Arial" w:cs="Arial"/>
          <w:color w:val="000000" w:themeColor="text1"/>
        </w:rPr>
        <w:t>organisations</w:t>
      </w:r>
      <w:proofErr w:type="spellEnd"/>
      <w:r w:rsidR="00BD6EB7" w:rsidRPr="002734FD">
        <w:rPr>
          <w:rFonts w:ascii="Arial" w:hAnsi="Arial" w:cs="Arial"/>
          <w:color w:val="000000" w:themeColor="text1"/>
        </w:rPr>
        <w:t xml:space="preserve"> and local government (NHS England, 2019). The plan is a significant and well-received move towards prevention and integration in line with SDG 3's focus on universal health coverage. </w:t>
      </w:r>
      <w:r w:rsidR="00EF7EAC" w:rsidRPr="002734FD">
        <w:rPr>
          <w:rFonts w:ascii="Arial" w:hAnsi="Arial" w:cs="Arial"/>
          <w:color w:val="000000" w:themeColor="text1"/>
        </w:rPr>
        <w:t>But</w:t>
      </w:r>
      <w:r w:rsidR="00BD6EB7" w:rsidRPr="002734FD">
        <w:rPr>
          <w:rFonts w:ascii="Arial" w:hAnsi="Arial" w:cs="Arial"/>
          <w:color w:val="000000" w:themeColor="text1"/>
        </w:rPr>
        <w:t xml:space="preserve"> there have been doubts about its effectiveness. In the BMJ, </w:t>
      </w:r>
      <w:proofErr w:type="spellStart"/>
      <w:r w:rsidR="00BD6EB7" w:rsidRPr="002734FD">
        <w:rPr>
          <w:rFonts w:ascii="Arial" w:hAnsi="Arial" w:cs="Arial"/>
          <w:color w:val="000000" w:themeColor="text1"/>
        </w:rPr>
        <w:t>Alderwick</w:t>
      </w:r>
      <w:proofErr w:type="spellEnd"/>
      <w:r w:rsidR="00BD6EB7" w:rsidRPr="002734FD">
        <w:rPr>
          <w:rFonts w:ascii="Arial" w:hAnsi="Arial" w:cs="Arial"/>
          <w:color w:val="000000" w:themeColor="text1"/>
        </w:rPr>
        <w:t xml:space="preserve"> and Dixon (2019) stated that the plan was “rightly ambitious” but that “delivery would rely on an adequately resourced workforce”, which was already under-resourced and was expected to be worse still. They also noted that “accountability for local delivery through integrated care systems was not clear”, as these systems did not have formal statutory accountability at the time. This indicates that national ambitious strategies can be </w:t>
      </w:r>
      <w:proofErr w:type="spellStart"/>
      <w:r w:rsidR="00BD6EB7" w:rsidRPr="002734FD">
        <w:rPr>
          <w:rFonts w:ascii="Arial" w:hAnsi="Arial" w:cs="Arial"/>
          <w:color w:val="000000" w:themeColor="text1"/>
        </w:rPr>
        <w:t>jeopardised</w:t>
      </w:r>
      <w:proofErr w:type="spellEnd"/>
      <w:r w:rsidR="00BD6EB7" w:rsidRPr="002734FD">
        <w:rPr>
          <w:rFonts w:ascii="Arial" w:hAnsi="Arial" w:cs="Arial"/>
          <w:color w:val="000000" w:themeColor="text1"/>
        </w:rPr>
        <w:t xml:space="preserve"> by inadequate focus on implementation capacity. For effectiveness, the plan could be better served by ring-fenced multi-year workforce funding and accountability mechanisms for integrated care systems that ensure that the ambitions for prevention translate into results for citizens.</w:t>
      </w:r>
    </w:p>
    <w:p w14:paraId="50EC28FE" w14:textId="475C2767" w:rsidR="00447211" w:rsidRPr="00447211" w:rsidRDefault="00447211" w:rsidP="00BD6EB7">
      <w:pPr>
        <w:spacing w:line="360" w:lineRule="auto"/>
        <w:jc w:val="both"/>
        <w:rPr>
          <w:rFonts w:ascii="Arial" w:hAnsi="Arial" w:cs="Arial"/>
          <w:b/>
          <w:bCs/>
          <w:color w:val="000000" w:themeColor="text1"/>
        </w:rPr>
      </w:pPr>
      <w:r w:rsidRPr="00447211">
        <w:rPr>
          <w:rFonts w:ascii="Arial" w:hAnsi="Arial" w:cs="Arial"/>
          <w:b/>
          <w:bCs/>
          <w:color w:val="000000" w:themeColor="text1"/>
        </w:rPr>
        <w:t>The Clean Air Strategy 2019</w:t>
      </w:r>
    </w:p>
    <w:p w14:paraId="5A199425" w14:textId="1E662D7F"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 xml:space="preserve">The Clean Air Strategy 2019, published by the Department for Environment, Food and Rural Affairs, outlined a national plan to reduce air pollution, including a goal to reduce the number of people living in areas in excess of the World Health Organization guideline limit for fine particulate matter (PM2.5) by 50% by 2025, and new powers for local authorities to address pollution hotspots (Department for Environment, Food and Rural Affairs, 2019). This directly contributes to SDG 11's target to reduce the environmental impact of cities, and has obvious benefits for SDG 3, as air pollution is a contributor to </w:t>
      </w:r>
      <w:r w:rsidRPr="002734FD">
        <w:rPr>
          <w:rFonts w:ascii="Arial" w:hAnsi="Arial" w:cs="Arial"/>
          <w:color w:val="000000" w:themeColor="text1"/>
        </w:rPr>
        <w:lastRenderedPageBreak/>
        <w:t>cardiovascular and respiratory disease. But a later investigation by the House of Commons Environment, Food and Rural Affairs Committee (2021) identified a number of weaknesses in the strategy: it was identified as being overly reliant on under-resourced local authorities, lacking in ambition in relation to the size of the air pollution problem in England, and the headline target for PM2.5 was not backed by a legally binding timetable. The Committee advised a legally binding target, in line with WHO recommendations, and long-term funding for local authorities. This implies that national environmental strategies, as with national health strategies, can be undermined if ambitious targets are not backed up with statutory powers or sufficient local resources to deliver them, and supports the argument for binding targets and ringfenced funding as a precondition for success.</w:t>
      </w:r>
    </w:p>
    <w:p w14:paraId="22553DE3" w14:textId="77777777" w:rsidR="00BD6EB7" w:rsidRPr="002734FD" w:rsidRDefault="00BD6EB7" w:rsidP="00EF7EAC">
      <w:pPr>
        <w:pStyle w:val="Heading1"/>
        <w:rPr>
          <w:rFonts w:cs="Arial"/>
        </w:rPr>
      </w:pPr>
      <w:bookmarkStart w:id="5" w:name="_Toc233881321"/>
      <w:r w:rsidRPr="002734FD">
        <w:rPr>
          <w:rFonts w:cs="Arial"/>
        </w:rPr>
        <w:t>Local wellbeing initiatives</w:t>
      </w:r>
      <w:bookmarkEnd w:id="5"/>
    </w:p>
    <w:p w14:paraId="3B33FD44" w14:textId="77777777" w:rsidR="00BD6EB7"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 xml:space="preserve">London offers two local-level sustainability-health initiatives, both of which have been well evaluated: the Ultra Low Emission Zone and the Outer London active travel </w:t>
      </w:r>
      <w:proofErr w:type="spellStart"/>
      <w:r w:rsidRPr="002734FD">
        <w:rPr>
          <w:rFonts w:ascii="Arial" w:hAnsi="Arial" w:cs="Arial"/>
          <w:color w:val="000000" w:themeColor="text1"/>
        </w:rPr>
        <w:t>programme</w:t>
      </w:r>
      <w:proofErr w:type="spellEnd"/>
      <w:r w:rsidRPr="002734FD">
        <w:rPr>
          <w:rFonts w:ascii="Arial" w:hAnsi="Arial" w:cs="Arial"/>
          <w:color w:val="000000" w:themeColor="text1"/>
        </w:rPr>
        <w:t>, which is also referred to as the "Mini-Holland" scheme.</w:t>
      </w:r>
    </w:p>
    <w:p w14:paraId="5487DE56" w14:textId="77777777" w:rsidR="00BD6EB7"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 xml:space="preserve">The Ultra Low Emission Zone (ULEZ) was introduced by the Mayor of London in April 2019 and will be extended to cover all Greater London in 2023, and is designed to reduce road transport emissions and the ill health they cause by charging a daily fee for the most polluting vehicles to enter the zone. The scheme has shown significant measurable impact: nitrogen dioxide levels are projected to be 41% lower in 2026 than they would have been without the scheme, and fine particulate matter (PM2.5) 28% lower, while the number of deaths attributable to toxic air are expected to have reduced by approximately 40% since the scheme's launch (Mayor of London, 2026). A study by researchers at Imperial College London using interrupted time-series analysis also showed that the ULEZ and its predecessor, the Toxicity Charge, were associated with a decrease in emergency hospital admissions for adults, which offers independent peer-reviewed support for the health benefits of the scheme, though the evidence for respiratory conditions was less clear and further research was recommended (Chamberlain et al., 2026). The unique mix of city data routinely monitored and independent academic evaluation makes ULEZ one of the most robustly evidenced local health-and-sustainability interventions in the UK. Policymakers should also focus on targeted </w:t>
      </w:r>
      <w:r w:rsidRPr="002734FD">
        <w:rPr>
          <w:rFonts w:ascii="Arial" w:hAnsi="Arial" w:cs="Arial"/>
          <w:color w:val="000000" w:themeColor="text1"/>
        </w:rPr>
        <w:lastRenderedPageBreak/>
        <w:t>research on child respiratory health, as children are especially vulnerable to air pollution, and continue to make scrappage support available, so that low-income residents are not disproportionately affected by compliance costs.</w:t>
      </w:r>
    </w:p>
    <w:p w14:paraId="7BE8036B" w14:textId="77438F59" w:rsidR="00BD3FAC" w:rsidRPr="00BD3FAC" w:rsidRDefault="00BD3FAC" w:rsidP="00BD3FAC">
      <w:pPr>
        <w:spacing w:line="360" w:lineRule="auto"/>
        <w:jc w:val="both"/>
        <w:rPr>
          <w:rFonts w:ascii="Arial" w:hAnsi="Arial" w:cs="Arial"/>
          <w:color w:val="000000" w:themeColor="text1"/>
          <w:lang w:val="en-GB"/>
        </w:rPr>
      </w:pPr>
      <w:r w:rsidRPr="00BD3FAC">
        <w:rPr>
          <w:rFonts w:ascii="Arial" w:hAnsi="Arial" w:cs="Arial"/>
          <w:color w:val="000000" w:themeColor="text1"/>
          <w:lang w:val="en-GB"/>
        </w:rPr>
        <w:t>Social prescribing, which allows medical professionals to refer patients to non-clinical community services like exercise programs, social groups, financial advice, and volunteer opportunities to address the broader determinants of health, is a significant local initiative supporting SDG 3: Good Health and Well-Being. Social prescribing, which was implemented throughout England through Primary Care Networks, seeks to enhance mental health, lessen loneliness, and assist those with chronic illnesses. Participation in social prescribing was linked to improvements in mental wellbeing, quality of life, and self-management of long-term conditions, as well as less strain on GP services and other NHS resources, according to an independent evaluation conducted by the University of Westminster (Dayson and Bashir, 2014).</w:t>
      </w:r>
      <w:r>
        <w:rPr>
          <w:rFonts w:ascii="Arial" w:hAnsi="Arial" w:cs="Arial"/>
          <w:color w:val="000000" w:themeColor="text1"/>
          <w:lang w:val="en-GB"/>
        </w:rPr>
        <w:t xml:space="preserve"> </w:t>
      </w:r>
      <w:r w:rsidRPr="00BD3FAC">
        <w:rPr>
          <w:rFonts w:ascii="Arial" w:hAnsi="Arial" w:cs="Arial"/>
          <w:color w:val="000000" w:themeColor="text1"/>
          <w:lang w:val="en-GB"/>
        </w:rPr>
        <w:t>In a similar vein, NHS England (2023) revealed that since 2019, over 2.5 million individuals have been referred to social prescribing link workers, indicating their expanding importance in preventive and individualised treatment. These successes show that social prescribing has significantly improved health outcomes and decreased health disparities in nearby areas. However, public awareness, sustained finance, and the presence of community organisations can all affect how effective it is. The long-term effects of social prescribing would be further improved and SDG 3 would be supported by increasing funding for volunteer and community sector services and conducting regular outcome evaluations.</w:t>
      </w:r>
    </w:p>
    <w:p w14:paraId="64F32DB8" w14:textId="77777777" w:rsidR="00BD3FAC" w:rsidRPr="002734FD" w:rsidRDefault="00BD3FAC" w:rsidP="00BD6EB7">
      <w:pPr>
        <w:spacing w:line="360" w:lineRule="auto"/>
        <w:jc w:val="both"/>
        <w:rPr>
          <w:rFonts w:ascii="Arial" w:hAnsi="Arial" w:cs="Arial"/>
          <w:color w:val="000000" w:themeColor="text1"/>
        </w:rPr>
      </w:pPr>
    </w:p>
    <w:p w14:paraId="173E54F5" w14:textId="77777777" w:rsidR="00BD6EB7" w:rsidRPr="002734FD" w:rsidRDefault="00BD6EB7" w:rsidP="00EF7EAC">
      <w:pPr>
        <w:pStyle w:val="Heading1"/>
        <w:rPr>
          <w:rFonts w:cs="Arial"/>
        </w:rPr>
      </w:pPr>
      <w:bookmarkStart w:id="6" w:name="_Toc233881322"/>
      <w:r w:rsidRPr="002734FD">
        <w:rPr>
          <w:rFonts w:cs="Arial"/>
        </w:rPr>
        <w:t>Conclusion</w:t>
      </w:r>
      <w:bookmarkEnd w:id="6"/>
    </w:p>
    <w:p w14:paraId="528CA21E" w14:textId="6B84E93F" w:rsidR="006163F8" w:rsidRPr="002734FD" w:rsidRDefault="00BD6EB7" w:rsidP="00BD6EB7">
      <w:pPr>
        <w:spacing w:line="360" w:lineRule="auto"/>
        <w:jc w:val="both"/>
        <w:rPr>
          <w:rFonts w:ascii="Arial" w:hAnsi="Arial" w:cs="Arial"/>
          <w:color w:val="000000" w:themeColor="text1"/>
        </w:rPr>
      </w:pPr>
      <w:r w:rsidRPr="002734FD">
        <w:rPr>
          <w:rFonts w:ascii="Arial" w:hAnsi="Arial" w:cs="Arial"/>
          <w:color w:val="000000" w:themeColor="text1"/>
        </w:rPr>
        <w:t>This report has revealed that SDG 3 and SDG 11 are strongly interdependent factors that influence the health and wellbeing of citizens at all levels of governance, through the provision of universal health coverage, disease prevention, air quality and the built environment. At a national level, the NHS Long Term Plan and the Clean Air Strategy 2019 are examples of ambitious policy that can make a difference</w:t>
      </w:r>
      <w:r w:rsidR="00EF7EAC" w:rsidRPr="002734FD">
        <w:rPr>
          <w:rFonts w:ascii="Arial" w:hAnsi="Arial" w:cs="Arial"/>
          <w:color w:val="000000" w:themeColor="text1"/>
        </w:rPr>
        <w:t>,</w:t>
      </w:r>
      <w:r w:rsidRPr="002734FD">
        <w:rPr>
          <w:rFonts w:ascii="Arial" w:hAnsi="Arial" w:cs="Arial"/>
          <w:color w:val="000000" w:themeColor="text1"/>
        </w:rPr>
        <w:t xml:space="preserve"> but only if there is sufficient investment in staff, statutory powers and local funding. Locally, the evidence of </w:t>
      </w:r>
      <w:r w:rsidRPr="002734FD">
        <w:rPr>
          <w:rFonts w:ascii="Arial" w:hAnsi="Arial" w:cs="Arial"/>
          <w:color w:val="000000" w:themeColor="text1"/>
        </w:rPr>
        <w:lastRenderedPageBreak/>
        <w:t xml:space="preserve">the Ultra Low Emission Zone and the Outer London active travel </w:t>
      </w:r>
      <w:proofErr w:type="spellStart"/>
      <w:r w:rsidRPr="002734FD">
        <w:rPr>
          <w:rFonts w:ascii="Arial" w:hAnsi="Arial" w:cs="Arial"/>
          <w:color w:val="000000" w:themeColor="text1"/>
        </w:rPr>
        <w:t>programme</w:t>
      </w:r>
      <w:proofErr w:type="spellEnd"/>
      <w:r w:rsidRPr="002734FD">
        <w:rPr>
          <w:rFonts w:ascii="Arial" w:hAnsi="Arial" w:cs="Arial"/>
          <w:color w:val="000000" w:themeColor="text1"/>
        </w:rPr>
        <w:t xml:space="preserve"> </w:t>
      </w:r>
      <w:r w:rsidR="00EF7EAC" w:rsidRPr="002734FD">
        <w:rPr>
          <w:rFonts w:ascii="Arial" w:hAnsi="Arial" w:cs="Arial"/>
          <w:color w:val="000000" w:themeColor="text1"/>
        </w:rPr>
        <w:t>demonstrate</w:t>
      </w:r>
      <w:r w:rsidRPr="002734FD">
        <w:rPr>
          <w:rFonts w:ascii="Arial" w:hAnsi="Arial" w:cs="Arial"/>
          <w:color w:val="000000" w:themeColor="text1"/>
        </w:rPr>
        <w:t xml:space="preserve"> the health and economic benefits that can be achieved from place-based, rigorously evaluated interventions, when equity issues and public consultation are considered. Continued coordinated action at all levels of government, supported by strong independent assessment, is needed to secure sustained improvements in health and wellbeing.</w:t>
      </w:r>
    </w:p>
    <w:p w14:paraId="74B96F38" w14:textId="77777777" w:rsidR="00BD6EB7" w:rsidRPr="002734FD" w:rsidRDefault="00BD6EB7" w:rsidP="00BD6EB7">
      <w:pPr>
        <w:spacing w:line="360" w:lineRule="auto"/>
        <w:jc w:val="both"/>
        <w:rPr>
          <w:rFonts w:ascii="Arial" w:hAnsi="Arial" w:cs="Arial"/>
          <w:color w:val="000000" w:themeColor="text1"/>
        </w:rPr>
      </w:pPr>
    </w:p>
    <w:p w14:paraId="660EA569" w14:textId="77777777" w:rsidR="00EF7EAC" w:rsidRPr="002734FD" w:rsidRDefault="00EF7EAC" w:rsidP="00131E88">
      <w:pPr>
        <w:pStyle w:val="Heading1"/>
        <w:spacing w:before="300" w:after="200"/>
        <w:jc w:val="left"/>
        <w:rPr>
          <w:rFonts w:cs="Arial"/>
          <w:szCs w:val="24"/>
        </w:rPr>
      </w:pPr>
      <w:bookmarkStart w:id="7" w:name="_Toc233881323"/>
      <w:r w:rsidRPr="002734FD">
        <w:rPr>
          <w:rFonts w:eastAsia="Arial" w:cs="Arial"/>
          <w:bCs/>
          <w:szCs w:val="24"/>
        </w:rPr>
        <w:t>References</w:t>
      </w:r>
      <w:bookmarkEnd w:id="7"/>
    </w:p>
    <w:p w14:paraId="5AEC9046" w14:textId="77777777" w:rsidR="00EF7EAC" w:rsidRPr="002734FD" w:rsidRDefault="00EF7EAC" w:rsidP="00E25688">
      <w:r w:rsidRPr="002734FD">
        <w:t xml:space="preserve">Aldred, R., Goodman, A. and Woodcock, J. (2024) 'Impacts of active travel interventions on travel </w:t>
      </w:r>
      <w:proofErr w:type="spellStart"/>
      <w:r w:rsidRPr="002734FD">
        <w:t>behaviour</w:t>
      </w:r>
      <w:proofErr w:type="spellEnd"/>
      <w:r w:rsidRPr="002734FD">
        <w:t xml:space="preserve"> and health: results from a five-year longitudinal travel survey in Outer London', Journal of Transport &amp; Health, 35, 101771. Available at: https://doi.org/10.1016/j.jth.2024.101771 (Accessed: 2 July 2026).</w:t>
      </w:r>
    </w:p>
    <w:p w14:paraId="4067B32F" w14:textId="77777777" w:rsidR="00EF7EAC" w:rsidRPr="002734FD" w:rsidRDefault="00EF7EAC" w:rsidP="00E25688">
      <w:proofErr w:type="spellStart"/>
      <w:r w:rsidRPr="002734FD">
        <w:t>Alderwick</w:t>
      </w:r>
      <w:proofErr w:type="spellEnd"/>
      <w:r w:rsidRPr="002734FD">
        <w:t>, H. and Dixon, J. (2019) 'The NHS long term plan', BMJ, 364, l84. Available at: https://doi.org/10.1136/bmj.l84 (Accessed: 2 July 2026).</w:t>
      </w:r>
    </w:p>
    <w:p w14:paraId="6551DF2C" w14:textId="77777777" w:rsidR="00EF7EAC" w:rsidRPr="002734FD" w:rsidRDefault="00EF7EAC" w:rsidP="00E25688">
      <w:r w:rsidRPr="002734FD">
        <w:t xml:space="preserve">Chamberlain, R.C., </w:t>
      </w:r>
      <w:proofErr w:type="spellStart"/>
      <w:r w:rsidRPr="002734FD">
        <w:t>Hodsoll</w:t>
      </w:r>
      <w:proofErr w:type="spellEnd"/>
      <w:r w:rsidRPr="002734FD">
        <w:t xml:space="preserve">, J., Cai, C., Griffiths, C., Kelly, F., Beevers, S., Stewart, G., </w:t>
      </w:r>
      <w:proofErr w:type="spellStart"/>
      <w:r w:rsidRPr="002734FD">
        <w:t>Blangiardo</w:t>
      </w:r>
      <w:proofErr w:type="spellEnd"/>
      <w:r w:rsidRPr="002734FD">
        <w:t>, M., Elliott, P., Davies, B. and Fecht, D. (2026) 'Association of vehicle emission charging zones with adult emergency hospital admissions: an interrupted time series analysis of the toxicity charge and Ultra Low Emission Zone in London, UK', Environment International. Available at: https://doi.org/10.1016/j.envint.2026.110324 (Accessed: 2 July 2026).</w:t>
      </w:r>
    </w:p>
    <w:p w14:paraId="10EB97AB" w14:textId="77777777" w:rsidR="00EF7EAC" w:rsidRDefault="00EF7EAC" w:rsidP="00E25688">
      <w:r w:rsidRPr="002734FD">
        <w:t>Department for Environment, Food and Rural Affairs (2019) Clean Air Strategy 2019. London: Defra. Available at: https://www.gov.uk/government/publications/clean-air-strategy-2019/clean-air-strategy-2019-executive-summary (Accessed: 2 July 2026).</w:t>
      </w:r>
    </w:p>
    <w:p w14:paraId="02735D57" w14:textId="51D25AA6" w:rsidR="00394A7B" w:rsidRPr="00394A7B" w:rsidRDefault="00394A7B" w:rsidP="00E25688">
      <w:pPr>
        <w:rPr>
          <w:lang w:val="en-GB"/>
        </w:rPr>
      </w:pPr>
      <w:r w:rsidRPr="00394A7B">
        <w:rPr>
          <w:lang w:val="en-GB"/>
        </w:rPr>
        <w:t xml:space="preserve">Department of Health and Social Care. (2026, June 5). </w:t>
      </w:r>
      <w:r w:rsidRPr="00394A7B">
        <w:rPr>
          <w:i/>
          <w:iCs/>
          <w:lang w:val="en-GB"/>
        </w:rPr>
        <w:t>Housing and health in local strategic health planning</w:t>
      </w:r>
      <w:r w:rsidRPr="00394A7B">
        <w:rPr>
          <w:lang w:val="en-GB"/>
        </w:rPr>
        <w:t>. GOV.UK. https://www.gov.uk/government/publications/housing-and-health-in-local-strategic-health-planning</w:t>
      </w:r>
    </w:p>
    <w:p w14:paraId="4DBE6C17" w14:textId="533BF4EF" w:rsidR="00BD3FAC" w:rsidRPr="00BD3FAC" w:rsidRDefault="00BD3FAC" w:rsidP="00E25688">
      <w:pPr>
        <w:rPr>
          <w:lang w:val="en-GB"/>
        </w:rPr>
      </w:pPr>
      <w:r w:rsidRPr="00BD3FAC">
        <w:rPr>
          <w:lang w:val="en-GB"/>
        </w:rPr>
        <w:t xml:space="preserve">Gupta, S. D. (2026). Systems Thinking: Way Forward to Achieve Good Health and Well-being, the SDG 3. </w:t>
      </w:r>
      <w:r w:rsidRPr="00BD3FAC">
        <w:rPr>
          <w:i/>
          <w:iCs/>
          <w:lang w:val="en-GB"/>
        </w:rPr>
        <w:t>Journal of Health Management</w:t>
      </w:r>
      <w:r w:rsidRPr="00BD3FAC">
        <w:rPr>
          <w:lang w:val="en-GB"/>
        </w:rPr>
        <w:t xml:space="preserve">, </w:t>
      </w:r>
      <w:r w:rsidRPr="00BD3FAC">
        <w:rPr>
          <w:i/>
          <w:iCs/>
          <w:lang w:val="en-GB"/>
        </w:rPr>
        <w:t>28</w:t>
      </w:r>
      <w:r w:rsidRPr="00BD3FAC">
        <w:rPr>
          <w:lang w:val="en-GB"/>
        </w:rPr>
        <w:t>(1), 7–7. https://doi.org/10.1177/09720634251414914</w:t>
      </w:r>
    </w:p>
    <w:p w14:paraId="39263830" w14:textId="77777777" w:rsidR="00EF7EAC" w:rsidRPr="002734FD" w:rsidRDefault="00EF7EAC" w:rsidP="00E25688">
      <w:r w:rsidRPr="002734FD">
        <w:t xml:space="preserve">House of Commons Environment, Food and Rural Affairs Committee (2021) Air quality and coronavirus: a glimpse of a different future or business as usual? Fifth Report of Session 2019–21, HC 686. London: House of Commons. Available at: </w:t>
      </w:r>
      <w:r w:rsidRPr="002734FD">
        <w:lastRenderedPageBreak/>
        <w:t>https://publications.parliament.uk/pa/cm5801/cmselect/cmenvfru/468/46807.htm (Accessed: 2 July 2026).</w:t>
      </w:r>
    </w:p>
    <w:p w14:paraId="0A4664B4" w14:textId="77777777" w:rsidR="00EF7EAC" w:rsidRPr="002734FD" w:rsidRDefault="00EF7EAC" w:rsidP="00E25688">
      <w:r w:rsidRPr="002734FD">
        <w:t>Mayor of London (2026) Mayor hails huge success of landmark ULEZ and bold clean air policies as deaths linked to toxic air fall by around 40 per cent. London: Greater London Authority. Available at: https://www.london.gov.uk/Mayor%20hails%20huge%20success%20of%20landmark%20ULEZ%20and%20bold%20clean%20air%20policies%20as%20deaths%20linked%20to%20toxic%20air%20fall%20by%20around%2040%20per%20cent (Accessed: 2 July 2026).</w:t>
      </w:r>
    </w:p>
    <w:p w14:paraId="49920A02" w14:textId="77777777" w:rsidR="00EF7EAC" w:rsidRDefault="00EF7EAC" w:rsidP="00E25688">
      <w:r w:rsidRPr="002734FD">
        <w:t>NHS England (2019) The NHS Long Term Plan. London: NHS England. Available at: https://www.longtermplan.nhs.uk (Accessed: 2 July 2026).</w:t>
      </w:r>
    </w:p>
    <w:p w14:paraId="61703EEE" w14:textId="7F3933E3" w:rsidR="00394A7B" w:rsidRPr="00394A7B" w:rsidRDefault="00394A7B" w:rsidP="00E25688">
      <w:pPr>
        <w:rPr>
          <w:lang w:val="en-GB"/>
        </w:rPr>
      </w:pPr>
      <w:r w:rsidRPr="00394A7B">
        <w:rPr>
          <w:lang w:val="en-GB"/>
        </w:rPr>
        <w:t xml:space="preserve">Sustainable Development Goals. (2026). In </w:t>
      </w:r>
      <w:r w:rsidRPr="00394A7B">
        <w:rPr>
          <w:i/>
          <w:iCs/>
          <w:lang w:val="en-GB"/>
        </w:rPr>
        <w:t>UNDP</w:t>
      </w:r>
      <w:r w:rsidRPr="00394A7B">
        <w:rPr>
          <w:lang w:val="en-GB"/>
        </w:rPr>
        <w:t>. https://www.undp.org/arab-states/sustainable-development-goals/good-health</w:t>
      </w:r>
    </w:p>
    <w:p w14:paraId="0296C68C" w14:textId="77777777" w:rsidR="00EF7EAC" w:rsidRPr="002734FD" w:rsidRDefault="00EF7EAC" w:rsidP="00E25688">
      <w:r w:rsidRPr="002734FD">
        <w:t>UCL (2021) SDG 3: Good health and well-being. London: University College London. Available at: https://www.ucl.ac.uk/sustainable-development-goals/sdg-3-good-health-and-well-being (Accessed: 2 July 2026).</w:t>
      </w:r>
    </w:p>
    <w:p w14:paraId="6D4B97D6" w14:textId="77777777" w:rsidR="00EF7EAC" w:rsidRPr="002734FD" w:rsidRDefault="00EF7EAC" w:rsidP="00E25688">
      <w:r w:rsidRPr="002734FD">
        <w:t>UCL (2023) UCL institute becomes UK's first World Health Organization Collaborating Centre to help beat tuberculosis. London: University College London. Available at: https://www.ucl.ac.uk/sustainable-development-goals/case-studies/2023/dec/ucl-institute-becomes-uks-first-who-collaborating-centre-help-beat (Accessed: 2 July 2026).</w:t>
      </w:r>
    </w:p>
    <w:p w14:paraId="080CE8AE" w14:textId="77777777" w:rsidR="00EF7EAC" w:rsidRPr="002734FD" w:rsidRDefault="00EF7EAC" w:rsidP="00E25688">
      <w:r w:rsidRPr="002734FD">
        <w:t>University of Exeter (n.d.) SDG 11: Sustainable Cities and Communities. Exeter: University of Exeter. Available at: https://www.exeter.ac.uk/sustainable-development-goals/sustainable-cities-and-communities/ (Accessed: 2 July 2026).</w:t>
      </w:r>
    </w:p>
    <w:p w14:paraId="72471008" w14:textId="77777777" w:rsidR="00EF7EAC" w:rsidRDefault="00EF7EAC" w:rsidP="00E25688">
      <w:r w:rsidRPr="002734FD">
        <w:t>University of Southampton (n.d.) SDG3 Good health and wellbeing. Southampton: University of Southampton. Available at: https://www.southampton.ac.uk/publicpolicy/support-for-researchers/policy%20briefs/sdg3-good-health-and-wellbeing.page (Accessed: 2 July 2026).</w:t>
      </w:r>
    </w:p>
    <w:p w14:paraId="4AFE02DB" w14:textId="77777777" w:rsidR="00394A7B" w:rsidRPr="00394A7B" w:rsidRDefault="00394A7B" w:rsidP="00394A7B">
      <w:pPr>
        <w:rPr>
          <w:lang w:val="en-GB"/>
        </w:rPr>
      </w:pPr>
      <w:r w:rsidRPr="00394A7B">
        <w:rPr>
          <w:lang w:val="en-GB"/>
        </w:rPr>
        <w:t xml:space="preserve">WHO. (2022). Targets of sustainable development goal 3. In </w:t>
      </w:r>
      <w:r w:rsidRPr="00394A7B">
        <w:rPr>
          <w:i/>
          <w:iCs/>
          <w:lang w:val="en-GB"/>
        </w:rPr>
        <w:t>World Health Organisation</w:t>
      </w:r>
      <w:r w:rsidRPr="00394A7B">
        <w:rPr>
          <w:lang w:val="en-GB"/>
        </w:rPr>
        <w:t>. https://www.who.int/europe/about-us/our-work/sustainable-development-goals/targets-of-sustainable-development-goal-3</w:t>
      </w:r>
    </w:p>
    <w:p w14:paraId="293C1112" w14:textId="77777777" w:rsidR="00394A7B" w:rsidRPr="002734FD" w:rsidRDefault="00394A7B" w:rsidP="00E25688"/>
    <w:p w14:paraId="7C10CA30" w14:textId="77777777" w:rsidR="00BD6EB7" w:rsidRPr="002734FD" w:rsidRDefault="00BD6EB7" w:rsidP="00BD6EB7">
      <w:pPr>
        <w:spacing w:line="360" w:lineRule="auto"/>
        <w:jc w:val="both"/>
        <w:rPr>
          <w:rFonts w:ascii="Arial" w:hAnsi="Arial" w:cs="Arial"/>
          <w:color w:val="000000" w:themeColor="text1"/>
        </w:rPr>
      </w:pPr>
    </w:p>
    <w:p w14:paraId="76E65751" w14:textId="77777777" w:rsidR="00BD6EB7" w:rsidRPr="002734FD" w:rsidRDefault="00BD6EB7" w:rsidP="00BD6EB7">
      <w:pPr>
        <w:spacing w:line="360" w:lineRule="auto"/>
        <w:jc w:val="both"/>
        <w:rPr>
          <w:rFonts w:ascii="Arial" w:hAnsi="Arial" w:cs="Arial"/>
          <w:color w:val="000000" w:themeColor="text1"/>
        </w:rPr>
      </w:pPr>
    </w:p>
    <w:sectPr w:rsidR="00BD6EB7" w:rsidRPr="002734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261D8" w14:textId="77777777" w:rsidR="00BC0C80" w:rsidRDefault="00BC0C80" w:rsidP="006163F8">
      <w:pPr>
        <w:spacing w:after="0" w:line="240" w:lineRule="auto"/>
      </w:pPr>
      <w:r>
        <w:separator/>
      </w:r>
    </w:p>
  </w:endnote>
  <w:endnote w:type="continuationSeparator" w:id="0">
    <w:p w14:paraId="4EEFB43C" w14:textId="77777777" w:rsidR="00BC0C80" w:rsidRDefault="00BC0C80" w:rsidP="0061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18687"/>
      <w:docPartObj>
        <w:docPartGallery w:val="Page Numbers (Bottom of Page)"/>
        <w:docPartUnique/>
      </w:docPartObj>
    </w:sdtPr>
    <w:sdtEndPr>
      <w:rPr>
        <w:rFonts w:ascii="Times New Roman" w:hAnsi="Times New Roman" w:cs="Times New Roman"/>
        <w:noProof/>
      </w:rPr>
    </w:sdtEndPr>
    <w:sdtContent>
      <w:p w14:paraId="2E0DCCB2" w14:textId="635AFA53" w:rsidR="006163F8" w:rsidRPr="006163F8" w:rsidRDefault="006163F8">
        <w:pPr>
          <w:pStyle w:val="Footer"/>
          <w:jc w:val="center"/>
          <w:rPr>
            <w:rFonts w:ascii="Times New Roman" w:hAnsi="Times New Roman" w:cs="Times New Roman"/>
          </w:rPr>
        </w:pPr>
        <w:r w:rsidRPr="006163F8">
          <w:rPr>
            <w:rFonts w:ascii="Times New Roman" w:hAnsi="Times New Roman" w:cs="Times New Roman"/>
          </w:rPr>
          <w:fldChar w:fldCharType="begin"/>
        </w:r>
        <w:r w:rsidRPr="006163F8">
          <w:rPr>
            <w:rFonts w:ascii="Times New Roman" w:hAnsi="Times New Roman" w:cs="Times New Roman"/>
          </w:rPr>
          <w:instrText xml:space="preserve"> PAGE   \* MERGEFORMAT </w:instrText>
        </w:r>
        <w:r w:rsidRPr="006163F8">
          <w:rPr>
            <w:rFonts w:ascii="Times New Roman" w:hAnsi="Times New Roman" w:cs="Times New Roman"/>
          </w:rPr>
          <w:fldChar w:fldCharType="separate"/>
        </w:r>
        <w:r w:rsidRPr="006163F8">
          <w:rPr>
            <w:rFonts w:ascii="Times New Roman" w:hAnsi="Times New Roman" w:cs="Times New Roman"/>
            <w:noProof/>
          </w:rPr>
          <w:t>2</w:t>
        </w:r>
        <w:r w:rsidRPr="006163F8">
          <w:rPr>
            <w:rFonts w:ascii="Times New Roman" w:hAnsi="Times New Roman" w:cs="Times New Roman"/>
            <w:noProof/>
          </w:rPr>
          <w:fldChar w:fldCharType="end"/>
        </w:r>
      </w:p>
    </w:sdtContent>
  </w:sdt>
  <w:p w14:paraId="38074E40" w14:textId="77777777" w:rsidR="006163F8" w:rsidRDefault="00616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28699" w14:textId="77777777" w:rsidR="00BC0C80" w:rsidRDefault="00BC0C80" w:rsidP="006163F8">
      <w:pPr>
        <w:spacing w:after="0" w:line="240" w:lineRule="auto"/>
      </w:pPr>
      <w:r>
        <w:separator/>
      </w:r>
    </w:p>
  </w:footnote>
  <w:footnote w:type="continuationSeparator" w:id="0">
    <w:p w14:paraId="445A8503" w14:textId="77777777" w:rsidR="00BC0C80" w:rsidRDefault="00BC0C80" w:rsidP="006163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3F8"/>
    <w:rsid w:val="0005574C"/>
    <w:rsid w:val="00100630"/>
    <w:rsid w:val="00131E88"/>
    <w:rsid w:val="0022534E"/>
    <w:rsid w:val="0026288D"/>
    <w:rsid w:val="002734FD"/>
    <w:rsid w:val="002B2B4B"/>
    <w:rsid w:val="00360FCC"/>
    <w:rsid w:val="00380262"/>
    <w:rsid w:val="00394A7B"/>
    <w:rsid w:val="00406458"/>
    <w:rsid w:val="00447211"/>
    <w:rsid w:val="0061051A"/>
    <w:rsid w:val="006163F8"/>
    <w:rsid w:val="00801E3D"/>
    <w:rsid w:val="00A02A5B"/>
    <w:rsid w:val="00AA1608"/>
    <w:rsid w:val="00AD6034"/>
    <w:rsid w:val="00AD63E6"/>
    <w:rsid w:val="00BC0C80"/>
    <w:rsid w:val="00BD3FAC"/>
    <w:rsid w:val="00BD6EB7"/>
    <w:rsid w:val="00D306B4"/>
    <w:rsid w:val="00D921E5"/>
    <w:rsid w:val="00E25688"/>
    <w:rsid w:val="00EF7EAC"/>
    <w:rsid w:val="00FE4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BB699"/>
  <w15:chartTrackingRefBased/>
  <w15:docId w15:val="{C739006D-8272-410A-BEE1-F921BA530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3F8"/>
    <w:pPr>
      <w:keepNext/>
      <w:keepLines/>
      <w:spacing w:before="360" w:after="80" w:line="360" w:lineRule="auto"/>
      <w:jc w:val="both"/>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semiHidden/>
    <w:unhideWhenUsed/>
    <w:qFormat/>
    <w:rsid w:val="006163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63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63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63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63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3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3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3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3F8"/>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6163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63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63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63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63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3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3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3F8"/>
    <w:rPr>
      <w:rFonts w:eastAsiaTheme="majorEastAsia" w:cstheme="majorBidi"/>
      <w:color w:val="272727" w:themeColor="text1" w:themeTint="D8"/>
    </w:rPr>
  </w:style>
  <w:style w:type="paragraph" w:styleId="Title">
    <w:name w:val="Title"/>
    <w:basedOn w:val="Normal"/>
    <w:next w:val="Normal"/>
    <w:link w:val="TitleChar"/>
    <w:uiPriority w:val="10"/>
    <w:qFormat/>
    <w:rsid w:val="006163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3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3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3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3F8"/>
    <w:pPr>
      <w:spacing w:before="160"/>
      <w:jc w:val="center"/>
    </w:pPr>
    <w:rPr>
      <w:i/>
      <w:iCs/>
      <w:color w:val="404040" w:themeColor="text1" w:themeTint="BF"/>
    </w:rPr>
  </w:style>
  <w:style w:type="character" w:customStyle="1" w:styleId="QuoteChar">
    <w:name w:val="Quote Char"/>
    <w:basedOn w:val="DefaultParagraphFont"/>
    <w:link w:val="Quote"/>
    <w:uiPriority w:val="29"/>
    <w:rsid w:val="006163F8"/>
    <w:rPr>
      <w:i/>
      <w:iCs/>
      <w:color w:val="404040" w:themeColor="text1" w:themeTint="BF"/>
    </w:rPr>
  </w:style>
  <w:style w:type="paragraph" w:styleId="ListParagraph">
    <w:name w:val="List Paragraph"/>
    <w:basedOn w:val="Normal"/>
    <w:uiPriority w:val="34"/>
    <w:qFormat/>
    <w:rsid w:val="006163F8"/>
    <w:pPr>
      <w:ind w:left="720"/>
      <w:contextualSpacing/>
    </w:pPr>
  </w:style>
  <w:style w:type="character" w:styleId="IntenseEmphasis">
    <w:name w:val="Intense Emphasis"/>
    <w:basedOn w:val="DefaultParagraphFont"/>
    <w:uiPriority w:val="21"/>
    <w:qFormat/>
    <w:rsid w:val="006163F8"/>
    <w:rPr>
      <w:i/>
      <w:iCs/>
      <w:color w:val="2F5496" w:themeColor="accent1" w:themeShade="BF"/>
    </w:rPr>
  </w:style>
  <w:style w:type="paragraph" w:styleId="IntenseQuote">
    <w:name w:val="Intense Quote"/>
    <w:basedOn w:val="Normal"/>
    <w:next w:val="Normal"/>
    <w:link w:val="IntenseQuoteChar"/>
    <w:uiPriority w:val="30"/>
    <w:qFormat/>
    <w:rsid w:val="006163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63F8"/>
    <w:rPr>
      <w:i/>
      <w:iCs/>
      <w:color w:val="2F5496" w:themeColor="accent1" w:themeShade="BF"/>
    </w:rPr>
  </w:style>
  <w:style w:type="character" w:styleId="IntenseReference">
    <w:name w:val="Intense Reference"/>
    <w:basedOn w:val="DefaultParagraphFont"/>
    <w:uiPriority w:val="32"/>
    <w:qFormat/>
    <w:rsid w:val="006163F8"/>
    <w:rPr>
      <w:b/>
      <w:bCs/>
      <w:smallCaps/>
      <w:color w:val="2F5496" w:themeColor="accent1" w:themeShade="BF"/>
      <w:spacing w:val="5"/>
    </w:rPr>
  </w:style>
  <w:style w:type="paragraph" w:styleId="Header">
    <w:name w:val="header"/>
    <w:basedOn w:val="Normal"/>
    <w:link w:val="HeaderChar"/>
    <w:uiPriority w:val="99"/>
    <w:unhideWhenUsed/>
    <w:rsid w:val="006163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3F8"/>
  </w:style>
  <w:style w:type="paragraph" w:styleId="Footer">
    <w:name w:val="footer"/>
    <w:basedOn w:val="Normal"/>
    <w:link w:val="FooterChar"/>
    <w:uiPriority w:val="99"/>
    <w:unhideWhenUsed/>
    <w:rsid w:val="006163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3F8"/>
  </w:style>
  <w:style w:type="paragraph" w:styleId="TOCHeading">
    <w:name w:val="TOC Heading"/>
    <w:basedOn w:val="Heading1"/>
    <w:next w:val="Normal"/>
    <w:uiPriority w:val="39"/>
    <w:unhideWhenUsed/>
    <w:qFormat/>
    <w:rsid w:val="002734FD"/>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734FD"/>
    <w:pPr>
      <w:spacing w:after="100"/>
    </w:pPr>
  </w:style>
  <w:style w:type="character" w:styleId="Hyperlink">
    <w:name w:val="Hyperlink"/>
    <w:basedOn w:val="DefaultParagraphFont"/>
    <w:uiPriority w:val="99"/>
    <w:unhideWhenUsed/>
    <w:rsid w:val="002734FD"/>
    <w:rPr>
      <w:color w:val="0563C1" w:themeColor="hyperlink"/>
      <w:u w:val="single"/>
    </w:rPr>
  </w:style>
  <w:style w:type="character" w:styleId="CommentReference">
    <w:name w:val="annotation reference"/>
    <w:basedOn w:val="DefaultParagraphFont"/>
    <w:uiPriority w:val="99"/>
    <w:semiHidden/>
    <w:unhideWhenUsed/>
    <w:rsid w:val="00447211"/>
    <w:rPr>
      <w:sz w:val="16"/>
      <w:szCs w:val="16"/>
    </w:rPr>
  </w:style>
  <w:style w:type="paragraph" w:styleId="CommentText">
    <w:name w:val="annotation text"/>
    <w:basedOn w:val="Normal"/>
    <w:link w:val="CommentTextChar"/>
    <w:uiPriority w:val="99"/>
    <w:semiHidden/>
    <w:unhideWhenUsed/>
    <w:rsid w:val="00447211"/>
    <w:pPr>
      <w:spacing w:line="240" w:lineRule="auto"/>
    </w:pPr>
    <w:rPr>
      <w:sz w:val="20"/>
      <w:szCs w:val="20"/>
    </w:rPr>
  </w:style>
  <w:style w:type="character" w:customStyle="1" w:styleId="CommentTextChar">
    <w:name w:val="Comment Text Char"/>
    <w:basedOn w:val="DefaultParagraphFont"/>
    <w:link w:val="CommentText"/>
    <w:uiPriority w:val="99"/>
    <w:semiHidden/>
    <w:rsid w:val="00447211"/>
    <w:rPr>
      <w:sz w:val="20"/>
      <w:szCs w:val="20"/>
    </w:rPr>
  </w:style>
  <w:style w:type="paragraph" w:styleId="CommentSubject">
    <w:name w:val="annotation subject"/>
    <w:basedOn w:val="CommentText"/>
    <w:next w:val="CommentText"/>
    <w:link w:val="CommentSubjectChar"/>
    <w:uiPriority w:val="99"/>
    <w:semiHidden/>
    <w:unhideWhenUsed/>
    <w:rsid w:val="00447211"/>
    <w:rPr>
      <w:b/>
      <w:bCs/>
    </w:rPr>
  </w:style>
  <w:style w:type="character" w:customStyle="1" w:styleId="CommentSubjectChar">
    <w:name w:val="Comment Subject Char"/>
    <w:basedOn w:val="CommentTextChar"/>
    <w:link w:val="CommentSubject"/>
    <w:uiPriority w:val="99"/>
    <w:semiHidden/>
    <w:rsid w:val="004472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F8557-D5ED-4FD4-8C0C-C4F6CE064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10</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Sersa-Mensah</dc:creator>
  <cp:keywords/>
  <dc:description/>
  <cp:lastModifiedBy>Patricia A</cp:lastModifiedBy>
  <cp:revision>7</cp:revision>
  <dcterms:created xsi:type="dcterms:W3CDTF">2026-07-05T19:09:00Z</dcterms:created>
  <dcterms:modified xsi:type="dcterms:W3CDTF">2026-08-04T22:50:00Z</dcterms:modified>
</cp:coreProperties>
</file>