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0ADF0" w14:textId="3AAC6F15" w:rsidR="00AD39A0" w:rsidRPr="00AD39A0" w:rsidRDefault="0033260E" w:rsidP="0065214D">
      <w:pPr>
        <w:spacing w:line="480" w:lineRule="auto"/>
        <w:jc w:val="center"/>
        <w:rPr>
          <w:sz w:val="28"/>
          <w:szCs w:val="28"/>
        </w:rPr>
      </w:pPr>
      <w:r w:rsidRPr="0033260E">
        <w:rPr>
          <w:sz w:val="28"/>
          <w:szCs w:val="28"/>
        </w:rPr>
        <w:t>An analysis of</w:t>
      </w:r>
      <w:r w:rsidRPr="0033260E">
        <w:rPr>
          <w:rFonts w:ascii="Segoe UI" w:hAnsi="Segoe UI" w:cs="Segoe UI"/>
          <w:color w:val="373A3C"/>
          <w:sz w:val="24"/>
          <w:szCs w:val="24"/>
          <w:shd w:val="clear" w:color="auto" w:fill="FBF7F5"/>
        </w:rPr>
        <w:t xml:space="preserve"> </w:t>
      </w:r>
      <w:r w:rsidRPr="0033260E">
        <w:rPr>
          <w:sz w:val="28"/>
          <w:szCs w:val="28"/>
        </w:rPr>
        <w:t>Carew</w:t>
      </w:r>
      <w:r w:rsidR="00AD39A0">
        <w:rPr>
          <w:sz w:val="28"/>
          <w:szCs w:val="28"/>
        </w:rPr>
        <w:t>’</w:t>
      </w:r>
      <w:r w:rsidRPr="0033260E">
        <w:rPr>
          <w:sz w:val="28"/>
          <w:szCs w:val="28"/>
        </w:rPr>
        <w:t xml:space="preserve">s classical references in </w:t>
      </w:r>
      <w:r w:rsidR="00AD39A0">
        <w:rPr>
          <w:i/>
          <w:iCs/>
          <w:sz w:val="28"/>
          <w:szCs w:val="28"/>
        </w:rPr>
        <w:t>‘</w:t>
      </w:r>
      <w:r w:rsidRPr="0033260E">
        <w:rPr>
          <w:i/>
          <w:iCs/>
          <w:sz w:val="28"/>
          <w:szCs w:val="28"/>
        </w:rPr>
        <w:t xml:space="preserve">An Elegy upon the Death of </w:t>
      </w:r>
      <w:r w:rsidR="00AD39A0">
        <w:rPr>
          <w:i/>
          <w:iCs/>
          <w:sz w:val="28"/>
          <w:szCs w:val="28"/>
        </w:rPr>
        <w:t xml:space="preserve">the </w:t>
      </w:r>
      <w:r w:rsidRPr="0033260E">
        <w:rPr>
          <w:i/>
          <w:iCs/>
          <w:sz w:val="28"/>
          <w:szCs w:val="28"/>
        </w:rPr>
        <w:t>Dean of Paul</w:t>
      </w:r>
      <w:r w:rsidR="00AD39A0">
        <w:rPr>
          <w:i/>
          <w:iCs/>
          <w:sz w:val="28"/>
          <w:szCs w:val="28"/>
        </w:rPr>
        <w:t>’s,</w:t>
      </w:r>
      <w:r w:rsidR="00AD39A0" w:rsidRPr="00AD39A0">
        <w:rPr>
          <w:i/>
          <w:iCs/>
          <w:sz w:val="28"/>
          <w:szCs w:val="28"/>
        </w:rPr>
        <w:t xml:space="preserve"> </w:t>
      </w:r>
      <w:r w:rsidR="00AD39A0" w:rsidRPr="0033260E">
        <w:rPr>
          <w:i/>
          <w:iCs/>
          <w:sz w:val="28"/>
          <w:szCs w:val="28"/>
        </w:rPr>
        <w:t>Dr John Donne</w:t>
      </w:r>
      <w:r w:rsidR="00AD39A0">
        <w:rPr>
          <w:i/>
          <w:iCs/>
          <w:sz w:val="28"/>
          <w:szCs w:val="28"/>
        </w:rPr>
        <w:t>’</w:t>
      </w:r>
      <w:r w:rsidRPr="0033260E">
        <w:rPr>
          <w:sz w:val="28"/>
          <w:szCs w:val="28"/>
        </w:rPr>
        <w:t>.</w:t>
      </w:r>
    </w:p>
    <w:p w14:paraId="784284CC" w14:textId="258F078D" w:rsidR="006D09E2" w:rsidRPr="00E607F6" w:rsidRDefault="006D09E2" w:rsidP="0033260E">
      <w:pPr>
        <w:spacing w:line="480" w:lineRule="auto"/>
        <w:jc w:val="both"/>
        <w:rPr>
          <w:sz w:val="24"/>
          <w:szCs w:val="24"/>
        </w:rPr>
      </w:pPr>
      <w:r w:rsidRPr="00E607F6">
        <w:rPr>
          <w:sz w:val="24"/>
          <w:szCs w:val="24"/>
        </w:rPr>
        <w:t xml:space="preserve">In this presentation, I will look closely at and discuss the classical and mythological references that Thomas Carew used when writing </w:t>
      </w:r>
      <w:r w:rsidRPr="00E607F6">
        <w:rPr>
          <w:i/>
          <w:iCs/>
          <w:sz w:val="24"/>
          <w:szCs w:val="24"/>
        </w:rPr>
        <w:t>An Elegy upon the Death of the Dean of Paul</w:t>
      </w:r>
      <w:r w:rsidR="00AD39A0">
        <w:rPr>
          <w:i/>
          <w:iCs/>
          <w:sz w:val="24"/>
          <w:szCs w:val="24"/>
        </w:rPr>
        <w:t>’</w:t>
      </w:r>
      <w:r w:rsidRPr="00E607F6">
        <w:rPr>
          <w:i/>
          <w:iCs/>
          <w:sz w:val="24"/>
          <w:szCs w:val="24"/>
        </w:rPr>
        <w:t>s, Dr John Donne</w:t>
      </w:r>
      <w:r w:rsidRPr="00E607F6">
        <w:rPr>
          <w:sz w:val="24"/>
          <w:szCs w:val="24"/>
        </w:rPr>
        <w:t>.</w:t>
      </w:r>
      <w:r w:rsidR="004A2EA2" w:rsidRPr="00E607F6">
        <w:rPr>
          <w:rStyle w:val="FootnoteReference"/>
          <w:sz w:val="24"/>
          <w:szCs w:val="24"/>
        </w:rPr>
        <w:footnoteReference w:id="1"/>
      </w:r>
      <w:r w:rsidRPr="00E607F6">
        <w:rPr>
          <w:sz w:val="24"/>
          <w:szCs w:val="24"/>
        </w:rPr>
        <w:t xml:space="preserve"> By analysing these references, I hope to reveal the meanings and show how powerful the feelings behind the poem are. </w:t>
      </w:r>
    </w:p>
    <w:p w14:paraId="2AED7BC0" w14:textId="0A4D3152" w:rsidR="006D09E2" w:rsidRPr="00E607F6" w:rsidRDefault="006D09E2" w:rsidP="0033260E">
      <w:pPr>
        <w:spacing w:line="480" w:lineRule="auto"/>
        <w:jc w:val="both"/>
        <w:rPr>
          <w:sz w:val="24"/>
          <w:szCs w:val="24"/>
        </w:rPr>
      </w:pPr>
      <w:r w:rsidRPr="00E607F6">
        <w:rPr>
          <w:sz w:val="24"/>
          <w:szCs w:val="24"/>
        </w:rPr>
        <w:t>I believe that the poem has lost some of the power it would have had when it was written. Carew and the original audience of this poem would have been alive after the renaissance period in which the ancient texts were rediscovered.</w:t>
      </w:r>
      <w:r w:rsidR="00FE00D3" w:rsidRPr="00E607F6">
        <w:rPr>
          <w:rStyle w:val="FootnoteReference"/>
          <w:sz w:val="24"/>
          <w:szCs w:val="24"/>
        </w:rPr>
        <w:footnoteReference w:id="2"/>
      </w:r>
      <w:r w:rsidRPr="00E607F6">
        <w:rPr>
          <w:sz w:val="24"/>
          <w:szCs w:val="24"/>
        </w:rPr>
        <w:t xml:space="preserve"> In addition, </w:t>
      </w:r>
      <w:r w:rsidR="00FE00D3" w:rsidRPr="00E607F6">
        <w:rPr>
          <w:sz w:val="24"/>
          <w:szCs w:val="24"/>
        </w:rPr>
        <w:t>Johannes Gutenberg’s</w:t>
      </w:r>
      <w:r w:rsidRPr="00E607F6">
        <w:rPr>
          <w:sz w:val="24"/>
          <w:szCs w:val="24"/>
        </w:rPr>
        <w:t xml:space="preserve"> invention of printing by 1450 made these texts more widely available to study.</w:t>
      </w:r>
      <w:r w:rsidR="00FE00D3" w:rsidRPr="00E607F6">
        <w:rPr>
          <w:rStyle w:val="FootnoteReference"/>
          <w:sz w:val="24"/>
          <w:szCs w:val="24"/>
        </w:rPr>
        <w:footnoteReference w:id="3"/>
      </w:r>
      <w:r w:rsidRPr="00E607F6">
        <w:rPr>
          <w:sz w:val="24"/>
          <w:szCs w:val="24"/>
        </w:rPr>
        <w:t xml:space="preserve"> </w:t>
      </w:r>
    </w:p>
    <w:p w14:paraId="4E69C10C" w14:textId="7C1E6C7B" w:rsidR="00AD140B" w:rsidRPr="00E607F6" w:rsidRDefault="00AD140B" w:rsidP="0033260E">
      <w:pPr>
        <w:spacing w:line="480" w:lineRule="auto"/>
        <w:jc w:val="both"/>
        <w:rPr>
          <w:sz w:val="24"/>
          <w:szCs w:val="24"/>
        </w:rPr>
      </w:pPr>
      <w:r w:rsidRPr="00E607F6">
        <w:rPr>
          <w:sz w:val="24"/>
          <w:szCs w:val="24"/>
        </w:rPr>
        <w:t>It is true that these texts are still available to study now</w:t>
      </w:r>
      <w:r w:rsidR="00AD39A0">
        <w:rPr>
          <w:sz w:val="24"/>
          <w:szCs w:val="24"/>
        </w:rPr>
        <w:t>;</w:t>
      </w:r>
      <w:r w:rsidRPr="00E607F6">
        <w:rPr>
          <w:sz w:val="24"/>
          <w:szCs w:val="24"/>
        </w:rPr>
        <w:t xml:space="preserve"> however, I believe that they are studied less now than in the 17</w:t>
      </w:r>
      <w:r w:rsidRPr="00E607F6">
        <w:rPr>
          <w:sz w:val="24"/>
          <w:szCs w:val="24"/>
          <w:vertAlign w:val="superscript"/>
        </w:rPr>
        <w:t>th</w:t>
      </w:r>
      <w:r w:rsidRPr="00E607F6">
        <w:rPr>
          <w:sz w:val="24"/>
          <w:szCs w:val="24"/>
        </w:rPr>
        <w:t xml:space="preserve"> century. It is possible that the scholars that studied these texts are now the scholars being studied. Whilst Carew and Donne may have read the texts from Ancient Greece and Rome, and we read the texts of Carew and Donne. The world evolved with the information that they gathered from the</w:t>
      </w:r>
      <w:r w:rsidRPr="00E607F6">
        <w:rPr>
          <w:sz w:val="24"/>
          <w:szCs w:val="24"/>
        </w:rPr>
        <w:t xml:space="preserve"> ancient</w:t>
      </w:r>
      <w:r w:rsidRPr="00E607F6">
        <w:rPr>
          <w:sz w:val="24"/>
          <w:szCs w:val="24"/>
        </w:rPr>
        <w:t xml:space="preserve"> texts and continues to evolve with the information that they </w:t>
      </w:r>
      <w:r w:rsidRPr="00E607F6">
        <w:rPr>
          <w:sz w:val="24"/>
          <w:szCs w:val="24"/>
        </w:rPr>
        <w:t xml:space="preserve">have </w:t>
      </w:r>
      <w:r w:rsidRPr="00E607F6">
        <w:rPr>
          <w:sz w:val="24"/>
          <w:szCs w:val="24"/>
        </w:rPr>
        <w:t>passed on. Perhaps with education being more modern, the deeper meaning behind the texts is lost to the modern reader.</w:t>
      </w:r>
    </w:p>
    <w:p w14:paraId="73B12F1E" w14:textId="171075F4" w:rsidR="006D09E2" w:rsidRPr="00E607F6" w:rsidRDefault="006D09E2" w:rsidP="0033260E">
      <w:pPr>
        <w:spacing w:line="480" w:lineRule="auto"/>
        <w:jc w:val="both"/>
        <w:rPr>
          <w:sz w:val="24"/>
          <w:szCs w:val="24"/>
        </w:rPr>
      </w:pPr>
      <w:r w:rsidRPr="00E607F6">
        <w:rPr>
          <w:sz w:val="24"/>
          <w:szCs w:val="24"/>
        </w:rPr>
        <w:t xml:space="preserve">One of the first references to mythology that Carew makes is to the Greek </w:t>
      </w:r>
      <w:r w:rsidR="00B71AB5">
        <w:rPr>
          <w:sz w:val="24"/>
          <w:szCs w:val="24"/>
        </w:rPr>
        <w:t>M</w:t>
      </w:r>
      <w:r w:rsidRPr="00E607F6">
        <w:rPr>
          <w:sz w:val="24"/>
          <w:szCs w:val="24"/>
        </w:rPr>
        <w:t xml:space="preserve">uses. The </w:t>
      </w:r>
      <w:r w:rsidR="00B71AB5">
        <w:rPr>
          <w:sz w:val="24"/>
          <w:szCs w:val="24"/>
        </w:rPr>
        <w:t>M</w:t>
      </w:r>
      <w:r w:rsidRPr="00E607F6">
        <w:rPr>
          <w:sz w:val="24"/>
          <w:szCs w:val="24"/>
        </w:rPr>
        <w:t xml:space="preserve">uses were known as </w:t>
      </w:r>
      <w:r w:rsidR="00AD39A0">
        <w:rPr>
          <w:sz w:val="24"/>
          <w:szCs w:val="24"/>
        </w:rPr>
        <w:t>“</w:t>
      </w:r>
      <w:r w:rsidRPr="00E607F6">
        <w:rPr>
          <w:sz w:val="24"/>
          <w:szCs w:val="24"/>
        </w:rPr>
        <w:t>the patron goddesses of poetry</w:t>
      </w:r>
      <w:r w:rsidR="00AD39A0">
        <w:rPr>
          <w:sz w:val="24"/>
          <w:szCs w:val="24"/>
        </w:rPr>
        <w:t>”</w:t>
      </w:r>
      <w:r w:rsidRPr="00E607F6">
        <w:rPr>
          <w:sz w:val="24"/>
          <w:szCs w:val="24"/>
        </w:rPr>
        <w:t>.</w:t>
      </w:r>
      <w:r w:rsidR="00FE00D3" w:rsidRPr="00E607F6">
        <w:rPr>
          <w:rStyle w:val="FootnoteReference"/>
          <w:sz w:val="24"/>
          <w:szCs w:val="24"/>
        </w:rPr>
        <w:footnoteReference w:id="4"/>
      </w:r>
      <w:r w:rsidRPr="00E607F6">
        <w:rPr>
          <w:sz w:val="24"/>
          <w:szCs w:val="24"/>
        </w:rPr>
        <w:t xml:space="preserve"> They were also said to be the </w:t>
      </w:r>
      <w:r w:rsidR="00AD39A0">
        <w:rPr>
          <w:sz w:val="24"/>
          <w:szCs w:val="24"/>
        </w:rPr>
        <w:t>“</w:t>
      </w:r>
      <w:r w:rsidRPr="00E607F6">
        <w:rPr>
          <w:sz w:val="24"/>
          <w:szCs w:val="24"/>
        </w:rPr>
        <w:t xml:space="preserve">heavenly </w:t>
      </w:r>
      <w:r w:rsidRPr="00E607F6">
        <w:rPr>
          <w:sz w:val="24"/>
          <w:szCs w:val="24"/>
        </w:rPr>
        <w:lastRenderedPageBreak/>
        <w:t>musicians</w:t>
      </w:r>
      <w:r w:rsidR="00AD39A0">
        <w:rPr>
          <w:sz w:val="24"/>
          <w:szCs w:val="24"/>
        </w:rPr>
        <w:t>”</w:t>
      </w:r>
      <w:r w:rsidRPr="00E607F6">
        <w:rPr>
          <w:sz w:val="24"/>
          <w:szCs w:val="24"/>
        </w:rPr>
        <w:t xml:space="preserve"> and that they sang for the gods.</w:t>
      </w:r>
      <w:r w:rsidR="00FE00D3" w:rsidRPr="00E607F6">
        <w:rPr>
          <w:rStyle w:val="FootnoteReference"/>
          <w:sz w:val="24"/>
          <w:szCs w:val="24"/>
        </w:rPr>
        <w:footnoteReference w:id="5"/>
      </w:r>
      <w:r w:rsidRPr="00E607F6">
        <w:rPr>
          <w:sz w:val="24"/>
          <w:szCs w:val="24"/>
        </w:rPr>
        <w:t xml:space="preserve"> They are mentioned in classical texts such as Homer</w:t>
      </w:r>
      <w:r w:rsidR="00AD39A0">
        <w:rPr>
          <w:sz w:val="24"/>
          <w:szCs w:val="24"/>
        </w:rPr>
        <w:t>’</w:t>
      </w:r>
      <w:r w:rsidRPr="00E607F6">
        <w:rPr>
          <w:sz w:val="24"/>
          <w:szCs w:val="24"/>
        </w:rPr>
        <w:t>s Iliad and Ovid</w:t>
      </w:r>
      <w:r w:rsidR="00AD39A0">
        <w:rPr>
          <w:sz w:val="24"/>
          <w:szCs w:val="24"/>
        </w:rPr>
        <w:t>’</w:t>
      </w:r>
      <w:r w:rsidRPr="00E607F6">
        <w:rPr>
          <w:sz w:val="24"/>
          <w:szCs w:val="24"/>
        </w:rPr>
        <w:t xml:space="preserve">s Metamorphoses, and on special occasions (such as the funeral of Achilles), the </w:t>
      </w:r>
      <w:r w:rsidR="00AD39A0">
        <w:rPr>
          <w:sz w:val="24"/>
          <w:szCs w:val="24"/>
        </w:rPr>
        <w:t>M</w:t>
      </w:r>
      <w:r w:rsidRPr="00E607F6">
        <w:rPr>
          <w:sz w:val="24"/>
          <w:szCs w:val="24"/>
        </w:rPr>
        <w:t>uses are said to have sung for mortals too.</w:t>
      </w:r>
      <w:r w:rsidR="00FE00D3" w:rsidRPr="00E607F6">
        <w:rPr>
          <w:rStyle w:val="FootnoteReference"/>
          <w:sz w:val="24"/>
          <w:szCs w:val="24"/>
        </w:rPr>
        <w:footnoteReference w:id="6"/>
      </w:r>
      <w:r w:rsidRPr="00E607F6">
        <w:rPr>
          <w:sz w:val="24"/>
          <w:szCs w:val="24"/>
        </w:rPr>
        <w:t xml:space="preserve"> Aside from their singing, they were also said to </w:t>
      </w:r>
      <w:r w:rsidR="00AD39A0">
        <w:rPr>
          <w:sz w:val="24"/>
          <w:szCs w:val="24"/>
        </w:rPr>
        <w:t>“</w:t>
      </w:r>
      <w:r w:rsidRPr="00E607F6">
        <w:rPr>
          <w:sz w:val="24"/>
          <w:szCs w:val="24"/>
        </w:rPr>
        <w:t>preside over thought in all its forms</w:t>
      </w:r>
      <w:r w:rsidR="00AD39A0">
        <w:rPr>
          <w:sz w:val="24"/>
          <w:szCs w:val="24"/>
        </w:rPr>
        <w:t>”</w:t>
      </w:r>
      <w:r w:rsidRPr="00E607F6">
        <w:rPr>
          <w:sz w:val="24"/>
          <w:szCs w:val="24"/>
        </w:rPr>
        <w:t xml:space="preserve"> this included eloquence and persuasion, two skills that poets would have been utilising.</w:t>
      </w:r>
      <w:r w:rsidR="00265D89" w:rsidRPr="00E607F6">
        <w:rPr>
          <w:rStyle w:val="FootnoteReference"/>
          <w:sz w:val="24"/>
          <w:szCs w:val="24"/>
        </w:rPr>
        <w:footnoteReference w:id="7"/>
      </w:r>
      <w:r w:rsidRPr="00E607F6">
        <w:rPr>
          <w:sz w:val="24"/>
          <w:szCs w:val="24"/>
        </w:rPr>
        <w:t xml:space="preserve"> </w:t>
      </w:r>
    </w:p>
    <w:p w14:paraId="6F697ED7" w14:textId="6D89E0EA" w:rsidR="006D09E2" w:rsidRPr="00E607F6" w:rsidRDefault="006D09E2" w:rsidP="0033260E">
      <w:pPr>
        <w:spacing w:line="480" w:lineRule="auto"/>
        <w:jc w:val="both"/>
        <w:rPr>
          <w:sz w:val="24"/>
          <w:szCs w:val="24"/>
        </w:rPr>
      </w:pPr>
      <w:r w:rsidRPr="00E607F6">
        <w:rPr>
          <w:sz w:val="24"/>
          <w:szCs w:val="24"/>
        </w:rPr>
        <w:t>Carew</w:t>
      </w:r>
      <w:r w:rsidR="00AD39A0">
        <w:rPr>
          <w:sz w:val="24"/>
          <w:szCs w:val="24"/>
        </w:rPr>
        <w:t>’</w:t>
      </w:r>
      <w:r w:rsidRPr="00E607F6">
        <w:rPr>
          <w:sz w:val="24"/>
          <w:szCs w:val="24"/>
        </w:rPr>
        <w:t xml:space="preserve">s reference to the garden of the </w:t>
      </w:r>
      <w:r w:rsidR="00AD39A0">
        <w:rPr>
          <w:sz w:val="24"/>
          <w:szCs w:val="24"/>
        </w:rPr>
        <w:t>M</w:t>
      </w:r>
      <w:r w:rsidRPr="00E607F6">
        <w:rPr>
          <w:sz w:val="24"/>
          <w:szCs w:val="24"/>
        </w:rPr>
        <w:t xml:space="preserve">uses being overgrown with weeds in lines 25-26 implies that it has been a long time since the garden (or poetry) has seen fresh flowers (or fresh poems). In lines 26 – 28, Carew is saying that this garden (poetry) that had been neglected by poets before Donne was </w:t>
      </w:r>
      <w:r w:rsidR="00AD39A0">
        <w:rPr>
          <w:sz w:val="24"/>
          <w:szCs w:val="24"/>
        </w:rPr>
        <w:t>“</w:t>
      </w:r>
      <w:r w:rsidRPr="00E607F6">
        <w:rPr>
          <w:sz w:val="24"/>
          <w:szCs w:val="24"/>
        </w:rPr>
        <w:t>purged</w:t>
      </w:r>
      <w:r w:rsidR="00AD39A0">
        <w:rPr>
          <w:sz w:val="24"/>
          <w:szCs w:val="24"/>
        </w:rPr>
        <w:t>”</w:t>
      </w:r>
      <w:r w:rsidRPr="00E607F6">
        <w:rPr>
          <w:sz w:val="24"/>
          <w:szCs w:val="24"/>
        </w:rPr>
        <w:t xml:space="preserve"> by him. Carew implies with </w:t>
      </w:r>
      <w:r w:rsidR="00AD39A0">
        <w:rPr>
          <w:sz w:val="24"/>
          <w:szCs w:val="24"/>
        </w:rPr>
        <w:t>“</w:t>
      </w:r>
      <w:r w:rsidRPr="00E607F6">
        <w:rPr>
          <w:sz w:val="24"/>
          <w:szCs w:val="24"/>
        </w:rPr>
        <w:t>lazy seeds of imitation</w:t>
      </w:r>
      <w:r w:rsidR="00AD39A0">
        <w:rPr>
          <w:sz w:val="24"/>
          <w:szCs w:val="24"/>
        </w:rPr>
        <w:t>”</w:t>
      </w:r>
      <w:r w:rsidRPr="00E607F6">
        <w:rPr>
          <w:sz w:val="24"/>
          <w:szCs w:val="24"/>
        </w:rPr>
        <w:t xml:space="preserve"> that all poets before Donne were imitating the great poets whose flowers filled the </w:t>
      </w:r>
      <w:proofErr w:type="gramStart"/>
      <w:r w:rsidR="00B71AB5">
        <w:rPr>
          <w:sz w:val="24"/>
          <w:szCs w:val="24"/>
        </w:rPr>
        <w:t>M</w:t>
      </w:r>
      <w:r w:rsidRPr="00E607F6">
        <w:rPr>
          <w:sz w:val="24"/>
          <w:szCs w:val="24"/>
        </w:rPr>
        <w:t>uses garden</w:t>
      </w:r>
      <w:proofErr w:type="gramEnd"/>
      <w:r w:rsidRPr="00E607F6">
        <w:rPr>
          <w:sz w:val="24"/>
          <w:szCs w:val="24"/>
        </w:rPr>
        <w:t xml:space="preserve"> a long time ago. By purging the garden of imitation, Carew is saying that Donne did not imitate anyone; he planted </w:t>
      </w:r>
      <w:r w:rsidR="00AD39A0">
        <w:rPr>
          <w:sz w:val="24"/>
          <w:szCs w:val="24"/>
        </w:rPr>
        <w:t>“</w:t>
      </w:r>
      <w:r w:rsidRPr="00E607F6">
        <w:rPr>
          <w:sz w:val="24"/>
          <w:szCs w:val="24"/>
        </w:rPr>
        <w:t>fresh invention</w:t>
      </w:r>
      <w:r w:rsidR="00AD39A0">
        <w:rPr>
          <w:sz w:val="24"/>
          <w:szCs w:val="24"/>
        </w:rPr>
        <w:t>”</w:t>
      </w:r>
      <w:r w:rsidRPr="00E607F6">
        <w:rPr>
          <w:sz w:val="24"/>
          <w:szCs w:val="24"/>
        </w:rPr>
        <w:t xml:space="preserve">, his own ideas. </w:t>
      </w:r>
      <w:r w:rsidR="00B71AB5">
        <w:rPr>
          <w:sz w:val="24"/>
          <w:szCs w:val="24"/>
        </w:rPr>
        <w:t xml:space="preserve">To imply that Donne was the only one capable of such </w:t>
      </w:r>
      <w:r w:rsidR="00691D7A">
        <w:rPr>
          <w:sz w:val="24"/>
          <w:szCs w:val="24"/>
        </w:rPr>
        <w:t>excellent</w:t>
      </w:r>
      <w:r w:rsidR="00B71AB5">
        <w:rPr>
          <w:sz w:val="24"/>
          <w:szCs w:val="24"/>
        </w:rPr>
        <w:t xml:space="preserve"> poetry and that there would be none after him capable of this achievement is high praise that shows great admiration. </w:t>
      </w:r>
    </w:p>
    <w:p w14:paraId="3D340281" w14:textId="3E2BBC6F" w:rsidR="006D09E2" w:rsidRPr="00E607F6" w:rsidRDefault="006D09E2" w:rsidP="0033260E">
      <w:pPr>
        <w:spacing w:line="480" w:lineRule="auto"/>
        <w:jc w:val="both"/>
        <w:rPr>
          <w:sz w:val="24"/>
          <w:szCs w:val="24"/>
        </w:rPr>
      </w:pPr>
      <w:r w:rsidRPr="00E607F6">
        <w:rPr>
          <w:sz w:val="24"/>
          <w:szCs w:val="24"/>
        </w:rPr>
        <w:t xml:space="preserve">Another myth that involves both the </w:t>
      </w:r>
      <w:r w:rsidR="00B71AB5">
        <w:rPr>
          <w:sz w:val="24"/>
          <w:szCs w:val="24"/>
        </w:rPr>
        <w:t>M</w:t>
      </w:r>
      <w:r w:rsidRPr="00E607F6">
        <w:rPr>
          <w:sz w:val="24"/>
          <w:szCs w:val="24"/>
        </w:rPr>
        <w:t xml:space="preserve">uses and Apollo (mentioned </w:t>
      </w:r>
      <w:r w:rsidR="00691D7A">
        <w:rPr>
          <w:sz w:val="24"/>
          <w:szCs w:val="24"/>
        </w:rPr>
        <w:t>in line 98</w:t>
      </w:r>
      <w:r w:rsidRPr="00E607F6">
        <w:rPr>
          <w:sz w:val="24"/>
          <w:szCs w:val="24"/>
        </w:rPr>
        <w:t xml:space="preserve">) is that Orpheus was the child of one of the </w:t>
      </w:r>
      <w:r w:rsidR="00B71AB5">
        <w:rPr>
          <w:sz w:val="24"/>
          <w:szCs w:val="24"/>
        </w:rPr>
        <w:t>M</w:t>
      </w:r>
      <w:r w:rsidRPr="00E607F6">
        <w:rPr>
          <w:sz w:val="24"/>
          <w:szCs w:val="24"/>
        </w:rPr>
        <w:t xml:space="preserve">uses (possibly </w:t>
      </w:r>
      <w:proofErr w:type="spellStart"/>
      <w:r w:rsidRPr="00E607F6">
        <w:rPr>
          <w:sz w:val="24"/>
          <w:szCs w:val="24"/>
        </w:rPr>
        <w:t>Caliope</w:t>
      </w:r>
      <w:proofErr w:type="spellEnd"/>
      <w:r w:rsidRPr="00E607F6">
        <w:rPr>
          <w:sz w:val="24"/>
          <w:szCs w:val="24"/>
        </w:rPr>
        <w:t>) and Apollo.</w:t>
      </w:r>
      <w:r w:rsidR="003D7783" w:rsidRPr="00E607F6">
        <w:rPr>
          <w:rStyle w:val="FootnoteReference"/>
          <w:sz w:val="24"/>
          <w:szCs w:val="24"/>
        </w:rPr>
        <w:footnoteReference w:id="8"/>
      </w:r>
      <w:r w:rsidRPr="00E607F6">
        <w:rPr>
          <w:sz w:val="24"/>
          <w:szCs w:val="24"/>
        </w:rPr>
        <w:t xml:space="preserve"> Orpheus is mentioned in line 40 when Carew explains that Donne has managed to write brilliant poetry despite writing in the English language. Carew implies that the Greek and Latin languages are superior to English in lines 33-37, but Donne has managed to excel in his poetry despite this. I believe that Carew </w:t>
      </w:r>
      <w:r w:rsidRPr="00E607F6">
        <w:rPr>
          <w:sz w:val="24"/>
          <w:szCs w:val="24"/>
        </w:rPr>
        <w:lastRenderedPageBreak/>
        <w:t>is saying that Orpheus would admire Donne</w:t>
      </w:r>
      <w:r w:rsidR="00AD39A0">
        <w:rPr>
          <w:sz w:val="24"/>
          <w:szCs w:val="24"/>
        </w:rPr>
        <w:t>’</w:t>
      </w:r>
      <w:r w:rsidRPr="00E607F6">
        <w:rPr>
          <w:sz w:val="24"/>
          <w:szCs w:val="24"/>
        </w:rPr>
        <w:t xml:space="preserve">s efforts. This would be high praise considering that Orpheus was known for his poetry and song. </w:t>
      </w:r>
    </w:p>
    <w:p w14:paraId="0F50E735" w14:textId="04B8F8DA" w:rsidR="006D09E2" w:rsidRPr="00E607F6" w:rsidRDefault="006D09E2" w:rsidP="0033260E">
      <w:pPr>
        <w:spacing w:line="480" w:lineRule="auto"/>
        <w:jc w:val="both"/>
        <w:rPr>
          <w:sz w:val="24"/>
          <w:szCs w:val="24"/>
        </w:rPr>
      </w:pPr>
      <w:r w:rsidRPr="00E607F6">
        <w:rPr>
          <w:sz w:val="24"/>
          <w:szCs w:val="24"/>
        </w:rPr>
        <w:t>Orpheus</w:t>
      </w:r>
      <w:r w:rsidR="00AD39A0">
        <w:rPr>
          <w:sz w:val="24"/>
          <w:szCs w:val="24"/>
        </w:rPr>
        <w:t>’</w:t>
      </w:r>
      <w:r w:rsidRPr="00E607F6">
        <w:rPr>
          <w:sz w:val="24"/>
          <w:szCs w:val="24"/>
        </w:rPr>
        <w:t xml:space="preserve">s songs had </w:t>
      </w:r>
      <w:r w:rsidR="00AD39A0">
        <w:rPr>
          <w:sz w:val="24"/>
          <w:szCs w:val="24"/>
        </w:rPr>
        <w:t>“</w:t>
      </w:r>
      <w:r w:rsidRPr="00E607F6">
        <w:rPr>
          <w:sz w:val="24"/>
          <w:szCs w:val="24"/>
        </w:rPr>
        <w:t>more than human power</w:t>
      </w:r>
      <w:r w:rsidR="00AD39A0">
        <w:rPr>
          <w:sz w:val="24"/>
          <w:szCs w:val="24"/>
        </w:rPr>
        <w:t>”</w:t>
      </w:r>
      <w:r w:rsidRPr="00E607F6">
        <w:rPr>
          <w:sz w:val="24"/>
          <w:szCs w:val="24"/>
        </w:rPr>
        <w:t>, and it has been said that he was able to charm animals, trees and even rocks with his ability.</w:t>
      </w:r>
      <w:r w:rsidR="00706F27" w:rsidRPr="00E607F6">
        <w:rPr>
          <w:rStyle w:val="FootnoteReference"/>
          <w:sz w:val="24"/>
          <w:szCs w:val="24"/>
        </w:rPr>
        <w:footnoteReference w:id="9"/>
      </w:r>
      <w:r w:rsidRPr="00E607F6">
        <w:rPr>
          <w:sz w:val="24"/>
          <w:szCs w:val="24"/>
        </w:rPr>
        <w:t xml:space="preserve"> One of the most famous myths of Orpheus is that he saved the Argonauts with his song against that of the </w:t>
      </w:r>
      <w:r w:rsidR="00AD39A0">
        <w:rPr>
          <w:sz w:val="24"/>
          <w:szCs w:val="24"/>
        </w:rPr>
        <w:t>S</w:t>
      </w:r>
      <w:r w:rsidRPr="00E607F6">
        <w:rPr>
          <w:sz w:val="24"/>
          <w:szCs w:val="24"/>
        </w:rPr>
        <w:t xml:space="preserve">irens. In Greek mythology, the </w:t>
      </w:r>
      <w:r w:rsidR="00AD39A0">
        <w:rPr>
          <w:sz w:val="24"/>
          <w:szCs w:val="24"/>
        </w:rPr>
        <w:t>S</w:t>
      </w:r>
      <w:r w:rsidRPr="00E607F6">
        <w:rPr>
          <w:sz w:val="24"/>
          <w:szCs w:val="24"/>
        </w:rPr>
        <w:t>irens would use their song to lure men to their death, but Orpheus was more powerful and was able to overpower their song with his own.</w:t>
      </w:r>
      <w:r w:rsidR="00706F27" w:rsidRPr="00E607F6">
        <w:rPr>
          <w:rStyle w:val="FootnoteReference"/>
          <w:sz w:val="24"/>
          <w:szCs w:val="24"/>
        </w:rPr>
        <w:footnoteReference w:id="10"/>
      </w:r>
      <w:r w:rsidRPr="00E607F6">
        <w:rPr>
          <w:sz w:val="24"/>
          <w:szCs w:val="24"/>
        </w:rPr>
        <w:t xml:space="preserve"> For Carew to say that Orpheus</w:t>
      </w:r>
      <w:r w:rsidR="00AD39A0">
        <w:rPr>
          <w:sz w:val="24"/>
          <w:szCs w:val="24"/>
        </w:rPr>
        <w:t>,</w:t>
      </w:r>
      <w:r w:rsidRPr="00E607F6">
        <w:rPr>
          <w:sz w:val="24"/>
          <w:szCs w:val="24"/>
        </w:rPr>
        <w:t xml:space="preserve"> </w:t>
      </w:r>
      <w:r w:rsidR="00691D7A">
        <w:rPr>
          <w:sz w:val="24"/>
          <w:szCs w:val="24"/>
        </w:rPr>
        <w:t>with his incredible song power</w:t>
      </w:r>
      <w:r w:rsidR="00AD39A0">
        <w:rPr>
          <w:sz w:val="24"/>
          <w:szCs w:val="24"/>
        </w:rPr>
        <w:t>,</w:t>
      </w:r>
      <w:r w:rsidR="00691D7A">
        <w:rPr>
          <w:sz w:val="24"/>
          <w:szCs w:val="24"/>
        </w:rPr>
        <w:t xml:space="preserve"> </w:t>
      </w:r>
      <w:r w:rsidRPr="00E607F6">
        <w:rPr>
          <w:sz w:val="24"/>
          <w:szCs w:val="24"/>
        </w:rPr>
        <w:t>would admire Donne shows how highly Carew himself regarded Donne</w:t>
      </w:r>
      <w:r w:rsidR="00691D7A">
        <w:rPr>
          <w:sz w:val="24"/>
          <w:szCs w:val="24"/>
        </w:rPr>
        <w:t xml:space="preserve"> and his ability to create powerful poetry. </w:t>
      </w:r>
      <w:r w:rsidRPr="00E607F6">
        <w:rPr>
          <w:sz w:val="24"/>
          <w:szCs w:val="24"/>
        </w:rPr>
        <w:t xml:space="preserve"> </w:t>
      </w:r>
    </w:p>
    <w:p w14:paraId="2DC295A7" w14:textId="53A7B1ED" w:rsidR="006D09E2" w:rsidRPr="00E607F6" w:rsidRDefault="006D09E2" w:rsidP="0033260E">
      <w:pPr>
        <w:spacing w:line="480" w:lineRule="auto"/>
        <w:jc w:val="both"/>
        <w:rPr>
          <w:sz w:val="24"/>
          <w:szCs w:val="24"/>
        </w:rPr>
      </w:pPr>
      <w:r w:rsidRPr="00E607F6">
        <w:rPr>
          <w:sz w:val="24"/>
          <w:szCs w:val="24"/>
        </w:rPr>
        <w:t>In line 33, Carew mentions Pindar as one of the poets that have been imitated by the lesser poets with none of their own inventions. Pindar was a lyric poet born around 518-522 BC.</w:t>
      </w:r>
      <w:r w:rsidR="00733429" w:rsidRPr="00E607F6">
        <w:rPr>
          <w:rStyle w:val="FootnoteReference"/>
          <w:sz w:val="24"/>
          <w:szCs w:val="24"/>
        </w:rPr>
        <w:footnoteReference w:id="11"/>
      </w:r>
      <w:r w:rsidRPr="00E607F6">
        <w:rPr>
          <w:sz w:val="24"/>
          <w:szCs w:val="24"/>
        </w:rPr>
        <w:t xml:space="preserve"> He is most famous for his epinician victory odes to the winners of the official games held in Greece; the Olympic, Pythian, Nemean and Isthmian games.</w:t>
      </w:r>
      <w:r w:rsidR="004A4DC2" w:rsidRPr="00E607F6">
        <w:rPr>
          <w:rStyle w:val="FootnoteReference"/>
          <w:sz w:val="24"/>
          <w:szCs w:val="24"/>
        </w:rPr>
        <w:footnoteReference w:id="12"/>
      </w:r>
      <w:r w:rsidRPr="00E607F6">
        <w:rPr>
          <w:sz w:val="24"/>
          <w:szCs w:val="24"/>
        </w:rPr>
        <w:t xml:space="preserve"> One of Pindar</w:t>
      </w:r>
      <w:r w:rsidR="00AD39A0">
        <w:rPr>
          <w:sz w:val="24"/>
          <w:szCs w:val="24"/>
        </w:rPr>
        <w:t>’</w:t>
      </w:r>
      <w:r w:rsidRPr="00E607F6">
        <w:rPr>
          <w:sz w:val="24"/>
          <w:szCs w:val="24"/>
        </w:rPr>
        <w:t>s characteristics was to mention myth in his odes when praising the victors (similarly to how Carew is using myth to praise Donne).</w:t>
      </w:r>
      <w:r w:rsidR="004A4DC2" w:rsidRPr="00E607F6">
        <w:rPr>
          <w:rStyle w:val="FootnoteReference"/>
          <w:sz w:val="24"/>
          <w:szCs w:val="24"/>
        </w:rPr>
        <w:footnoteReference w:id="13"/>
      </w:r>
      <w:r w:rsidRPr="00E607F6">
        <w:rPr>
          <w:sz w:val="24"/>
          <w:szCs w:val="24"/>
        </w:rPr>
        <w:t xml:space="preserve"> Pindar has been called the </w:t>
      </w:r>
      <w:r w:rsidR="00AD39A0">
        <w:rPr>
          <w:sz w:val="24"/>
          <w:szCs w:val="24"/>
        </w:rPr>
        <w:t>“</w:t>
      </w:r>
      <w:r w:rsidRPr="00E607F6">
        <w:rPr>
          <w:sz w:val="24"/>
          <w:szCs w:val="24"/>
        </w:rPr>
        <w:t>greatest lyric poet of Ancient Greece</w:t>
      </w:r>
      <w:r w:rsidR="00AD39A0">
        <w:rPr>
          <w:sz w:val="24"/>
          <w:szCs w:val="24"/>
        </w:rPr>
        <w:t>”</w:t>
      </w:r>
      <w:r w:rsidRPr="00E607F6">
        <w:rPr>
          <w:sz w:val="24"/>
          <w:szCs w:val="24"/>
        </w:rPr>
        <w:t>, and for Carew to place Donne in the same category of original poet as him is very high praise indeed.</w:t>
      </w:r>
      <w:r w:rsidR="004A4DC2" w:rsidRPr="00E607F6">
        <w:rPr>
          <w:rStyle w:val="FootnoteReference"/>
          <w:sz w:val="24"/>
          <w:szCs w:val="24"/>
        </w:rPr>
        <w:footnoteReference w:id="14"/>
      </w:r>
      <w:r w:rsidRPr="00E607F6">
        <w:rPr>
          <w:sz w:val="24"/>
          <w:szCs w:val="24"/>
        </w:rPr>
        <w:t xml:space="preserve"> </w:t>
      </w:r>
    </w:p>
    <w:p w14:paraId="1CF3E064" w14:textId="795677FC" w:rsidR="006D09E2" w:rsidRPr="00E607F6" w:rsidRDefault="006D09E2" w:rsidP="0033260E">
      <w:pPr>
        <w:spacing w:line="480" w:lineRule="auto"/>
        <w:jc w:val="both"/>
        <w:rPr>
          <w:sz w:val="24"/>
          <w:szCs w:val="24"/>
        </w:rPr>
      </w:pPr>
      <w:r w:rsidRPr="00E607F6">
        <w:rPr>
          <w:sz w:val="24"/>
          <w:szCs w:val="24"/>
        </w:rPr>
        <w:lastRenderedPageBreak/>
        <w:t>Each of the official games held in Ancient Greece that Pindar wrote the odes for had its own type of crown that was awarded to the winners.</w:t>
      </w:r>
      <w:r w:rsidR="00AA73D6" w:rsidRPr="00E607F6">
        <w:rPr>
          <w:rStyle w:val="FootnoteReference"/>
          <w:sz w:val="24"/>
          <w:szCs w:val="24"/>
        </w:rPr>
        <w:footnoteReference w:id="15"/>
      </w:r>
      <w:r w:rsidRPr="00E607F6">
        <w:rPr>
          <w:sz w:val="24"/>
          <w:szCs w:val="24"/>
        </w:rPr>
        <w:t xml:space="preserve"> The Olympic games had the wild olive, the Isthmus had dried parsley or pine, Nemea had green parsley, and the winners of the Pythian games were awarded the crown of bay laurel.</w:t>
      </w:r>
      <w:r w:rsidR="00AA73D6" w:rsidRPr="00E607F6">
        <w:rPr>
          <w:rStyle w:val="FootnoteReference"/>
          <w:sz w:val="24"/>
          <w:szCs w:val="24"/>
        </w:rPr>
        <w:footnoteReference w:id="16"/>
      </w:r>
      <w:r w:rsidRPr="00E607F6">
        <w:rPr>
          <w:sz w:val="24"/>
          <w:szCs w:val="24"/>
        </w:rPr>
        <w:t xml:space="preserve"> </w:t>
      </w:r>
      <w:r w:rsidR="00DE479C" w:rsidRPr="00E607F6">
        <w:rPr>
          <w:sz w:val="24"/>
          <w:szCs w:val="24"/>
        </w:rPr>
        <w:t xml:space="preserve">The bay laurel was a tree </w:t>
      </w:r>
      <w:r w:rsidR="00DE479C" w:rsidRPr="00E607F6">
        <w:rPr>
          <w:sz w:val="24"/>
          <w:szCs w:val="24"/>
        </w:rPr>
        <w:t>sacred to</w:t>
      </w:r>
      <w:r w:rsidR="00DE479C" w:rsidRPr="00E607F6">
        <w:rPr>
          <w:sz w:val="24"/>
          <w:szCs w:val="24"/>
        </w:rPr>
        <w:t xml:space="preserve"> Apollo.</w:t>
      </w:r>
      <w:r w:rsidR="00DE479C" w:rsidRPr="00E607F6">
        <w:rPr>
          <w:rStyle w:val="FootnoteReference"/>
          <w:sz w:val="24"/>
          <w:szCs w:val="24"/>
        </w:rPr>
        <w:footnoteReference w:id="17"/>
      </w:r>
      <w:r w:rsidR="00DE479C" w:rsidRPr="00E607F6">
        <w:rPr>
          <w:sz w:val="24"/>
          <w:szCs w:val="24"/>
        </w:rPr>
        <w:t xml:space="preserve"> </w:t>
      </w:r>
      <w:r w:rsidRPr="00E607F6">
        <w:rPr>
          <w:sz w:val="24"/>
          <w:szCs w:val="24"/>
        </w:rPr>
        <w:t>The Pythian games were held at Delphi, which was where the oracle of Apollo was base</w:t>
      </w:r>
      <w:r w:rsidR="0066118B" w:rsidRPr="00E607F6">
        <w:rPr>
          <w:sz w:val="24"/>
          <w:szCs w:val="24"/>
        </w:rPr>
        <w:t>d.</w:t>
      </w:r>
      <w:r w:rsidR="003023CD" w:rsidRPr="00E607F6">
        <w:rPr>
          <w:rStyle w:val="FootnoteReference"/>
          <w:sz w:val="24"/>
          <w:szCs w:val="24"/>
        </w:rPr>
        <w:footnoteReference w:id="18"/>
      </w:r>
      <w:r w:rsidR="0066118B" w:rsidRPr="00E607F6">
        <w:rPr>
          <w:sz w:val="24"/>
          <w:szCs w:val="24"/>
        </w:rPr>
        <w:t xml:space="preserve"> </w:t>
      </w:r>
      <w:r w:rsidRPr="00E607F6">
        <w:rPr>
          <w:sz w:val="24"/>
          <w:szCs w:val="24"/>
        </w:rPr>
        <w:t>Originally the Pythian festival had only one contest, the singing of a hymn to Apollo (The athletic contests were added later).</w:t>
      </w:r>
      <w:r w:rsidR="003023CD" w:rsidRPr="00E607F6">
        <w:rPr>
          <w:rStyle w:val="FootnoteReference"/>
          <w:sz w:val="24"/>
          <w:szCs w:val="24"/>
        </w:rPr>
        <w:footnoteReference w:id="19"/>
      </w:r>
      <w:r w:rsidRPr="00E607F6">
        <w:rPr>
          <w:sz w:val="24"/>
          <w:szCs w:val="24"/>
        </w:rPr>
        <w:t xml:space="preserve"> </w:t>
      </w:r>
    </w:p>
    <w:p w14:paraId="52F4230F" w14:textId="472F7852" w:rsidR="006D09E2" w:rsidRPr="00E607F6" w:rsidRDefault="006D09E2" w:rsidP="0033260E">
      <w:pPr>
        <w:spacing w:line="480" w:lineRule="auto"/>
        <w:jc w:val="both"/>
        <w:rPr>
          <w:sz w:val="24"/>
          <w:szCs w:val="24"/>
        </w:rPr>
      </w:pPr>
      <w:r w:rsidRPr="00E607F6">
        <w:rPr>
          <w:sz w:val="24"/>
          <w:szCs w:val="24"/>
        </w:rPr>
        <w:t>In lines 83-84, Carew says that he would cast a crown of bays onto Donne</w:t>
      </w:r>
      <w:r w:rsidR="00AD39A0">
        <w:rPr>
          <w:sz w:val="24"/>
          <w:szCs w:val="24"/>
        </w:rPr>
        <w:t>’</w:t>
      </w:r>
      <w:r w:rsidRPr="00E607F6">
        <w:rPr>
          <w:sz w:val="24"/>
          <w:szCs w:val="24"/>
        </w:rPr>
        <w:t xml:space="preserve">s funeral pile. </w:t>
      </w:r>
      <w:r w:rsidR="00AA73D6" w:rsidRPr="00E607F6">
        <w:rPr>
          <w:sz w:val="24"/>
          <w:szCs w:val="24"/>
        </w:rPr>
        <w:t>I believe that h</w:t>
      </w:r>
      <w:r w:rsidRPr="00E607F6">
        <w:rPr>
          <w:sz w:val="24"/>
          <w:szCs w:val="24"/>
        </w:rPr>
        <w:t>e is saying that Donne was worthy of the award given to the winners of the Delphi games. Considering that Apollo was the god being honoured by the Pythian games and that he was a god associated with poetry and the arts, to be a winner of a contest there would show remarkable artistic skill.</w:t>
      </w:r>
      <w:r w:rsidR="00AD39A0">
        <w:rPr>
          <w:sz w:val="24"/>
          <w:szCs w:val="24"/>
        </w:rPr>
        <w:t xml:space="preserve"> On the other hand,</w:t>
      </w:r>
      <w:r w:rsidRPr="00E607F6">
        <w:rPr>
          <w:sz w:val="24"/>
          <w:szCs w:val="24"/>
        </w:rPr>
        <w:t xml:space="preserve"> </w:t>
      </w:r>
      <w:r w:rsidR="001C1EBB">
        <w:rPr>
          <w:sz w:val="24"/>
          <w:szCs w:val="24"/>
        </w:rPr>
        <w:t xml:space="preserve">Carew could also be casting the crown into the fire along with Donne to show that the world would have no use of a crown of bays anymore, as the last deserving poet was gone. </w:t>
      </w:r>
    </w:p>
    <w:p w14:paraId="7AF1E245" w14:textId="0327B351" w:rsidR="006D09E2" w:rsidRPr="00E607F6" w:rsidRDefault="006D09E2" w:rsidP="0033260E">
      <w:pPr>
        <w:spacing w:line="480" w:lineRule="auto"/>
        <w:jc w:val="both"/>
        <w:rPr>
          <w:sz w:val="24"/>
          <w:szCs w:val="24"/>
        </w:rPr>
      </w:pPr>
      <w:r w:rsidRPr="00E607F6">
        <w:rPr>
          <w:sz w:val="24"/>
          <w:szCs w:val="24"/>
        </w:rPr>
        <w:t xml:space="preserve">By explaining these classical and mythological references, I hope that I have illustrated how highly Carew thought of Donne. </w:t>
      </w:r>
      <w:r w:rsidR="001C1EBB">
        <w:rPr>
          <w:sz w:val="24"/>
          <w:szCs w:val="24"/>
        </w:rPr>
        <w:t xml:space="preserve">By comparing Donne to great lyric poets and </w:t>
      </w:r>
      <w:r w:rsidR="00AD39A0">
        <w:rPr>
          <w:sz w:val="24"/>
          <w:szCs w:val="24"/>
        </w:rPr>
        <w:t xml:space="preserve">placing him alongside </w:t>
      </w:r>
      <w:r w:rsidR="001C1EBB">
        <w:rPr>
          <w:sz w:val="24"/>
          <w:szCs w:val="24"/>
        </w:rPr>
        <w:t>mythological characters, Carew lifts Donne to unattainable</w:t>
      </w:r>
      <w:r w:rsidR="00AD39A0">
        <w:rPr>
          <w:sz w:val="24"/>
          <w:szCs w:val="24"/>
        </w:rPr>
        <w:t xml:space="preserve"> levels of brilliance that the world of poetry will mourn. </w:t>
      </w:r>
      <w:r w:rsidR="001C1EBB">
        <w:rPr>
          <w:sz w:val="24"/>
          <w:szCs w:val="24"/>
        </w:rPr>
        <w:t xml:space="preserve"> </w:t>
      </w:r>
    </w:p>
    <w:p w14:paraId="28A28A14" w14:textId="7E97DCAE" w:rsidR="00E607F6" w:rsidRPr="00E607F6" w:rsidRDefault="00E607F6" w:rsidP="00E607F6">
      <w:pPr>
        <w:spacing w:line="480" w:lineRule="auto"/>
        <w:rPr>
          <w:sz w:val="24"/>
          <w:szCs w:val="24"/>
        </w:rPr>
      </w:pPr>
    </w:p>
    <w:p w14:paraId="4DBA70D3" w14:textId="77777777" w:rsidR="00E607F6" w:rsidRDefault="00E607F6" w:rsidP="00E607F6">
      <w:pPr>
        <w:spacing w:line="480" w:lineRule="auto"/>
        <w:rPr>
          <w:sz w:val="24"/>
          <w:szCs w:val="24"/>
        </w:rPr>
      </w:pPr>
    </w:p>
    <w:p w14:paraId="03462909" w14:textId="7AB92626" w:rsidR="00E607F6" w:rsidRPr="00AD39A0" w:rsidRDefault="00E607F6" w:rsidP="00E607F6">
      <w:pPr>
        <w:spacing w:line="480" w:lineRule="auto"/>
        <w:rPr>
          <w:sz w:val="28"/>
          <w:szCs w:val="28"/>
        </w:rPr>
      </w:pPr>
      <w:r w:rsidRPr="00AD39A0">
        <w:rPr>
          <w:sz w:val="28"/>
          <w:szCs w:val="28"/>
        </w:rPr>
        <w:t>Bibliography</w:t>
      </w:r>
    </w:p>
    <w:p w14:paraId="78AA43A5" w14:textId="1D1FC484" w:rsidR="006D09E2" w:rsidRPr="00E607F6" w:rsidRDefault="00E607F6" w:rsidP="00E607F6">
      <w:pPr>
        <w:spacing w:line="480" w:lineRule="auto"/>
        <w:rPr>
          <w:sz w:val="24"/>
          <w:szCs w:val="24"/>
        </w:rPr>
      </w:pPr>
      <w:r w:rsidRPr="00E607F6">
        <w:rPr>
          <w:sz w:val="24"/>
          <w:szCs w:val="24"/>
        </w:rPr>
        <w:t>Britannica, The Editors of Encyclopaedia. "Johannes Gutenberg summary</w:t>
      </w:r>
      <w:r w:rsidRPr="00E607F6">
        <w:rPr>
          <w:i/>
          <w:iCs/>
          <w:sz w:val="24"/>
          <w:szCs w:val="24"/>
        </w:rPr>
        <w:t>". Encyclopedia Britannica</w:t>
      </w:r>
      <w:r w:rsidRPr="00E607F6">
        <w:rPr>
          <w:sz w:val="24"/>
          <w:szCs w:val="24"/>
        </w:rPr>
        <w:t xml:space="preserve">, 2 May. 2020, </w:t>
      </w:r>
      <w:hyperlink r:id="rId8" w:history="1">
        <w:r w:rsidRPr="00E607F6">
          <w:rPr>
            <w:rStyle w:val="Hyperlink"/>
            <w:sz w:val="24"/>
            <w:szCs w:val="24"/>
          </w:rPr>
          <w:t>https://www.britannica.com/summary/Johannes-Gutenberg</w:t>
        </w:r>
      </w:hyperlink>
      <w:r w:rsidRPr="00E607F6">
        <w:rPr>
          <w:sz w:val="24"/>
          <w:szCs w:val="24"/>
        </w:rPr>
        <w:t>. Accessed 2 October 2022</w:t>
      </w:r>
    </w:p>
    <w:p w14:paraId="34AD8BEB" w14:textId="4264F97E" w:rsidR="00E607F6" w:rsidRPr="00E607F6" w:rsidRDefault="00E607F6" w:rsidP="00E607F6">
      <w:pPr>
        <w:spacing w:line="480" w:lineRule="auto"/>
        <w:rPr>
          <w:sz w:val="24"/>
          <w:szCs w:val="24"/>
        </w:rPr>
      </w:pPr>
      <w:r w:rsidRPr="00E607F6">
        <w:rPr>
          <w:sz w:val="24"/>
          <w:szCs w:val="24"/>
        </w:rPr>
        <w:t xml:space="preserve">Britannica, The Editors of Encyclopaedia. </w:t>
      </w:r>
      <w:r w:rsidR="00AD39A0">
        <w:rPr>
          <w:sz w:val="24"/>
          <w:szCs w:val="24"/>
        </w:rPr>
        <w:t>“</w:t>
      </w:r>
      <w:r w:rsidRPr="00E607F6">
        <w:rPr>
          <w:sz w:val="24"/>
          <w:szCs w:val="24"/>
        </w:rPr>
        <w:t>Pythian Games</w:t>
      </w:r>
      <w:r w:rsidR="00AD39A0">
        <w:rPr>
          <w:sz w:val="24"/>
          <w:szCs w:val="24"/>
        </w:rPr>
        <w:t>”</w:t>
      </w:r>
      <w:r w:rsidRPr="00E607F6">
        <w:rPr>
          <w:sz w:val="24"/>
          <w:szCs w:val="24"/>
        </w:rPr>
        <w:t>. </w:t>
      </w:r>
      <w:r w:rsidRPr="00E607F6">
        <w:rPr>
          <w:i/>
          <w:iCs/>
          <w:sz w:val="24"/>
          <w:szCs w:val="24"/>
        </w:rPr>
        <w:t>Encyclopedia Britannica</w:t>
      </w:r>
      <w:r w:rsidRPr="00E607F6">
        <w:rPr>
          <w:sz w:val="24"/>
          <w:szCs w:val="24"/>
        </w:rPr>
        <w:t>, 28 Apr</w:t>
      </w:r>
      <w:r w:rsidR="00AD39A0">
        <w:rPr>
          <w:sz w:val="24"/>
          <w:szCs w:val="24"/>
        </w:rPr>
        <w:t>il</w:t>
      </w:r>
      <w:r w:rsidRPr="00E607F6">
        <w:rPr>
          <w:sz w:val="24"/>
          <w:szCs w:val="24"/>
        </w:rPr>
        <w:t xml:space="preserve"> 2008, </w:t>
      </w:r>
      <w:hyperlink r:id="rId9" w:history="1">
        <w:r w:rsidRPr="002A3854">
          <w:rPr>
            <w:rStyle w:val="Hyperlink"/>
            <w:sz w:val="24"/>
            <w:szCs w:val="24"/>
          </w:rPr>
          <w:t>https://www.britannica.com/sports/Pythian-Games</w:t>
        </w:r>
      </w:hyperlink>
      <w:r w:rsidRPr="00E607F6">
        <w:rPr>
          <w:sz w:val="24"/>
          <w:szCs w:val="24"/>
        </w:rPr>
        <w:t>.</w:t>
      </w:r>
      <w:r>
        <w:rPr>
          <w:sz w:val="24"/>
          <w:szCs w:val="24"/>
        </w:rPr>
        <w:t xml:space="preserve"> </w:t>
      </w:r>
      <w:r w:rsidRPr="00E607F6">
        <w:rPr>
          <w:sz w:val="24"/>
          <w:szCs w:val="24"/>
        </w:rPr>
        <w:t>Accessed 5 October 2022</w:t>
      </w:r>
    </w:p>
    <w:p w14:paraId="28F76985" w14:textId="2212B2E0" w:rsidR="00E607F6" w:rsidRPr="00E607F6" w:rsidRDefault="00E607F6" w:rsidP="00E607F6">
      <w:pPr>
        <w:spacing w:line="480" w:lineRule="auto"/>
        <w:rPr>
          <w:sz w:val="24"/>
          <w:szCs w:val="24"/>
        </w:rPr>
      </w:pPr>
      <w:r w:rsidRPr="00E607F6">
        <w:rPr>
          <w:sz w:val="24"/>
          <w:szCs w:val="24"/>
        </w:rPr>
        <w:t xml:space="preserve">Britannica, The Editors of Encyclopaedia. </w:t>
      </w:r>
      <w:r w:rsidR="00AD39A0">
        <w:rPr>
          <w:sz w:val="24"/>
          <w:szCs w:val="24"/>
        </w:rPr>
        <w:t>“</w:t>
      </w:r>
      <w:r w:rsidRPr="00E607F6">
        <w:rPr>
          <w:sz w:val="24"/>
          <w:szCs w:val="24"/>
        </w:rPr>
        <w:t>Renaissance</w:t>
      </w:r>
      <w:r w:rsidR="00AD39A0">
        <w:rPr>
          <w:sz w:val="24"/>
          <w:szCs w:val="24"/>
        </w:rPr>
        <w:t>”</w:t>
      </w:r>
      <w:r w:rsidRPr="00E607F6">
        <w:rPr>
          <w:sz w:val="24"/>
          <w:szCs w:val="24"/>
        </w:rPr>
        <w:t xml:space="preserve">. </w:t>
      </w:r>
      <w:r w:rsidRPr="00E607F6">
        <w:rPr>
          <w:i/>
          <w:iCs/>
          <w:sz w:val="24"/>
          <w:szCs w:val="24"/>
        </w:rPr>
        <w:t>Encyclopedia Britannica</w:t>
      </w:r>
      <w:r w:rsidRPr="00E607F6">
        <w:rPr>
          <w:sz w:val="24"/>
          <w:szCs w:val="24"/>
        </w:rPr>
        <w:t>, 12 Aug</w:t>
      </w:r>
      <w:r w:rsidR="00AD39A0">
        <w:rPr>
          <w:sz w:val="24"/>
          <w:szCs w:val="24"/>
        </w:rPr>
        <w:t>ust</w:t>
      </w:r>
      <w:r w:rsidRPr="00E607F6">
        <w:rPr>
          <w:sz w:val="24"/>
          <w:szCs w:val="24"/>
        </w:rPr>
        <w:t xml:space="preserve"> 2022, </w:t>
      </w:r>
      <w:hyperlink r:id="rId10" w:history="1">
        <w:r w:rsidR="0053539D" w:rsidRPr="002A3854">
          <w:rPr>
            <w:rStyle w:val="Hyperlink"/>
            <w:sz w:val="24"/>
            <w:szCs w:val="24"/>
          </w:rPr>
          <w:t>https://www.britannica.com/event/Renaissance.Accessed 2 October 2022</w:t>
        </w:r>
      </w:hyperlink>
    </w:p>
    <w:p w14:paraId="7656289C" w14:textId="77777777" w:rsidR="00E607F6" w:rsidRPr="00E607F6" w:rsidRDefault="006D09E2" w:rsidP="00E607F6">
      <w:pPr>
        <w:spacing w:line="480" w:lineRule="auto"/>
        <w:rPr>
          <w:sz w:val="24"/>
          <w:szCs w:val="24"/>
        </w:rPr>
      </w:pPr>
      <w:r w:rsidRPr="00E607F6">
        <w:rPr>
          <w:sz w:val="24"/>
          <w:szCs w:val="24"/>
        </w:rPr>
        <w:t>Burrow, Colin, </w:t>
      </w:r>
      <w:r w:rsidRPr="00E607F6">
        <w:rPr>
          <w:i/>
          <w:iCs/>
          <w:sz w:val="24"/>
          <w:szCs w:val="24"/>
        </w:rPr>
        <w:t>Metaphysical Poetry</w:t>
      </w:r>
      <w:r w:rsidRPr="00E607F6">
        <w:rPr>
          <w:sz w:val="24"/>
          <w:szCs w:val="24"/>
        </w:rPr>
        <w:t> ([Place of publication not identified]: Penguin, 2006)</w:t>
      </w:r>
    </w:p>
    <w:p w14:paraId="498D44C4" w14:textId="6260F23B" w:rsidR="00E607F6" w:rsidRPr="00E607F6" w:rsidRDefault="00E607F6" w:rsidP="00E607F6">
      <w:pPr>
        <w:spacing w:line="480" w:lineRule="auto"/>
        <w:rPr>
          <w:sz w:val="24"/>
          <w:szCs w:val="24"/>
        </w:rPr>
      </w:pPr>
      <w:proofErr w:type="spellStart"/>
      <w:r w:rsidRPr="00E607F6">
        <w:rPr>
          <w:sz w:val="24"/>
          <w:szCs w:val="24"/>
        </w:rPr>
        <w:t>Grimal</w:t>
      </w:r>
      <w:proofErr w:type="spellEnd"/>
      <w:r w:rsidRPr="00E607F6">
        <w:rPr>
          <w:sz w:val="24"/>
          <w:szCs w:val="24"/>
        </w:rPr>
        <w:t>, Pierre, and A. R Maxwell-</w:t>
      </w:r>
      <w:proofErr w:type="spellStart"/>
      <w:r w:rsidRPr="00E607F6">
        <w:rPr>
          <w:sz w:val="24"/>
          <w:szCs w:val="24"/>
        </w:rPr>
        <w:t>Hyslop</w:t>
      </w:r>
      <w:proofErr w:type="spellEnd"/>
      <w:r w:rsidRPr="00E607F6">
        <w:rPr>
          <w:sz w:val="24"/>
          <w:szCs w:val="24"/>
        </w:rPr>
        <w:t xml:space="preserve"> (trans), </w:t>
      </w:r>
      <w:r w:rsidRPr="00E607F6">
        <w:rPr>
          <w:i/>
          <w:iCs/>
          <w:sz w:val="24"/>
          <w:szCs w:val="24"/>
        </w:rPr>
        <w:t xml:space="preserve">The Dictionary </w:t>
      </w:r>
      <w:proofErr w:type="gramStart"/>
      <w:r w:rsidRPr="00E607F6">
        <w:rPr>
          <w:i/>
          <w:iCs/>
          <w:sz w:val="24"/>
          <w:szCs w:val="24"/>
        </w:rPr>
        <w:t>Of</w:t>
      </w:r>
      <w:proofErr w:type="gramEnd"/>
      <w:r w:rsidRPr="00E607F6">
        <w:rPr>
          <w:i/>
          <w:iCs/>
          <w:sz w:val="24"/>
          <w:szCs w:val="24"/>
        </w:rPr>
        <w:t xml:space="preserve"> Classical Mythology</w:t>
      </w:r>
      <w:r w:rsidRPr="00E607F6">
        <w:rPr>
          <w:sz w:val="24"/>
          <w:szCs w:val="24"/>
        </w:rPr>
        <w:t> (Oxford: Basil Blackwell Publishing, 1986)</w:t>
      </w:r>
    </w:p>
    <w:p w14:paraId="6AA528C3" w14:textId="63A05C61" w:rsidR="00E607F6" w:rsidRPr="00E607F6" w:rsidRDefault="00E607F6" w:rsidP="00E607F6">
      <w:pPr>
        <w:spacing w:line="480" w:lineRule="auto"/>
        <w:rPr>
          <w:sz w:val="24"/>
          <w:szCs w:val="24"/>
        </w:rPr>
      </w:pPr>
      <w:r w:rsidRPr="00807851">
        <w:rPr>
          <w:sz w:val="24"/>
          <w:szCs w:val="24"/>
        </w:rPr>
        <w:t>Hornblower, Simon,</w:t>
      </w:r>
      <w:r w:rsidRPr="00E607F6">
        <w:rPr>
          <w:sz w:val="24"/>
          <w:szCs w:val="24"/>
        </w:rPr>
        <w:t xml:space="preserve"> (ed.)</w:t>
      </w:r>
      <w:r w:rsidRPr="00807851">
        <w:rPr>
          <w:sz w:val="24"/>
          <w:szCs w:val="24"/>
        </w:rPr>
        <w:t xml:space="preserve"> and Antony </w:t>
      </w:r>
      <w:proofErr w:type="spellStart"/>
      <w:r w:rsidRPr="00807851">
        <w:rPr>
          <w:sz w:val="24"/>
          <w:szCs w:val="24"/>
        </w:rPr>
        <w:t>Spawforth</w:t>
      </w:r>
      <w:proofErr w:type="spellEnd"/>
      <w:r w:rsidRPr="00807851">
        <w:rPr>
          <w:sz w:val="24"/>
          <w:szCs w:val="24"/>
        </w:rPr>
        <w:t>,</w:t>
      </w:r>
      <w:r w:rsidRPr="00E607F6">
        <w:rPr>
          <w:sz w:val="24"/>
          <w:szCs w:val="24"/>
        </w:rPr>
        <w:t xml:space="preserve"> (ed.)</w:t>
      </w:r>
      <w:r w:rsidRPr="00807851">
        <w:rPr>
          <w:sz w:val="24"/>
          <w:szCs w:val="24"/>
        </w:rPr>
        <w:t> </w:t>
      </w:r>
      <w:r w:rsidRPr="00807851">
        <w:rPr>
          <w:i/>
          <w:iCs/>
          <w:sz w:val="24"/>
          <w:szCs w:val="24"/>
        </w:rPr>
        <w:t>The Oxford Classical Dictionary</w:t>
      </w:r>
      <w:r w:rsidRPr="00807851">
        <w:rPr>
          <w:sz w:val="24"/>
          <w:szCs w:val="24"/>
        </w:rPr>
        <w:t>, 3rd ed</w:t>
      </w:r>
      <w:r w:rsidR="00AD39A0">
        <w:rPr>
          <w:sz w:val="24"/>
          <w:szCs w:val="24"/>
        </w:rPr>
        <w:t>itio</w:t>
      </w:r>
      <w:r w:rsidRPr="00807851">
        <w:rPr>
          <w:sz w:val="24"/>
          <w:szCs w:val="24"/>
        </w:rPr>
        <w:t>n (New York: Oxford University Press, 1996)</w:t>
      </w:r>
    </w:p>
    <w:p w14:paraId="3F727704" w14:textId="410319C6" w:rsidR="00E607F6" w:rsidRPr="00E607F6" w:rsidRDefault="00E607F6" w:rsidP="00E607F6">
      <w:pPr>
        <w:spacing w:line="480" w:lineRule="auto"/>
        <w:rPr>
          <w:sz w:val="24"/>
          <w:szCs w:val="24"/>
        </w:rPr>
      </w:pPr>
      <w:r w:rsidRPr="00E607F6">
        <w:rPr>
          <w:sz w:val="24"/>
          <w:szCs w:val="24"/>
        </w:rPr>
        <w:t>Kuiper, Kathleen (ed.), </w:t>
      </w:r>
      <w:r w:rsidRPr="00E607F6">
        <w:rPr>
          <w:i/>
          <w:iCs/>
          <w:sz w:val="24"/>
          <w:szCs w:val="24"/>
        </w:rPr>
        <w:t>Merriam Webster</w:t>
      </w:r>
      <w:r w:rsidR="00AD39A0">
        <w:rPr>
          <w:i/>
          <w:iCs/>
          <w:sz w:val="24"/>
          <w:szCs w:val="24"/>
        </w:rPr>
        <w:t>’</w:t>
      </w:r>
      <w:r w:rsidRPr="00E607F6">
        <w:rPr>
          <w:i/>
          <w:iCs/>
          <w:sz w:val="24"/>
          <w:szCs w:val="24"/>
        </w:rPr>
        <w:t xml:space="preserve">s Encyclopedia </w:t>
      </w:r>
      <w:proofErr w:type="gramStart"/>
      <w:r w:rsidRPr="00E607F6">
        <w:rPr>
          <w:i/>
          <w:iCs/>
          <w:sz w:val="24"/>
          <w:szCs w:val="24"/>
        </w:rPr>
        <w:t>Of</w:t>
      </w:r>
      <w:proofErr w:type="gramEnd"/>
      <w:r w:rsidRPr="00E607F6">
        <w:rPr>
          <w:i/>
          <w:iCs/>
          <w:sz w:val="24"/>
          <w:szCs w:val="24"/>
        </w:rPr>
        <w:t xml:space="preserve"> Literature</w:t>
      </w:r>
      <w:r w:rsidRPr="00E607F6">
        <w:rPr>
          <w:sz w:val="24"/>
          <w:szCs w:val="24"/>
        </w:rPr>
        <w:t> (Massachusetts: Merriam-Webster Incorporated, 1995)</w:t>
      </w:r>
    </w:p>
    <w:p w14:paraId="6A47389C" w14:textId="77753468" w:rsidR="006D09E2" w:rsidRPr="00E607F6" w:rsidRDefault="00E607F6" w:rsidP="00E607F6">
      <w:pPr>
        <w:spacing w:line="480" w:lineRule="auto"/>
        <w:rPr>
          <w:sz w:val="24"/>
          <w:szCs w:val="24"/>
        </w:rPr>
      </w:pPr>
      <w:r w:rsidRPr="00E607F6">
        <w:rPr>
          <w:sz w:val="24"/>
          <w:szCs w:val="24"/>
        </w:rPr>
        <w:t xml:space="preserve">Race, William H (ed.) (trans.), </w:t>
      </w:r>
      <w:r w:rsidRPr="00E607F6">
        <w:rPr>
          <w:i/>
          <w:iCs/>
          <w:sz w:val="24"/>
          <w:szCs w:val="24"/>
        </w:rPr>
        <w:t>Pindar. Olympian Odes. Pythian Odes</w:t>
      </w:r>
      <w:r w:rsidRPr="00E607F6">
        <w:rPr>
          <w:sz w:val="24"/>
          <w:szCs w:val="24"/>
        </w:rPr>
        <w:t>. (Loeb Classical Library 56. Cambridge: MA: Harvard University Press, 1997)</w:t>
      </w:r>
    </w:p>
    <w:p w14:paraId="69365570" w14:textId="09106DDC" w:rsidR="0033260E" w:rsidRPr="0033260E" w:rsidRDefault="006D09E2" w:rsidP="0033260E">
      <w:pPr>
        <w:spacing w:line="480" w:lineRule="auto"/>
        <w:rPr>
          <w:sz w:val="24"/>
          <w:szCs w:val="24"/>
        </w:rPr>
      </w:pPr>
      <w:r w:rsidRPr="00E607F6">
        <w:rPr>
          <w:sz w:val="24"/>
          <w:szCs w:val="24"/>
        </w:rPr>
        <w:t>Tripp, Edward, </w:t>
      </w:r>
      <w:r w:rsidRPr="00E607F6">
        <w:rPr>
          <w:i/>
          <w:iCs/>
          <w:sz w:val="24"/>
          <w:szCs w:val="24"/>
        </w:rPr>
        <w:t xml:space="preserve">Collins Reference Dictionary </w:t>
      </w:r>
      <w:proofErr w:type="gramStart"/>
      <w:r w:rsidRPr="00E607F6">
        <w:rPr>
          <w:i/>
          <w:iCs/>
          <w:sz w:val="24"/>
          <w:szCs w:val="24"/>
        </w:rPr>
        <w:t>Of</w:t>
      </w:r>
      <w:proofErr w:type="gramEnd"/>
      <w:r w:rsidRPr="00E607F6">
        <w:rPr>
          <w:i/>
          <w:iCs/>
          <w:sz w:val="24"/>
          <w:szCs w:val="24"/>
        </w:rPr>
        <w:t xml:space="preserve"> Classical Mythology</w:t>
      </w:r>
      <w:r w:rsidRPr="00E607F6">
        <w:rPr>
          <w:sz w:val="24"/>
          <w:szCs w:val="24"/>
        </w:rPr>
        <w:t> (London: Collins Publishers, 1988)</w:t>
      </w:r>
    </w:p>
    <w:sectPr w:rsidR="0033260E" w:rsidRPr="0033260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6794B" w14:textId="77777777" w:rsidR="007D5FC7" w:rsidRDefault="007D5FC7" w:rsidP="00FE00D3">
      <w:pPr>
        <w:spacing w:after="0" w:line="240" w:lineRule="auto"/>
      </w:pPr>
      <w:r>
        <w:separator/>
      </w:r>
    </w:p>
  </w:endnote>
  <w:endnote w:type="continuationSeparator" w:id="0">
    <w:p w14:paraId="3B6C98A5" w14:textId="77777777" w:rsidR="007D5FC7" w:rsidRDefault="007D5FC7" w:rsidP="00FE0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34A35" w14:textId="77777777" w:rsidR="007D5FC7" w:rsidRDefault="007D5FC7" w:rsidP="00FE00D3">
      <w:pPr>
        <w:spacing w:after="0" w:line="240" w:lineRule="auto"/>
      </w:pPr>
      <w:r>
        <w:separator/>
      </w:r>
    </w:p>
  </w:footnote>
  <w:footnote w:type="continuationSeparator" w:id="0">
    <w:p w14:paraId="498DED3C" w14:textId="77777777" w:rsidR="007D5FC7" w:rsidRDefault="007D5FC7" w:rsidP="00FE00D3">
      <w:pPr>
        <w:spacing w:after="0" w:line="240" w:lineRule="auto"/>
      </w:pPr>
      <w:r>
        <w:continuationSeparator/>
      </w:r>
    </w:p>
  </w:footnote>
  <w:footnote w:id="1">
    <w:p w14:paraId="1B1EA423" w14:textId="0D448672" w:rsidR="004A2EA2" w:rsidRDefault="004A2EA2">
      <w:pPr>
        <w:pStyle w:val="FootnoteText"/>
      </w:pPr>
      <w:r>
        <w:rPr>
          <w:rStyle w:val="FootnoteReference"/>
        </w:rPr>
        <w:footnoteRef/>
      </w:r>
      <w:r>
        <w:t xml:space="preserve"> </w:t>
      </w:r>
      <w:r w:rsidRPr="004A2EA2">
        <w:t xml:space="preserve">Colin Burrow, </w:t>
      </w:r>
      <w:r w:rsidRPr="004A2EA2">
        <w:rPr>
          <w:i/>
          <w:iCs/>
        </w:rPr>
        <w:t>Metaphysical Poetry</w:t>
      </w:r>
      <w:r w:rsidRPr="004A2EA2">
        <w:t xml:space="preserve"> ([Place of publication not identified]: Penguin, 2006).</w:t>
      </w:r>
      <w:r>
        <w:t xml:space="preserve"> p.100-102.</w:t>
      </w:r>
    </w:p>
  </w:footnote>
  <w:footnote w:id="2">
    <w:p w14:paraId="15216778" w14:textId="64A6C77F" w:rsidR="00FE00D3" w:rsidRDefault="00FE00D3">
      <w:pPr>
        <w:pStyle w:val="FootnoteText"/>
      </w:pPr>
      <w:r>
        <w:rPr>
          <w:rStyle w:val="FootnoteReference"/>
        </w:rPr>
        <w:footnoteRef/>
      </w:r>
      <w:r>
        <w:t xml:space="preserve"> </w:t>
      </w:r>
      <w:r w:rsidRPr="00FE00D3">
        <w:t xml:space="preserve">Britannica, The Editors of Encyclopaedia. "Renaissance". </w:t>
      </w:r>
      <w:r w:rsidRPr="003023CD">
        <w:rPr>
          <w:i/>
          <w:iCs/>
        </w:rPr>
        <w:t>Encyclopedia Britannica,</w:t>
      </w:r>
      <w:r w:rsidRPr="00FE00D3">
        <w:t xml:space="preserve"> 12 Aug. 2022, https://www.britannica.com/event/Renaissance. Accessed 2 October 2022.</w:t>
      </w:r>
    </w:p>
  </w:footnote>
  <w:footnote w:id="3">
    <w:p w14:paraId="0094A385" w14:textId="02D51A0F" w:rsidR="00FE00D3" w:rsidRDefault="00FE00D3">
      <w:pPr>
        <w:pStyle w:val="FootnoteText"/>
      </w:pPr>
      <w:r>
        <w:rPr>
          <w:rStyle w:val="FootnoteReference"/>
        </w:rPr>
        <w:footnoteRef/>
      </w:r>
      <w:r>
        <w:t xml:space="preserve"> </w:t>
      </w:r>
      <w:r w:rsidRPr="00FE00D3">
        <w:t xml:space="preserve">Britannica, The Editors of Encyclopaedia. "Johannes Gutenberg summary". </w:t>
      </w:r>
      <w:r w:rsidRPr="003023CD">
        <w:rPr>
          <w:i/>
          <w:iCs/>
        </w:rPr>
        <w:t>Encyclopedia Britannica,</w:t>
      </w:r>
      <w:r w:rsidRPr="00FE00D3">
        <w:t xml:space="preserve"> 2 May. 2020, https://www.britannica.com/summary/Johannes-Gutenberg. Accessed 2 October 2022.</w:t>
      </w:r>
      <w:r>
        <w:t xml:space="preserve"> </w:t>
      </w:r>
    </w:p>
  </w:footnote>
  <w:footnote w:id="4">
    <w:p w14:paraId="178D5227" w14:textId="00F4206D" w:rsidR="00FE00D3" w:rsidRDefault="00FE00D3">
      <w:pPr>
        <w:pStyle w:val="FootnoteText"/>
      </w:pPr>
      <w:r>
        <w:rPr>
          <w:rStyle w:val="FootnoteReference"/>
        </w:rPr>
        <w:footnoteRef/>
      </w:r>
      <w:r>
        <w:t xml:space="preserve"> </w:t>
      </w:r>
      <w:r w:rsidRPr="006D09E2">
        <w:t>Kathleen Kuiper</w:t>
      </w:r>
      <w:r>
        <w:t xml:space="preserve"> (ed.)</w:t>
      </w:r>
      <w:r w:rsidRPr="006D09E2">
        <w:t>, </w:t>
      </w:r>
      <w:r w:rsidRPr="006D09E2">
        <w:rPr>
          <w:i/>
          <w:iCs/>
        </w:rPr>
        <w:t xml:space="preserve">Merriam Webster's Encyclopedia </w:t>
      </w:r>
      <w:proofErr w:type="gramStart"/>
      <w:r w:rsidRPr="006D09E2">
        <w:rPr>
          <w:i/>
          <w:iCs/>
        </w:rPr>
        <w:t>Of</w:t>
      </w:r>
      <w:proofErr w:type="gramEnd"/>
      <w:r w:rsidRPr="006D09E2">
        <w:rPr>
          <w:i/>
          <w:iCs/>
        </w:rPr>
        <w:t xml:space="preserve"> Literature</w:t>
      </w:r>
      <w:r w:rsidRPr="006D09E2">
        <w:t> (Massachusetts: Merriam-Webster Incorporated, 1995).</w:t>
      </w:r>
      <w:r>
        <w:t xml:space="preserve"> p.790</w:t>
      </w:r>
      <w:r w:rsidR="00265D89">
        <w:t>.</w:t>
      </w:r>
    </w:p>
  </w:footnote>
  <w:footnote w:id="5">
    <w:p w14:paraId="030D49E4" w14:textId="750CA3C8" w:rsidR="00FE00D3" w:rsidRDefault="00FE00D3">
      <w:pPr>
        <w:pStyle w:val="FootnoteText"/>
      </w:pPr>
      <w:r>
        <w:rPr>
          <w:rStyle w:val="FootnoteReference"/>
        </w:rPr>
        <w:footnoteRef/>
      </w:r>
      <w:r>
        <w:t xml:space="preserve"> </w:t>
      </w:r>
      <w:r w:rsidRPr="006D09E2">
        <w:t>Edward Tripp, </w:t>
      </w:r>
      <w:r w:rsidRPr="006D09E2">
        <w:rPr>
          <w:i/>
          <w:iCs/>
        </w:rPr>
        <w:t xml:space="preserve">Collins Reference Dictionary </w:t>
      </w:r>
      <w:proofErr w:type="gramStart"/>
      <w:r w:rsidRPr="006D09E2">
        <w:rPr>
          <w:i/>
          <w:iCs/>
        </w:rPr>
        <w:t>Of</w:t>
      </w:r>
      <w:proofErr w:type="gramEnd"/>
      <w:r w:rsidRPr="006D09E2">
        <w:rPr>
          <w:i/>
          <w:iCs/>
        </w:rPr>
        <w:t xml:space="preserve"> Classical Mythology</w:t>
      </w:r>
      <w:r w:rsidRPr="006D09E2">
        <w:t> (London: Collins Publishers, 1988).</w:t>
      </w:r>
      <w:r>
        <w:t xml:space="preserve"> p.386</w:t>
      </w:r>
      <w:r w:rsidR="00265D89">
        <w:t>.</w:t>
      </w:r>
    </w:p>
  </w:footnote>
  <w:footnote w:id="6">
    <w:p w14:paraId="0BE12F82" w14:textId="13EFE40E" w:rsidR="00FE00D3" w:rsidRDefault="00FE00D3">
      <w:pPr>
        <w:pStyle w:val="FootnoteText"/>
      </w:pPr>
      <w:r>
        <w:rPr>
          <w:rStyle w:val="FootnoteReference"/>
        </w:rPr>
        <w:footnoteRef/>
      </w:r>
      <w:r>
        <w:t xml:space="preserve"> </w:t>
      </w:r>
      <w:r w:rsidRPr="006D09E2">
        <w:t>Edward Tripp, </w:t>
      </w:r>
      <w:r w:rsidRPr="006D09E2">
        <w:rPr>
          <w:i/>
          <w:iCs/>
        </w:rPr>
        <w:t xml:space="preserve">Collins Reference Dictionary </w:t>
      </w:r>
      <w:proofErr w:type="gramStart"/>
      <w:r w:rsidRPr="006D09E2">
        <w:rPr>
          <w:i/>
          <w:iCs/>
        </w:rPr>
        <w:t>Of</w:t>
      </w:r>
      <w:proofErr w:type="gramEnd"/>
      <w:r w:rsidRPr="006D09E2">
        <w:rPr>
          <w:i/>
          <w:iCs/>
        </w:rPr>
        <w:t xml:space="preserve"> Classical Mythology</w:t>
      </w:r>
      <w:r w:rsidRPr="006D09E2">
        <w:t> (London: Collins Publishers, 1988).</w:t>
      </w:r>
      <w:r>
        <w:t xml:space="preserve"> p.386</w:t>
      </w:r>
      <w:r w:rsidR="00265D89">
        <w:t>.</w:t>
      </w:r>
    </w:p>
  </w:footnote>
  <w:footnote w:id="7">
    <w:p w14:paraId="3D0D4629" w14:textId="0D767194" w:rsidR="00265D89" w:rsidRDefault="00265D89">
      <w:pPr>
        <w:pStyle w:val="FootnoteText"/>
      </w:pPr>
      <w:r>
        <w:rPr>
          <w:rStyle w:val="FootnoteReference"/>
        </w:rPr>
        <w:footnoteRef/>
      </w:r>
      <w:r>
        <w:t xml:space="preserve"> </w:t>
      </w:r>
      <w:r w:rsidRPr="006D09E2">
        <w:t xml:space="preserve">Pierre </w:t>
      </w:r>
      <w:proofErr w:type="spellStart"/>
      <w:r w:rsidRPr="006D09E2">
        <w:t>Grimal</w:t>
      </w:r>
      <w:proofErr w:type="spellEnd"/>
      <w:r w:rsidRPr="006D09E2">
        <w:t xml:space="preserve"> and A. R Maxwell-</w:t>
      </w:r>
      <w:proofErr w:type="spellStart"/>
      <w:r w:rsidRPr="006D09E2">
        <w:t>Hyslop</w:t>
      </w:r>
      <w:proofErr w:type="spellEnd"/>
      <w:r>
        <w:t xml:space="preserve"> (trans)</w:t>
      </w:r>
      <w:r w:rsidRPr="006D09E2">
        <w:t>, </w:t>
      </w:r>
      <w:r w:rsidRPr="006D09E2">
        <w:rPr>
          <w:i/>
          <w:iCs/>
        </w:rPr>
        <w:t xml:space="preserve">The Dictionary </w:t>
      </w:r>
      <w:proofErr w:type="gramStart"/>
      <w:r w:rsidRPr="006D09E2">
        <w:rPr>
          <w:i/>
          <w:iCs/>
        </w:rPr>
        <w:t>Of</w:t>
      </w:r>
      <w:proofErr w:type="gramEnd"/>
      <w:r w:rsidRPr="006D09E2">
        <w:rPr>
          <w:i/>
          <w:iCs/>
        </w:rPr>
        <w:t xml:space="preserve"> Classical Mythology</w:t>
      </w:r>
      <w:r w:rsidRPr="006D09E2">
        <w:t> (Oxford: Basil Blackwell Publishing, 1986).</w:t>
      </w:r>
      <w:r>
        <w:t xml:space="preserve"> p.297.</w:t>
      </w:r>
    </w:p>
  </w:footnote>
  <w:footnote w:id="8">
    <w:p w14:paraId="4B9F563D" w14:textId="2CBB1863" w:rsidR="003D7783" w:rsidRDefault="003D7783">
      <w:pPr>
        <w:pStyle w:val="FootnoteText"/>
      </w:pPr>
      <w:r>
        <w:rPr>
          <w:rStyle w:val="FootnoteReference"/>
        </w:rPr>
        <w:footnoteRef/>
      </w:r>
      <w:r>
        <w:t xml:space="preserve"> </w:t>
      </w:r>
      <w:r w:rsidRPr="006D09E2">
        <w:t>Edward Tripp, </w:t>
      </w:r>
      <w:r w:rsidRPr="006D09E2">
        <w:rPr>
          <w:i/>
          <w:iCs/>
        </w:rPr>
        <w:t>Collins Reference Dictionary Of Classical Mythology</w:t>
      </w:r>
      <w:r w:rsidRPr="006D09E2">
        <w:t> (London: Collins Publishers, 1988</w:t>
      </w:r>
      <w:proofErr w:type="gramStart"/>
      <w:r w:rsidRPr="006D09E2">
        <w:t>).</w:t>
      </w:r>
      <w:r>
        <w:t>p.</w:t>
      </w:r>
      <w:proofErr w:type="gramEnd"/>
      <w:r>
        <w:t>435.</w:t>
      </w:r>
    </w:p>
  </w:footnote>
  <w:footnote w:id="9">
    <w:p w14:paraId="4DCD5A7B" w14:textId="53B74798" w:rsidR="00706F27" w:rsidRDefault="00706F27">
      <w:pPr>
        <w:pStyle w:val="FootnoteText"/>
      </w:pPr>
      <w:r>
        <w:rPr>
          <w:rStyle w:val="FootnoteReference"/>
        </w:rPr>
        <w:footnoteRef/>
      </w:r>
      <w:r>
        <w:t xml:space="preserve"> </w:t>
      </w:r>
      <w:r w:rsidRPr="00807851">
        <w:t>Simon Hornblower</w:t>
      </w:r>
      <w:r>
        <w:t xml:space="preserve"> (ed.)</w:t>
      </w:r>
      <w:r w:rsidRPr="00807851">
        <w:t xml:space="preserve"> and Antony </w:t>
      </w:r>
      <w:proofErr w:type="spellStart"/>
      <w:r w:rsidRPr="00807851">
        <w:t>Spawforth</w:t>
      </w:r>
      <w:proofErr w:type="spellEnd"/>
      <w:r>
        <w:t xml:space="preserve"> (ed.)</w:t>
      </w:r>
      <w:r w:rsidRPr="00807851">
        <w:t>, </w:t>
      </w:r>
      <w:r w:rsidRPr="00807851">
        <w:rPr>
          <w:i/>
          <w:iCs/>
        </w:rPr>
        <w:t>The Oxford Classical Dictionary</w:t>
      </w:r>
      <w:r w:rsidRPr="00807851">
        <w:t xml:space="preserve">, 3rd </w:t>
      </w:r>
      <w:proofErr w:type="spellStart"/>
      <w:r w:rsidRPr="00807851">
        <w:t>edn</w:t>
      </w:r>
      <w:proofErr w:type="spellEnd"/>
      <w:r w:rsidRPr="00807851">
        <w:t xml:space="preserve"> (New York: Oxford University Press, 1996</w:t>
      </w:r>
      <w:proofErr w:type="gramStart"/>
      <w:r w:rsidRPr="00807851">
        <w:t>).</w:t>
      </w:r>
      <w:r>
        <w:t>p.</w:t>
      </w:r>
      <w:proofErr w:type="gramEnd"/>
      <w:r>
        <w:t>1078.</w:t>
      </w:r>
    </w:p>
  </w:footnote>
  <w:footnote w:id="10">
    <w:p w14:paraId="216AF75A" w14:textId="163DF81E" w:rsidR="00706F27" w:rsidRDefault="00706F27">
      <w:pPr>
        <w:pStyle w:val="FootnoteText"/>
      </w:pPr>
      <w:r>
        <w:rPr>
          <w:rStyle w:val="FootnoteReference"/>
        </w:rPr>
        <w:footnoteRef/>
      </w:r>
      <w:r>
        <w:t xml:space="preserve"> </w:t>
      </w:r>
      <w:r w:rsidRPr="006D09E2">
        <w:t>Edward Tripp, </w:t>
      </w:r>
      <w:r w:rsidRPr="006D09E2">
        <w:rPr>
          <w:i/>
          <w:iCs/>
        </w:rPr>
        <w:t>Collins Reference Dictionary Of Classical Mythology</w:t>
      </w:r>
      <w:r w:rsidRPr="006D09E2">
        <w:t> (London: Collins Publishers, 1988</w:t>
      </w:r>
      <w:proofErr w:type="gramStart"/>
      <w:r w:rsidRPr="006D09E2">
        <w:t>).</w:t>
      </w:r>
      <w:r>
        <w:t>p.</w:t>
      </w:r>
      <w:proofErr w:type="gramEnd"/>
      <w:r>
        <w:t>533.</w:t>
      </w:r>
      <w:r w:rsidR="001B64E8" w:rsidRPr="001B64E8">
        <w:t xml:space="preserve"> </w:t>
      </w:r>
      <w:r w:rsidR="001B64E8" w:rsidRPr="00807851">
        <w:t>Simon Hornblower</w:t>
      </w:r>
      <w:r w:rsidR="001B64E8">
        <w:t xml:space="preserve"> (ed.)</w:t>
      </w:r>
      <w:r w:rsidR="001B64E8" w:rsidRPr="00807851">
        <w:t xml:space="preserve"> and Antony </w:t>
      </w:r>
      <w:proofErr w:type="spellStart"/>
      <w:r w:rsidR="001B64E8" w:rsidRPr="00807851">
        <w:t>Spawforth</w:t>
      </w:r>
      <w:proofErr w:type="spellEnd"/>
      <w:r w:rsidR="001B64E8">
        <w:t xml:space="preserve"> (ed.)</w:t>
      </w:r>
      <w:r w:rsidR="001B64E8" w:rsidRPr="00807851">
        <w:t>, </w:t>
      </w:r>
      <w:r w:rsidR="001B64E8" w:rsidRPr="00807851">
        <w:rPr>
          <w:i/>
          <w:iCs/>
        </w:rPr>
        <w:t>The Oxford Classical Dictionary</w:t>
      </w:r>
      <w:r w:rsidR="001B64E8" w:rsidRPr="00807851">
        <w:t xml:space="preserve">, 3rd </w:t>
      </w:r>
      <w:proofErr w:type="spellStart"/>
      <w:r w:rsidR="001B64E8" w:rsidRPr="00807851">
        <w:t>edn</w:t>
      </w:r>
      <w:proofErr w:type="spellEnd"/>
      <w:r w:rsidR="001B64E8" w:rsidRPr="00807851">
        <w:t xml:space="preserve"> (New York: Oxford University Press, 1996</w:t>
      </w:r>
      <w:proofErr w:type="gramStart"/>
      <w:r w:rsidR="001B64E8" w:rsidRPr="00807851">
        <w:t>).</w:t>
      </w:r>
      <w:r w:rsidR="001B64E8">
        <w:t>p.</w:t>
      </w:r>
      <w:proofErr w:type="gramEnd"/>
      <w:r w:rsidR="001B64E8">
        <w:t>1078.</w:t>
      </w:r>
    </w:p>
  </w:footnote>
  <w:footnote w:id="11">
    <w:p w14:paraId="562F5E86" w14:textId="62F36C62" w:rsidR="00733429" w:rsidRDefault="00733429">
      <w:pPr>
        <w:pStyle w:val="FootnoteText"/>
      </w:pPr>
      <w:r>
        <w:rPr>
          <w:rStyle w:val="FootnoteReference"/>
        </w:rPr>
        <w:footnoteRef/>
      </w:r>
      <w:r>
        <w:t xml:space="preserve"> </w:t>
      </w:r>
      <w:r w:rsidR="004A4DC2" w:rsidRPr="006D09E2">
        <w:t>Kathleen Kuiper</w:t>
      </w:r>
      <w:r w:rsidR="004A4DC2">
        <w:t xml:space="preserve"> (ed.)</w:t>
      </w:r>
      <w:r w:rsidR="004A4DC2" w:rsidRPr="006D09E2">
        <w:t>, </w:t>
      </w:r>
      <w:r w:rsidR="004A4DC2" w:rsidRPr="006D09E2">
        <w:rPr>
          <w:i/>
          <w:iCs/>
        </w:rPr>
        <w:t>Merriam Webster's Encyclopedia Of Literature</w:t>
      </w:r>
      <w:r w:rsidR="004A4DC2" w:rsidRPr="006D09E2">
        <w:t> (Massachusetts: Merriam-Webster Incorporated, 1995</w:t>
      </w:r>
      <w:proofErr w:type="gramStart"/>
      <w:r w:rsidR="004A4DC2" w:rsidRPr="006D09E2">
        <w:t>).</w:t>
      </w:r>
      <w:r w:rsidR="004A4DC2">
        <w:t>p.</w:t>
      </w:r>
      <w:proofErr w:type="gramEnd"/>
      <w:r w:rsidR="004A4DC2">
        <w:t>884.</w:t>
      </w:r>
    </w:p>
  </w:footnote>
  <w:footnote w:id="12">
    <w:p w14:paraId="6149E89F" w14:textId="2241E94B" w:rsidR="004A4DC2" w:rsidRDefault="004A4DC2">
      <w:pPr>
        <w:pStyle w:val="FootnoteText"/>
      </w:pPr>
      <w:r>
        <w:rPr>
          <w:rStyle w:val="FootnoteReference"/>
        </w:rPr>
        <w:footnoteRef/>
      </w:r>
      <w:r>
        <w:t xml:space="preserve"> </w:t>
      </w:r>
      <w:r w:rsidRPr="006D09E2">
        <w:t>Edward Tripp, </w:t>
      </w:r>
      <w:r w:rsidRPr="006D09E2">
        <w:rPr>
          <w:i/>
          <w:iCs/>
        </w:rPr>
        <w:t>Collins Reference Dictionary Of Classical Mythology</w:t>
      </w:r>
      <w:r w:rsidRPr="006D09E2">
        <w:t> (London: Collins Publishers, 1988</w:t>
      </w:r>
      <w:proofErr w:type="gramStart"/>
      <w:r w:rsidRPr="006D09E2">
        <w:t>).</w:t>
      </w:r>
      <w:r>
        <w:t>p.</w:t>
      </w:r>
      <w:proofErr w:type="gramEnd"/>
      <w:r>
        <w:t>481.</w:t>
      </w:r>
    </w:p>
  </w:footnote>
  <w:footnote w:id="13">
    <w:p w14:paraId="67E638DE" w14:textId="242B41FD" w:rsidR="004A4DC2" w:rsidRDefault="004A4DC2">
      <w:pPr>
        <w:pStyle w:val="FootnoteText"/>
      </w:pPr>
      <w:r>
        <w:rPr>
          <w:rStyle w:val="FootnoteReference"/>
        </w:rPr>
        <w:footnoteRef/>
      </w:r>
      <w:r>
        <w:t xml:space="preserve"> </w:t>
      </w:r>
      <w:r w:rsidRPr="006D09E2">
        <w:t>Edward Tripp, </w:t>
      </w:r>
      <w:r w:rsidRPr="006D09E2">
        <w:rPr>
          <w:i/>
          <w:iCs/>
        </w:rPr>
        <w:t>Collins Reference Dictionary Of Classical Mythology</w:t>
      </w:r>
      <w:r w:rsidRPr="006D09E2">
        <w:t> (London: Collins Publishers, 1988</w:t>
      </w:r>
      <w:proofErr w:type="gramStart"/>
      <w:r w:rsidRPr="006D09E2">
        <w:t>).</w:t>
      </w:r>
      <w:r>
        <w:t>p.</w:t>
      </w:r>
      <w:proofErr w:type="gramEnd"/>
      <w:r>
        <w:t>481.</w:t>
      </w:r>
    </w:p>
  </w:footnote>
  <w:footnote w:id="14">
    <w:p w14:paraId="33808039" w14:textId="750EDBA7" w:rsidR="004A4DC2" w:rsidRDefault="004A4DC2">
      <w:pPr>
        <w:pStyle w:val="FootnoteText"/>
      </w:pPr>
      <w:r>
        <w:rPr>
          <w:rStyle w:val="FootnoteReference"/>
        </w:rPr>
        <w:footnoteRef/>
      </w:r>
      <w:r>
        <w:t xml:space="preserve"> </w:t>
      </w:r>
      <w:r w:rsidRPr="006D09E2">
        <w:t>Kathleen Kuiper</w:t>
      </w:r>
      <w:r>
        <w:t xml:space="preserve"> (ed.)</w:t>
      </w:r>
      <w:r w:rsidRPr="006D09E2">
        <w:t>, </w:t>
      </w:r>
      <w:r w:rsidRPr="006D09E2">
        <w:rPr>
          <w:i/>
          <w:iCs/>
        </w:rPr>
        <w:t>Merriam Webster's Encyclopedia Of Literature</w:t>
      </w:r>
      <w:r w:rsidRPr="006D09E2">
        <w:t> (Massachusetts: Merriam-Webster Incorporated, 1995</w:t>
      </w:r>
      <w:proofErr w:type="gramStart"/>
      <w:r w:rsidRPr="006D09E2">
        <w:t>).</w:t>
      </w:r>
      <w:r>
        <w:t>p.</w:t>
      </w:r>
      <w:proofErr w:type="gramEnd"/>
      <w:r>
        <w:t>884.</w:t>
      </w:r>
    </w:p>
  </w:footnote>
  <w:footnote w:id="15">
    <w:p w14:paraId="56A0F63E" w14:textId="18FCB7DB" w:rsidR="00AA73D6" w:rsidRPr="0053539D" w:rsidRDefault="00AA73D6">
      <w:pPr>
        <w:pStyle w:val="FootnoteText"/>
        <w:rPr>
          <w:rFonts w:cs="Times New Roman"/>
        </w:rPr>
      </w:pPr>
      <w:r w:rsidRPr="0053539D">
        <w:rPr>
          <w:rStyle w:val="FootnoteReference"/>
          <w:rFonts w:cs="Times New Roman"/>
        </w:rPr>
        <w:footnoteRef/>
      </w:r>
      <w:r w:rsidRPr="0053539D">
        <w:rPr>
          <w:rFonts w:cs="Times New Roman"/>
        </w:rPr>
        <w:t xml:space="preserve"> </w:t>
      </w:r>
      <w:r w:rsidRPr="0053539D">
        <w:rPr>
          <w:rFonts w:cs="Times New Roman"/>
        </w:rPr>
        <w:t xml:space="preserve">William H Race (ed.) (trans.), Pindar. </w:t>
      </w:r>
      <w:r w:rsidRPr="0053539D">
        <w:rPr>
          <w:rFonts w:cs="Times New Roman"/>
          <w:i/>
          <w:iCs/>
        </w:rPr>
        <w:t>Olympian Odes. Pythian Odes</w:t>
      </w:r>
      <w:r w:rsidRPr="0053539D">
        <w:rPr>
          <w:rFonts w:cs="Times New Roman"/>
        </w:rPr>
        <w:t>. (Loeb Classical Library 56. Cambridge: MA: Harvard University Press, 1997</w:t>
      </w:r>
      <w:proofErr w:type="gramStart"/>
      <w:r w:rsidRPr="0053539D">
        <w:rPr>
          <w:rFonts w:cs="Times New Roman"/>
        </w:rPr>
        <w:t>).</w:t>
      </w:r>
      <w:r w:rsidRPr="0053539D">
        <w:rPr>
          <w:rFonts w:cs="Times New Roman"/>
        </w:rPr>
        <w:t>p.</w:t>
      </w:r>
      <w:proofErr w:type="gramEnd"/>
      <w:r w:rsidRPr="0053539D">
        <w:rPr>
          <w:rFonts w:cs="Times New Roman"/>
        </w:rPr>
        <w:t>12.</w:t>
      </w:r>
    </w:p>
  </w:footnote>
  <w:footnote w:id="16">
    <w:p w14:paraId="7B263989" w14:textId="3FE48ED5" w:rsidR="00AA73D6" w:rsidRPr="0053539D" w:rsidRDefault="00AA73D6">
      <w:pPr>
        <w:pStyle w:val="FootnoteText"/>
        <w:rPr>
          <w:rFonts w:cs="Times New Roman"/>
        </w:rPr>
      </w:pPr>
      <w:r w:rsidRPr="0053539D">
        <w:rPr>
          <w:rStyle w:val="FootnoteReference"/>
          <w:rFonts w:cs="Times New Roman"/>
        </w:rPr>
        <w:footnoteRef/>
      </w:r>
      <w:r w:rsidRPr="0053539D">
        <w:rPr>
          <w:rFonts w:cs="Times New Roman"/>
        </w:rPr>
        <w:t xml:space="preserve"> </w:t>
      </w:r>
      <w:r w:rsidRPr="0053539D">
        <w:rPr>
          <w:rFonts w:cs="Times New Roman"/>
        </w:rPr>
        <w:t xml:space="preserve">William H Race (ed.) (trans.), Pindar. </w:t>
      </w:r>
      <w:r w:rsidRPr="0053539D">
        <w:rPr>
          <w:rFonts w:cs="Times New Roman"/>
          <w:i/>
          <w:iCs/>
        </w:rPr>
        <w:t>Olympian Odes. Pythian Odes</w:t>
      </w:r>
      <w:r w:rsidRPr="0053539D">
        <w:rPr>
          <w:rFonts w:cs="Times New Roman"/>
        </w:rPr>
        <w:t>. (Loeb Classical Library 56. Cambridge: MA: Harvard University Press, 1997</w:t>
      </w:r>
      <w:proofErr w:type="gramStart"/>
      <w:r w:rsidRPr="0053539D">
        <w:rPr>
          <w:rFonts w:cs="Times New Roman"/>
        </w:rPr>
        <w:t>).</w:t>
      </w:r>
      <w:r w:rsidRPr="0053539D">
        <w:rPr>
          <w:rFonts w:cs="Times New Roman"/>
        </w:rPr>
        <w:t>p.</w:t>
      </w:r>
      <w:proofErr w:type="gramEnd"/>
      <w:r w:rsidRPr="0053539D">
        <w:rPr>
          <w:rFonts w:cs="Times New Roman"/>
        </w:rPr>
        <w:t>12.</w:t>
      </w:r>
    </w:p>
  </w:footnote>
  <w:footnote w:id="17">
    <w:p w14:paraId="07FBB571" w14:textId="77777777" w:rsidR="00DE479C" w:rsidRPr="0053539D" w:rsidRDefault="00DE479C" w:rsidP="00DE479C">
      <w:pPr>
        <w:pStyle w:val="FootnoteText"/>
        <w:rPr>
          <w:rFonts w:cs="Times New Roman"/>
        </w:rPr>
      </w:pPr>
      <w:r w:rsidRPr="0053539D">
        <w:rPr>
          <w:rStyle w:val="FootnoteReference"/>
          <w:rFonts w:cs="Times New Roman"/>
        </w:rPr>
        <w:footnoteRef/>
      </w:r>
      <w:r w:rsidRPr="0053539D">
        <w:rPr>
          <w:rFonts w:cs="Times New Roman"/>
        </w:rPr>
        <w:t xml:space="preserve"> Edward Tripp, </w:t>
      </w:r>
      <w:r w:rsidRPr="0053539D">
        <w:rPr>
          <w:rFonts w:cs="Times New Roman"/>
          <w:i/>
          <w:iCs/>
        </w:rPr>
        <w:t>Collins Reference Dictionary Of Classical Mythology</w:t>
      </w:r>
      <w:r w:rsidRPr="0053539D">
        <w:rPr>
          <w:rFonts w:cs="Times New Roman"/>
        </w:rPr>
        <w:t> (London: Collins Publishers, 1988</w:t>
      </w:r>
      <w:proofErr w:type="gramStart"/>
      <w:r w:rsidRPr="0053539D">
        <w:rPr>
          <w:rFonts w:cs="Times New Roman"/>
        </w:rPr>
        <w:t>).p.</w:t>
      </w:r>
      <w:proofErr w:type="gramEnd"/>
      <w:r w:rsidRPr="0053539D">
        <w:rPr>
          <w:rFonts w:cs="Times New Roman"/>
        </w:rPr>
        <w:t>193.</w:t>
      </w:r>
    </w:p>
  </w:footnote>
  <w:footnote w:id="18">
    <w:p w14:paraId="0545FC6E" w14:textId="79A0FDBB" w:rsidR="003023CD" w:rsidRPr="0053539D" w:rsidRDefault="003023CD">
      <w:pPr>
        <w:pStyle w:val="FootnoteText"/>
        <w:rPr>
          <w:rFonts w:cs="Times New Roman"/>
        </w:rPr>
      </w:pPr>
      <w:r w:rsidRPr="0053539D">
        <w:rPr>
          <w:rStyle w:val="FootnoteReference"/>
          <w:rFonts w:cs="Times New Roman"/>
        </w:rPr>
        <w:footnoteRef/>
      </w:r>
      <w:r w:rsidRPr="0053539D">
        <w:rPr>
          <w:rFonts w:cs="Times New Roman"/>
        </w:rPr>
        <w:t xml:space="preserve"> </w:t>
      </w:r>
      <w:r w:rsidRPr="0053539D">
        <w:rPr>
          <w:rFonts w:cs="Times New Roman"/>
          <w:color w:val="1A1A1A"/>
          <w:shd w:val="clear" w:color="auto" w:fill="FFFFFF"/>
        </w:rPr>
        <w:t>Britannica, The Editors of Encyclopaedia. "Pythian Games". </w:t>
      </w:r>
      <w:r w:rsidRPr="0053539D">
        <w:rPr>
          <w:rStyle w:val="Emphasis"/>
          <w:rFonts w:cs="Times New Roman"/>
          <w:color w:val="1A1A1A"/>
          <w:shd w:val="clear" w:color="auto" w:fill="FFFFFF"/>
        </w:rPr>
        <w:t>Encyclopedia Britannica</w:t>
      </w:r>
      <w:r w:rsidRPr="0053539D">
        <w:rPr>
          <w:rFonts w:cs="Times New Roman"/>
          <w:color w:val="1A1A1A"/>
          <w:shd w:val="clear" w:color="auto" w:fill="FFFFFF"/>
        </w:rPr>
        <w:t>, 28 Apr. 2008, https://www.britannica.com/sports/Pythian-Games. Accessed 5 October 2022.</w:t>
      </w:r>
    </w:p>
  </w:footnote>
  <w:footnote w:id="19">
    <w:p w14:paraId="4F3CA72A" w14:textId="3986D486" w:rsidR="003023CD" w:rsidRDefault="003023CD">
      <w:pPr>
        <w:pStyle w:val="FootnoteText"/>
      </w:pPr>
      <w:r w:rsidRPr="0053539D">
        <w:rPr>
          <w:rStyle w:val="FootnoteReference"/>
          <w:rFonts w:cs="Times New Roman"/>
        </w:rPr>
        <w:footnoteRef/>
      </w:r>
      <w:r w:rsidRPr="0053539D">
        <w:rPr>
          <w:rFonts w:cs="Times New Roman"/>
        </w:rPr>
        <w:t xml:space="preserve"> </w:t>
      </w:r>
      <w:r w:rsidRPr="00807851">
        <w:rPr>
          <w:rFonts w:cs="Times New Roman"/>
        </w:rPr>
        <w:t>Simon Hornblower</w:t>
      </w:r>
      <w:r w:rsidRPr="0053539D">
        <w:rPr>
          <w:rFonts w:cs="Times New Roman"/>
        </w:rPr>
        <w:t xml:space="preserve"> (ed.)</w:t>
      </w:r>
      <w:r w:rsidRPr="00807851">
        <w:rPr>
          <w:rFonts w:cs="Times New Roman"/>
        </w:rPr>
        <w:t xml:space="preserve"> and Antony </w:t>
      </w:r>
      <w:proofErr w:type="spellStart"/>
      <w:r w:rsidRPr="00807851">
        <w:rPr>
          <w:rFonts w:cs="Times New Roman"/>
        </w:rPr>
        <w:t>Spawforth</w:t>
      </w:r>
      <w:proofErr w:type="spellEnd"/>
      <w:r w:rsidRPr="0053539D">
        <w:rPr>
          <w:rFonts w:cs="Times New Roman"/>
        </w:rPr>
        <w:t xml:space="preserve"> (ed.)</w:t>
      </w:r>
      <w:r w:rsidRPr="00807851">
        <w:rPr>
          <w:rFonts w:cs="Times New Roman"/>
        </w:rPr>
        <w:t>, </w:t>
      </w:r>
      <w:r w:rsidRPr="00807851">
        <w:rPr>
          <w:rFonts w:cs="Times New Roman"/>
          <w:i/>
          <w:iCs/>
        </w:rPr>
        <w:t>The Oxford Classical Dictionary</w:t>
      </w:r>
      <w:r w:rsidRPr="00807851">
        <w:rPr>
          <w:rFonts w:cs="Times New Roman"/>
        </w:rPr>
        <w:t xml:space="preserve">, 3rd </w:t>
      </w:r>
      <w:proofErr w:type="spellStart"/>
      <w:r w:rsidRPr="00807851">
        <w:rPr>
          <w:rFonts w:cs="Times New Roman"/>
        </w:rPr>
        <w:t>edn</w:t>
      </w:r>
      <w:proofErr w:type="spellEnd"/>
      <w:r w:rsidRPr="00807851">
        <w:rPr>
          <w:rFonts w:cs="Times New Roman"/>
        </w:rPr>
        <w:t xml:space="preserve"> (New York: Oxford University Press, 1996</w:t>
      </w:r>
      <w:proofErr w:type="gramStart"/>
      <w:r w:rsidRPr="00807851">
        <w:rPr>
          <w:rFonts w:cs="Times New Roman"/>
        </w:rPr>
        <w:t>).</w:t>
      </w:r>
      <w:r w:rsidRPr="0053539D">
        <w:rPr>
          <w:rFonts w:cs="Times New Roman"/>
        </w:rPr>
        <w:t>p.</w:t>
      </w:r>
      <w:proofErr w:type="gramEnd"/>
      <w:r w:rsidRPr="0053539D">
        <w:rPr>
          <w:rFonts w:cs="Times New Roman"/>
        </w:rPr>
        <w:t>1285.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84C1B" w14:textId="3540266F" w:rsidR="0033260E" w:rsidRDefault="0033260E">
    <w:pPr>
      <w:pStyle w:val="Header"/>
    </w:pPr>
    <w:r>
      <w:tab/>
      <w:t>HPEN6003-1-1901524-Philps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3F61F9"/>
    <w:multiLevelType w:val="hybridMultilevel"/>
    <w:tmpl w:val="8384C176"/>
    <w:lvl w:ilvl="0" w:tplc="E7B0DA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1148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0NjMHAiMTE0NDIyUdpeDU4uLM/DyQAqNaAJG52AcsAAAA"/>
  </w:docVars>
  <w:rsids>
    <w:rsidRoot w:val="006D09E2"/>
    <w:rsid w:val="00030B74"/>
    <w:rsid w:val="00061A9A"/>
    <w:rsid w:val="00072FF0"/>
    <w:rsid w:val="00081779"/>
    <w:rsid w:val="000C3858"/>
    <w:rsid w:val="000C4106"/>
    <w:rsid w:val="00137995"/>
    <w:rsid w:val="001958C2"/>
    <w:rsid w:val="001B64E8"/>
    <w:rsid w:val="001C1EBB"/>
    <w:rsid w:val="00213634"/>
    <w:rsid w:val="00215DCF"/>
    <w:rsid w:val="00255DBF"/>
    <w:rsid w:val="00265D89"/>
    <w:rsid w:val="00283835"/>
    <w:rsid w:val="00283FAF"/>
    <w:rsid w:val="002C4EBA"/>
    <w:rsid w:val="002D2565"/>
    <w:rsid w:val="003023CD"/>
    <w:rsid w:val="0031682F"/>
    <w:rsid w:val="00316ACA"/>
    <w:rsid w:val="00320847"/>
    <w:rsid w:val="0033260E"/>
    <w:rsid w:val="00375A96"/>
    <w:rsid w:val="003A562B"/>
    <w:rsid w:val="003D7783"/>
    <w:rsid w:val="003F443F"/>
    <w:rsid w:val="00404D5D"/>
    <w:rsid w:val="00463217"/>
    <w:rsid w:val="00471FB9"/>
    <w:rsid w:val="00483226"/>
    <w:rsid w:val="004A2EA2"/>
    <w:rsid w:val="004A4DC2"/>
    <w:rsid w:val="004B3A0F"/>
    <w:rsid w:val="004D6485"/>
    <w:rsid w:val="0053539D"/>
    <w:rsid w:val="0057209F"/>
    <w:rsid w:val="00573376"/>
    <w:rsid w:val="005D35A0"/>
    <w:rsid w:val="00614472"/>
    <w:rsid w:val="00645192"/>
    <w:rsid w:val="0065214D"/>
    <w:rsid w:val="0066118B"/>
    <w:rsid w:val="00691D7A"/>
    <w:rsid w:val="006A02B3"/>
    <w:rsid w:val="006B1C13"/>
    <w:rsid w:val="006D09E2"/>
    <w:rsid w:val="006F408A"/>
    <w:rsid w:val="00706F27"/>
    <w:rsid w:val="0072395D"/>
    <w:rsid w:val="00730A7C"/>
    <w:rsid w:val="00733429"/>
    <w:rsid w:val="00762E8B"/>
    <w:rsid w:val="00790C09"/>
    <w:rsid w:val="007A0AD6"/>
    <w:rsid w:val="007A6263"/>
    <w:rsid w:val="007B125D"/>
    <w:rsid w:val="007C6232"/>
    <w:rsid w:val="007D5FC7"/>
    <w:rsid w:val="007F1E7D"/>
    <w:rsid w:val="00807851"/>
    <w:rsid w:val="0081111A"/>
    <w:rsid w:val="00812D3C"/>
    <w:rsid w:val="00816A36"/>
    <w:rsid w:val="00832CE2"/>
    <w:rsid w:val="00844831"/>
    <w:rsid w:val="008B409C"/>
    <w:rsid w:val="008E1084"/>
    <w:rsid w:val="008E6DFF"/>
    <w:rsid w:val="009376D3"/>
    <w:rsid w:val="009B5BAC"/>
    <w:rsid w:val="009C3016"/>
    <w:rsid w:val="00A070D7"/>
    <w:rsid w:val="00A14694"/>
    <w:rsid w:val="00A503D0"/>
    <w:rsid w:val="00AA1C0F"/>
    <w:rsid w:val="00AA73D6"/>
    <w:rsid w:val="00AD0502"/>
    <w:rsid w:val="00AD140B"/>
    <w:rsid w:val="00AD39A0"/>
    <w:rsid w:val="00AE0695"/>
    <w:rsid w:val="00AF3930"/>
    <w:rsid w:val="00AF564E"/>
    <w:rsid w:val="00B02A52"/>
    <w:rsid w:val="00B71AB5"/>
    <w:rsid w:val="00BD2E40"/>
    <w:rsid w:val="00C039DE"/>
    <w:rsid w:val="00C645DA"/>
    <w:rsid w:val="00C90C1F"/>
    <w:rsid w:val="00C92AE5"/>
    <w:rsid w:val="00C96795"/>
    <w:rsid w:val="00CC6EBE"/>
    <w:rsid w:val="00D16F77"/>
    <w:rsid w:val="00D6726B"/>
    <w:rsid w:val="00D7488A"/>
    <w:rsid w:val="00D932F7"/>
    <w:rsid w:val="00D95521"/>
    <w:rsid w:val="00DC5DFF"/>
    <w:rsid w:val="00DE479C"/>
    <w:rsid w:val="00DE67FB"/>
    <w:rsid w:val="00E020E3"/>
    <w:rsid w:val="00E14911"/>
    <w:rsid w:val="00E451E0"/>
    <w:rsid w:val="00E53487"/>
    <w:rsid w:val="00E607F6"/>
    <w:rsid w:val="00E83A06"/>
    <w:rsid w:val="00EF4844"/>
    <w:rsid w:val="00F0674D"/>
    <w:rsid w:val="00F17FC0"/>
    <w:rsid w:val="00F57EC4"/>
    <w:rsid w:val="00FB767F"/>
    <w:rsid w:val="00FD1CFB"/>
    <w:rsid w:val="00FE0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C1B368"/>
  <w15:chartTrackingRefBased/>
  <w15:docId w15:val="{BB937277-5F72-43F8-929E-F9CED18AA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9E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9E2"/>
    <w:pPr>
      <w:ind w:left="720"/>
      <w:contextualSpacing/>
    </w:pPr>
  </w:style>
  <w:style w:type="paragraph" w:styleId="FootnoteText">
    <w:name w:val="footnote text"/>
    <w:basedOn w:val="Normal"/>
    <w:link w:val="FootnoteTextChar"/>
    <w:uiPriority w:val="99"/>
    <w:semiHidden/>
    <w:unhideWhenUsed/>
    <w:rsid w:val="00FE00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00D3"/>
    <w:rPr>
      <w:sz w:val="20"/>
      <w:szCs w:val="20"/>
    </w:rPr>
  </w:style>
  <w:style w:type="character" w:styleId="FootnoteReference">
    <w:name w:val="footnote reference"/>
    <w:basedOn w:val="DefaultParagraphFont"/>
    <w:uiPriority w:val="99"/>
    <w:semiHidden/>
    <w:unhideWhenUsed/>
    <w:rsid w:val="00FE00D3"/>
    <w:rPr>
      <w:vertAlign w:val="superscript"/>
    </w:rPr>
  </w:style>
  <w:style w:type="character" w:styleId="Hyperlink">
    <w:name w:val="Hyperlink"/>
    <w:basedOn w:val="DefaultParagraphFont"/>
    <w:uiPriority w:val="99"/>
    <w:unhideWhenUsed/>
    <w:rsid w:val="00FE00D3"/>
    <w:rPr>
      <w:color w:val="0563C1" w:themeColor="hyperlink"/>
      <w:u w:val="single"/>
    </w:rPr>
  </w:style>
  <w:style w:type="character" w:styleId="UnresolvedMention">
    <w:name w:val="Unresolved Mention"/>
    <w:basedOn w:val="DefaultParagraphFont"/>
    <w:uiPriority w:val="99"/>
    <w:semiHidden/>
    <w:unhideWhenUsed/>
    <w:rsid w:val="00FE00D3"/>
    <w:rPr>
      <w:color w:val="605E5C"/>
      <w:shd w:val="clear" w:color="auto" w:fill="E1DFDD"/>
    </w:rPr>
  </w:style>
  <w:style w:type="character" w:customStyle="1" w:styleId="bibliographicauthorname">
    <w:name w:val="bibliographicauthorname"/>
    <w:basedOn w:val="DefaultParagraphFont"/>
    <w:rsid w:val="00AA73D6"/>
  </w:style>
  <w:style w:type="character" w:customStyle="1" w:styleId="editorandtranslators">
    <w:name w:val="editorandtranslators"/>
    <w:basedOn w:val="DefaultParagraphFont"/>
    <w:rsid w:val="00AA73D6"/>
  </w:style>
  <w:style w:type="character" w:customStyle="1" w:styleId="contributorname">
    <w:name w:val="contributorname"/>
    <w:basedOn w:val="DefaultParagraphFont"/>
    <w:rsid w:val="00AA73D6"/>
  </w:style>
  <w:style w:type="character" w:styleId="Emphasis">
    <w:name w:val="Emphasis"/>
    <w:basedOn w:val="DefaultParagraphFont"/>
    <w:uiPriority w:val="20"/>
    <w:qFormat/>
    <w:rsid w:val="003023CD"/>
    <w:rPr>
      <w:i/>
      <w:iCs/>
    </w:rPr>
  </w:style>
  <w:style w:type="paragraph" w:styleId="Header">
    <w:name w:val="header"/>
    <w:basedOn w:val="Normal"/>
    <w:link w:val="HeaderChar"/>
    <w:uiPriority w:val="99"/>
    <w:unhideWhenUsed/>
    <w:rsid w:val="00332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60E"/>
  </w:style>
  <w:style w:type="paragraph" w:styleId="Footer">
    <w:name w:val="footer"/>
    <w:basedOn w:val="Normal"/>
    <w:link w:val="FooterChar"/>
    <w:uiPriority w:val="99"/>
    <w:unhideWhenUsed/>
    <w:rsid w:val="00332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2628">
      <w:bodyDiv w:val="1"/>
      <w:marLeft w:val="0"/>
      <w:marRight w:val="0"/>
      <w:marTop w:val="0"/>
      <w:marBottom w:val="0"/>
      <w:divBdr>
        <w:top w:val="none" w:sz="0" w:space="0" w:color="auto"/>
        <w:left w:val="none" w:sz="0" w:space="0" w:color="auto"/>
        <w:bottom w:val="none" w:sz="0" w:space="0" w:color="auto"/>
        <w:right w:val="none" w:sz="0" w:space="0" w:color="auto"/>
      </w:divBdr>
    </w:div>
    <w:div w:id="977762330">
      <w:bodyDiv w:val="1"/>
      <w:marLeft w:val="0"/>
      <w:marRight w:val="0"/>
      <w:marTop w:val="0"/>
      <w:marBottom w:val="0"/>
      <w:divBdr>
        <w:top w:val="none" w:sz="0" w:space="0" w:color="auto"/>
        <w:left w:val="none" w:sz="0" w:space="0" w:color="auto"/>
        <w:bottom w:val="none" w:sz="0" w:space="0" w:color="auto"/>
        <w:right w:val="none" w:sz="0" w:space="0" w:color="auto"/>
      </w:divBdr>
    </w:div>
    <w:div w:id="1070081070">
      <w:bodyDiv w:val="1"/>
      <w:marLeft w:val="0"/>
      <w:marRight w:val="0"/>
      <w:marTop w:val="0"/>
      <w:marBottom w:val="0"/>
      <w:divBdr>
        <w:top w:val="none" w:sz="0" w:space="0" w:color="auto"/>
        <w:left w:val="none" w:sz="0" w:space="0" w:color="auto"/>
        <w:bottom w:val="none" w:sz="0" w:space="0" w:color="auto"/>
        <w:right w:val="none" w:sz="0" w:space="0" w:color="auto"/>
      </w:divBdr>
    </w:div>
    <w:div w:id="1135558788">
      <w:bodyDiv w:val="1"/>
      <w:marLeft w:val="0"/>
      <w:marRight w:val="0"/>
      <w:marTop w:val="0"/>
      <w:marBottom w:val="0"/>
      <w:divBdr>
        <w:top w:val="none" w:sz="0" w:space="0" w:color="auto"/>
        <w:left w:val="none" w:sz="0" w:space="0" w:color="auto"/>
        <w:bottom w:val="none" w:sz="0" w:space="0" w:color="auto"/>
        <w:right w:val="none" w:sz="0" w:space="0" w:color="auto"/>
      </w:divBdr>
    </w:div>
    <w:div w:id="1406998775">
      <w:bodyDiv w:val="1"/>
      <w:marLeft w:val="0"/>
      <w:marRight w:val="0"/>
      <w:marTop w:val="0"/>
      <w:marBottom w:val="0"/>
      <w:divBdr>
        <w:top w:val="none" w:sz="0" w:space="0" w:color="auto"/>
        <w:left w:val="none" w:sz="0" w:space="0" w:color="auto"/>
        <w:bottom w:val="none" w:sz="0" w:space="0" w:color="auto"/>
        <w:right w:val="none" w:sz="0" w:space="0" w:color="auto"/>
      </w:divBdr>
    </w:div>
    <w:div w:id="1466041279">
      <w:bodyDiv w:val="1"/>
      <w:marLeft w:val="0"/>
      <w:marRight w:val="0"/>
      <w:marTop w:val="0"/>
      <w:marBottom w:val="0"/>
      <w:divBdr>
        <w:top w:val="none" w:sz="0" w:space="0" w:color="auto"/>
        <w:left w:val="none" w:sz="0" w:space="0" w:color="auto"/>
        <w:bottom w:val="none" w:sz="0" w:space="0" w:color="auto"/>
        <w:right w:val="none" w:sz="0" w:space="0" w:color="auto"/>
      </w:divBdr>
    </w:div>
    <w:div w:id="2010478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ummary/Johannes-Gutenber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britannica.com/event/Renaissance.Accessed%202%20October%202022" TargetMode="External"/><Relationship Id="rId4" Type="http://schemas.openxmlformats.org/officeDocument/2006/relationships/settings" Target="settings.xml"/><Relationship Id="rId9" Type="http://schemas.openxmlformats.org/officeDocument/2006/relationships/hyperlink" Target="https://www.britannica.com/sports/Pythian-Ga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F406E-51A5-42E3-B876-98F6E8E07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3408</TotalTime>
  <Pages>5</Pages>
  <Words>1135</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Philps (1901524)</dc:creator>
  <cp:keywords/>
  <dc:description/>
  <cp:lastModifiedBy>Kerry Philps (1901524)</cp:lastModifiedBy>
  <cp:revision>9</cp:revision>
  <dcterms:created xsi:type="dcterms:W3CDTF">2022-10-01T22:26:00Z</dcterms:created>
  <dcterms:modified xsi:type="dcterms:W3CDTF">2022-10-05T22:36:00Z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cc4293db-5018-498c-9334-619badc23e61</vt:lpwstr>
  </property>
</Properties>
</file>