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386447" w14:textId="4DE8FCDD" w:rsidR="009A5CBD" w:rsidRDefault="00DC4C40" w:rsidP="00DC4C40">
      <w:pPr>
        <w:keepNext/>
        <w:spacing w:after="140" w:line="360" w:lineRule="auto"/>
        <w:rPr>
          <w:rFonts w:cs="Arial"/>
          <w:b/>
          <w:bCs/>
          <w:sz w:val="56"/>
          <w:szCs w:val="56"/>
        </w:rPr>
      </w:pPr>
      <w:r>
        <w:rPr>
          <w:noProof/>
        </w:rPr>
        <w:drawing>
          <wp:inline distT="0" distB="0" distL="0" distR="0" wp14:anchorId="16A96BE5" wp14:editId="0B52E7ED">
            <wp:extent cx="1607820" cy="1493520"/>
            <wp:effectExtent l="0" t="0" r="0" b="0"/>
            <wp:docPr id="1" name="Picture 1" descr="University of Wales Trinity Saint David: Ranking, Courses, Fe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Ranking, Courses, Fees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607820" cy="1493520"/>
                    </a:xfrm>
                    <a:prstGeom prst="rect">
                      <a:avLst/>
                    </a:prstGeom>
                    <a:noFill/>
                    <a:ln>
                      <a:noFill/>
                    </a:ln>
                  </pic:spPr>
                </pic:pic>
              </a:graphicData>
            </a:graphic>
          </wp:inline>
        </w:drawing>
      </w:r>
    </w:p>
    <w:p w14:paraId="01094E78" w14:textId="10F7C07B" w:rsidR="003A65B0" w:rsidRPr="00F560AA" w:rsidRDefault="003A65B0" w:rsidP="00DC4C40">
      <w:pPr>
        <w:keepNext/>
        <w:spacing w:after="140" w:line="360" w:lineRule="auto"/>
        <w:jc w:val="center"/>
        <w:rPr>
          <w:rFonts w:cs="Arial"/>
          <w:b/>
          <w:bCs/>
          <w:spacing w:val="-2"/>
          <w:sz w:val="56"/>
          <w:szCs w:val="56"/>
        </w:rPr>
      </w:pPr>
      <w:r w:rsidRPr="00F560AA">
        <w:rPr>
          <w:rFonts w:cs="Arial"/>
          <w:b/>
          <w:bCs/>
          <w:sz w:val="56"/>
          <w:szCs w:val="56"/>
        </w:rPr>
        <w:t>Certificate of Higher Education Skills for the Workplace (Health &amp; Social Care)</w:t>
      </w:r>
    </w:p>
    <w:p w14:paraId="145707E9" w14:textId="4A3226DA" w:rsidR="00574768" w:rsidRPr="00F560AA" w:rsidRDefault="005C6C68" w:rsidP="005C6C68">
      <w:pPr>
        <w:keepNext/>
        <w:spacing w:after="140" w:line="360" w:lineRule="auto"/>
        <w:jc w:val="center"/>
        <w:rPr>
          <w:rFonts w:cs="Arial"/>
          <w:b/>
          <w:bCs/>
          <w:sz w:val="56"/>
          <w:szCs w:val="56"/>
          <w:lang w:val="en-GB"/>
        </w:rPr>
      </w:pPr>
      <w:r w:rsidRPr="00F560AA">
        <w:rPr>
          <w:rFonts w:cs="Arial"/>
          <w:b/>
          <w:bCs/>
          <w:sz w:val="56"/>
          <w:szCs w:val="56"/>
        </w:rPr>
        <w:t>Introduction to Health and Social Care</w:t>
      </w:r>
    </w:p>
    <w:p w14:paraId="5F29AB1C" w14:textId="5C9633A0" w:rsidR="00AE6122" w:rsidRPr="0081348D" w:rsidRDefault="00AE6122" w:rsidP="005C6C68">
      <w:pPr>
        <w:keepNext/>
        <w:spacing w:after="140" w:line="360" w:lineRule="auto"/>
        <w:jc w:val="center"/>
        <w:rPr>
          <w:rFonts w:cs="Arial"/>
          <w:b/>
          <w:bCs/>
          <w:sz w:val="56"/>
          <w:szCs w:val="56"/>
          <w:lang w:val="en-GB"/>
        </w:rPr>
      </w:pPr>
      <w:r w:rsidRPr="0081348D">
        <w:rPr>
          <w:rFonts w:cs="Arial"/>
          <w:b/>
          <w:bCs/>
          <w:sz w:val="56"/>
          <w:szCs w:val="56"/>
        </w:rPr>
        <w:t>LCHS4003</w:t>
      </w:r>
    </w:p>
    <w:p w14:paraId="3D695B7D" w14:textId="0EF190F3" w:rsidR="00F560AA" w:rsidRDefault="00F560AA" w:rsidP="005C6C68">
      <w:pPr>
        <w:keepNext/>
        <w:spacing w:after="140" w:line="360" w:lineRule="auto"/>
        <w:jc w:val="center"/>
        <w:rPr>
          <w:rFonts w:cs="Arial"/>
          <w:b/>
          <w:bCs/>
          <w:sz w:val="56"/>
          <w:szCs w:val="56"/>
        </w:rPr>
      </w:pPr>
      <w:r w:rsidRPr="00F560AA">
        <w:rPr>
          <w:rFonts w:cs="Arial"/>
          <w:b/>
          <w:bCs/>
          <w:sz w:val="56"/>
          <w:szCs w:val="56"/>
        </w:rPr>
        <w:t>Written Assignment</w:t>
      </w:r>
    </w:p>
    <w:p w14:paraId="209CB6FA" w14:textId="77777777" w:rsidR="00F560AA" w:rsidRDefault="00F560AA" w:rsidP="005C6C68">
      <w:pPr>
        <w:keepNext/>
        <w:spacing w:after="140" w:line="360" w:lineRule="auto"/>
        <w:jc w:val="center"/>
        <w:rPr>
          <w:rFonts w:cs="Arial"/>
          <w:b/>
          <w:bCs/>
          <w:sz w:val="56"/>
          <w:szCs w:val="56"/>
        </w:rPr>
      </w:pPr>
    </w:p>
    <w:p w14:paraId="53A3CCFF" w14:textId="77777777" w:rsidR="00757CE8" w:rsidRPr="00757CE8" w:rsidRDefault="00F560AA" w:rsidP="00757CE8">
      <w:pPr>
        <w:spacing w:after="0" w:line="360" w:lineRule="auto"/>
        <w:jc w:val="center"/>
        <w:rPr>
          <w:rFonts w:ascii="Times New Roman" w:eastAsia="Times New Roman" w:hAnsi="Times New Roman" w:cs="Times New Roman"/>
          <w:sz w:val="24"/>
          <w:szCs w:val="24"/>
          <w:lang w:val="en-GB" w:eastAsia="en-GB"/>
        </w:rPr>
      </w:pPr>
      <w:r w:rsidRPr="009A5CBD">
        <w:rPr>
          <w:rFonts w:cs="Arial"/>
          <w:b/>
        </w:rPr>
        <w:t xml:space="preserve">Lecturer's name: </w:t>
      </w:r>
      <w:r w:rsidR="00757CE8" w:rsidRPr="00757CE8">
        <w:rPr>
          <w:rFonts w:ascii="Times New Roman" w:eastAsia="Times New Roman" w:hAnsi="Times New Roman" w:cs="Times New Roman"/>
          <w:sz w:val="24"/>
          <w:szCs w:val="24"/>
          <w:lang w:eastAsia="en-GB"/>
        </w:rPr>
        <w:t>Bernice Ejiogu</w:t>
      </w:r>
    </w:p>
    <w:p w14:paraId="09357ECE" w14:textId="77777777" w:rsidR="00DC4C40" w:rsidRDefault="00F560AA" w:rsidP="00757CE8">
      <w:pPr>
        <w:keepNext/>
        <w:spacing w:after="140" w:line="360" w:lineRule="auto"/>
        <w:jc w:val="center"/>
        <w:rPr>
          <w:rFonts w:cs="Arial"/>
          <w:bCs/>
        </w:rPr>
      </w:pPr>
      <w:r w:rsidRPr="009A5CBD">
        <w:rPr>
          <w:rFonts w:cs="Arial"/>
          <w:b/>
        </w:rPr>
        <w:t xml:space="preserve">Student Name: </w:t>
      </w:r>
      <w:r w:rsidRPr="009A5CBD">
        <w:rPr>
          <w:rFonts w:cs="Arial"/>
          <w:bCs/>
        </w:rPr>
        <w:t>Marisa Penetra</w:t>
      </w:r>
    </w:p>
    <w:p w14:paraId="4B8306EB" w14:textId="33817A16" w:rsidR="00F560AA" w:rsidRPr="00DC4C40" w:rsidRDefault="00F560AA" w:rsidP="00757CE8">
      <w:pPr>
        <w:keepNext/>
        <w:spacing w:after="140" w:line="360" w:lineRule="auto"/>
        <w:jc w:val="center"/>
        <w:rPr>
          <w:rFonts w:cs="Arial"/>
          <w:b/>
        </w:rPr>
      </w:pPr>
      <w:r w:rsidRPr="009A5CBD">
        <w:rPr>
          <w:rFonts w:cs="Arial"/>
          <w:b/>
        </w:rPr>
        <w:t xml:space="preserve">Student Number: </w:t>
      </w:r>
      <w:r w:rsidR="0081348D" w:rsidRPr="009A5CBD">
        <w:rPr>
          <w:rFonts w:cs="Arial"/>
          <w:bCs/>
        </w:rPr>
        <w:t>2529448</w:t>
      </w:r>
    </w:p>
    <w:p w14:paraId="6F9EC9A4" w14:textId="77777777" w:rsidR="00F4533A" w:rsidRPr="00AE6122" w:rsidRDefault="00F4533A" w:rsidP="00757CE8">
      <w:pPr>
        <w:keepNext/>
        <w:spacing w:after="140" w:line="360" w:lineRule="auto"/>
        <w:jc w:val="center"/>
        <w:rPr>
          <w:rFonts w:cs="Arial"/>
          <w:b/>
          <w:sz w:val="56"/>
          <w:szCs w:val="56"/>
          <w:lang w:val="en-GB"/>
        </w:rPr>
      </w:pPr>
    </w:p>
    <w:p w14:paraId="3FC3D695" w14:textId="35F18A92" w:rsidR="00EE1E78" w:rsidRPr="007F49F5" w:rsidRDefault="00574768" w:rsidP="007D4D24">
      <w:pPr>
        <w:spacing w:after="200"/>
        <w:rPr>
          <w:rFonts w:cs="Arial"/>
          <w:b/>
          <w:lang w:val="en-GB"/>
        </w:rPr>
      </w:pPr>
      <w:r w:rsidRPr="00DC4C40">
        <w:rPr>
          <w:rFonts w:cs="Arial"/>
          <w:b/>
        </w:rPr>
        <w:br w:type="page"/>
      </w:r>
      <w:r w:rsidR="00AD546A" w:rsidRPr="00DD179F">
        <w:rPr>
          <w:rFonts w:cs="Arial"/>
          <w:b/>
        </w:rPr>
        <w:lastRenderedPageBreak/>
        <w:t>The Importance of Communication, Administrative Skills, and Collaborative Work in Supporting Ms. Thompson</w:t>
      </w:r>
    </w:p>
    <w:p w14:paraId="7FCFD61B" w14:textId="77777777" w:rsidR="00EE1E78" w:rsidRPr="007F49F5" w:rsidRDefault="00AD546A" w:rsidP="00B36FE1">
      <w:pPr>
        <w:pStyle w:val="Heading1"/>
        <w:spacing w:line="360" w:lineRule="auto"/>
        <w:jc w:val="both"/>
        <w:rPr>
          <w:rFonts w:ascii="Arial" w:hAnsi="Arial" w:cs="Arial"/>
          <w:color w:val="auto"/>
          <w:sz w:val="22"/>
          <w:szCs w:val="22"/>
          <w:lang w:val="en-GB"/>
        </w:rPr>
      </w:pPr>
      <w:r w:rsidRPr="00574768">
        <w:rPr>
          <w:rFonts w:ascii="Arial" w:hAnsi="Arial" w:cs="Arial"/>
          <w:color w:val="auto"/>
          <w:sz w:val="22"/>
          <w:szCs w:val="22"/>
        </w:rPr>
        <w:t>Introduction</w:t>
      </w:r>
    </w:p>
    <w:p w14:paraId="6355CEA8" w14:textId="0D16B235" w:rsidR="00EE1E78" w:rsidRPr="007F49F5" w:rsidRDefault="00AD546A" w:rsidP="00B36FE1">
      <w:pPr>
        <w:spacing w:line="360" w:lineRule="auto"/>
        <w:jc w:val="both"/>
        <w:rPr>
          <w:rFonts w:cs="Arial"/>
          <w:lang w:val="en-GB"/>
        </w:rPr>
      </w:pPr>
      <w:r>
        <w:t xml:space="preserve">Ms. Thompson is 84 years old and was discharged from the hospital after treatment for pneumonia. She lives alone in sheltered accommodation, receives home support twice a day and has mild dementia, which can affect memory and medication management. She did not take the medication for two days and was found outside with clothing inappropriate for the weather conditions. These events do not in themselves confirm self-neglect or failure of services, but require assessment of risk, </w:t>
      </w:r>
      <w:r w:rsidR="00AC3F86">
        <w:t>needs,</w:t>
      </w:r>
      <w:r>
        <w:t xml:space="preserve"> and adequacy of support. This paper critically examines how communication, administrative skills, and collaborative work can promote safe, coordinated, and person-centered care.</w:t>
      </w:r>
    </w:p>
    <w:p w14:paraId="6DE5DED1" w14:textId="77777777" w:rsidR="00EE1E78" w:rsidRPr="007F49F5" w:rsidRDefault="00AD546A" w:rsidP="00B36FE1">
      <w:pPr>
        <w:pStyle w:val="Heading1"/>
        <w:spacing w:line="360" w:lineRule="auto"/>
        <w:jc w:val="both"/>
        <w:rPr>
          <w:rFonts w:ascii="Arial" w:hAnsi="Arial" w:cs="Arial"/>
          <w:color w:val="auto"/>
          <w:sz w:val="22"/>
          <w:szCs w:val="22"/>
          <w:lang w:val="en-GB"/>
        </w:rPr>
      </w:pPr>
      <w:r w:rsidRPr="00632502">
        <w:rPr>
          <w:rFonts w:ascii="Arial" w:hAnsi="Arial" w:cs="Arial"/>
          <w:color w:val="auto"/>
          <w:sz w:val="22"/>
          <w:szCs w:val="22"/>
        </w:rPr>
        <w:t>Effective Communication</w:t>
      </w:r>
    </w:p>
    <w:p w14:paraId="26A1E553" w14:textId="62437028" w:rsidR="00EE1E78" w:rsidRPr="007F49F5" w:rsidRDefault="00AD546A" w:rsidP="00B36FE1">
      <w:pPr>
        <w:spacing w:line="360" w:lineRule="auto"/>
        <w:jc w:val="both"/>
        <w:rPr>
          <w:rFonts w:cs="Arial"/>
          <w:lang w:val="en-GB"/>
        </w:rPr>
      </w:pPr>
      <w:r>
        <w:t xml:space="preserve">Effective communication allows you to understand information, express preferences and participate in decisions. It also favors the continuity of care and the early identification of risks. Dementia can affect the way Ms. Thompson processes and recalls information (NICE, 2018). However, diagnosis does not automatically mean disability. According to the Mental Capacity Act 2005, capacity must be assumed, </w:t>
      </w:r>
      <w:r w:rsidR="00AC3F86">
        <w:t>supported,</w:t>
      </w:r>
      <w:r>
        <w:t xml:space="preserve"> and evaluated in relation to the specific decision when there are doubts.</w:t>
      </w:r>
    </w:p>
    <w:p w14:paraId="2BE75C1F" w14:textId="5983EEAE" w:rsidR="00EE1E78" w:rsidRPr="007F49F5" w:rsidRDefault="00AD546A" w:rsidP="00B36FE1">
      <w:pPr>
        <w:spacing w:line="360" w:lineRule="auto"/>
        <w:jc w:val="both"/>
        <w:rPr>
          <w:rFonts w:cs="Arial"/>
          <w:lang w:val="en-GB"/>
        </w:rPr>
      </w:pPr>
      <w:r w:rsidRPr="00B36FE1">
        <w:rPr>
          <w:rFonts w:cs="Arial"/>
        </w:rPr>
        <w:t xml:space="preserve">Berlo's SMCR model relates sender, message, channel, and receiver (Berlo, 1960). A home care worker, nurse or general practitioner can convey information about medication or safety through speech, </w:t>
      </w:r>
      <w:r w:rsidR="00AC3F86" w:rsidRPr="00B36FE1">
        <w:rPr>
          <w:rFonts w:cs="Arial"/>
        </w:rPr>
        <w:t>writing,</w:t>
      </w:r>
      <w:r w:rsidRPr="00B36FE1">
        <w:rPr>
          <w:rFonts w:cs="Arial"/>
        </w:rPr>
        <w:t xml:space="preserve"> or visual aids. Ms. Thompson's questions and feedback demonstrate whether the message was understood. While the model is useful, it may seem unidirectional; A person-centered approach requires dialogue, observation, and confirmation of understanding.</w:t>
      </w:r>
    </w:p>
    <w:p w14:paraId="65C5E93A" w14:textId="7E142A5F" w:rsidR="00EE1E78" w:rsidRPr="007F49F5" w:rsidRDefault="00AD546A" w:rsidP="00B36FE1">
      <w:pPr>
        <w:spacing w:line="360" w:lineRule="auto"/>
        <w:jc w:val="both"/>
        <w:rPr>
          <w:rFonts w:cs="Arial"/>
          <w:lang w:val="en-GB"/>
        </w:rPr>
      </w:pPr>
      <w:r>
        <w:t xml:space="preserve">Barriers can include memory and concentration difficulties, technical language, anxiety, and changes in vision or hearing. Professionals should assess individual needs, speak calmly, present one idea at a time, allow more time, and reduce noise. Written or pictorial reminders can reinforce the instructions, but they should be simple, appropriate </w:t>
      </w:r>
      <w:r w:rsidR="00AC3F86">
        <w:t>for</w:t>
      </w:r>
      <w:r>
        <w:t xml:space="preserve"> the user and </w:t>
      </w:r>
      <w:r w:rsidR="00AC3F86">
        <w:t>up to date</w:t>
      </w:r>
      <w:r>
        <w:t>. The teach-back method allows you to ask Mrs. Thompson to explain the plan in her own words; Thus, the clarity of the professional explanation is verified without treating the user as if she were being examined.</w:t>
      </w:r>
    </w:p>
    <w:p w14:paraId="74913959" w14:textId="770F7323" w:rsidR="00EE1E78" w:rsidRPr="007F49F5" w:rsidRDefault="00AD546A" w:rsidP="00B36FE1">
      <w:pPr>
        <w:spacing w:line="360" w:lineRule="auto"/>
        <w:jc w:val="both"/>
        <w:rPr>
          <w:rFonts w:cs="Arial"/>
          <w:lang w:val="en-GB"/>
        </w:rPr>
      </w:pPr>
      <w:r>
        <w:t xml:space="preserve">NICE (2018) recommends supporting people with dementia to express their opinions and use simplified text or visuals. The Equality Act 2010 requires reasonable adjustments for people with disabilities. Where applicable, the Accessible Information Standard mandates that services identify, record, flag, share, </w:t>
      </w:r>
      <w:r w:rsidR="00AC3F86">
        <w:t>meet,</w:t>
      </w:r>
      <w:r>
        <w:t xml:space="preserve"> and review communication needs (NHS England, </w:t>
      </w:r>
      <w:r>
        <w:lastRenderedPageBreak/>
        <w:t>2025). Recording the agreed-upon fit helps maintain it during referrals, discharges, and shift changes; However, registration is only beneficial if practitioners consult the information and effectively adapt communication.</w:t>
      </w:r>
    </w:p>
    <w:p w14:paraId="0251FF07" w14:textId="3EE89EF1" w:rsidR="00EE1E78" w:rsidRPr="007F49F5" w:rsidRDefault="00AC3F86" w:rsidP="00B36FE1">
      <w:pPr>
        <w:spacing w:line="360" w:lineRule="auto"/>
        <w:jc w:val="both"/>
        <w:rPr>
          <w:rFonts w:cs="Arial"/>
          <w:lang w:val="en-GB"/>
        </w:rPr>
      </w:pPr>
      <w:r>
        <w:t>Communication</w:t>
      </w:r>
      <w:r w:rsidR="00AD546A">
        <w:t xml:space="preserve"> also supports the protection of adults. Medication failures, confusion, or unsafe ambulation may indicate altered needs, but do not prove self-neglect or professional failure. The team should listen to Ms. Thompson, record </w:t>
      </w:r>
      <w:r>
        <w:t>facts,</w:t>
      </w:r>
      <w:r w:rsidR="00AD546A">
        <w:t xml:space="preserve"> and consider the harm, the frequency of events and the patient's ability to manage the risk. Reassessment, medication review, or referral for safeguarding may be required. Under section 42 of the Care Act 2014, the local authority must </w:t>
      </w:r>
      <w:r w:rsidR="00B84A06">
        <w:t>conduct</w:t>
      </w:r>
      <w:r w:rsidR="00AD546A">
        <w:t xml:space="preserve"> </w:t>
      </w:r>
      <w:r w:rsidR="00B84A06">
        <w:t>endeavors</w:t>
      </w:r>
      <w:r w:rsidR="00AD546A">
        <w:t xml:space="preserve"> where the legal criteria are met, involving Ms Thompson and balancing safety and autonomy.</w:t>
      </w:r>
    </w:p>
    <w:p w14:paraId="1EB14E0B" w14:textId="77777777" w:rsidR="00EE1E78" w:rsidRPr="007F49F5" w:rsidRDefault="00AD546A" w:rsidP="00B36FE1">
      <w:pPr>
        <w:pStyle w:val="Heading1"/>
        <w:spacing w:line="360" w:lineRule="auto"/>
        <w:jc w:val="both"/>
        <w:rPr>
          <w:rFonts w:ascii="Arial" w:hAnsi="Arial" w:cs="Arial"/>
          <w:color w:val="auto"/>
          <w:sz w:val="22"/>
          <w:szCs w:val="22"/>
          <w:lang w:val="en-GB"/>
        </w:rPr>
      </w:pPr>
      <w:r w:rsidRPr="00632502">
        <w:rPr>
          <w:rFonts w:ascii="Arial" w:hAnsi="Arial" w:cs="Arial"/>
          <w:color w:val="auto"/>
          <w:sz w:val="22"/>
          <w:szCs w:val="22"/>
        </w:rPr>
        <w:t>Administrative Powers</w:t>
      </w:r>
    </w:p>
    <w:p w14:paraId="130BACB4" w14:textId="491ED1A0" w:rsidR="00EE1E78" w:rsidRPr="007F49F5" w:rsidRDefault="00AD546A" w:rsidP="00B36FE1">
      <w:pPr>
        <w:spacing w:line="360" w:lineRule="auto"/>
        <w:jc w:val="both"/>
        <w:rPr>
          <w:rFonts w:cs="Arial"/>
          <w:lang w:val="en-GB"/>
        </w:rPr>
      </w:pPr>
      <w:r>
        <w:t xml:space="preserve">Administrative powers transform observations and decisions into a reliable care system. They include logging, planning, organizing visits, managing information, reporting incidents, and properly sharing data. These activities link hospital discharge to home care, primary care, community nursing, and pharmacy. Poor management can make responsibilities unclear, delay interventions, and allow </w:t>
      </w:r>
      <w:r w:rsidR="00B84A06">
        <w:t>significant changes</w:t>
      </w:r>
      <w:r>
        <w:t xml:space="preserve"> to slip through the cracks. However, filling out documents is not enough: the information </w:t>
      </w:r>
      <w:r w:rsidR="00AC3F86">
        <w:t>must</w:t>
      </w:r>
      <w:r>
        <w:t xml:space="preserve"> be reviewed, </w:t>
      </w:r>
      <w:r w:rsidR="00AC3F86">
        <w:t>communicated,</w:t>
      </w:r>
      <w:r>
        <w:t xml:space="preserve"> and converted into actions.</w:t>
      </w:r>
    </w:p>
    <w:p w14:paraId="41ED426B" w14:textId="0D6785B0" w:rsidR="00EE1E78" w:rsidRPr="007F49F5" w:rsidRDefault="00AD546A" w:rsidP="00B36FE1">
      <w:pPr>
        <w:spacing w:line="360" w:lineRule="auto"/>
        <w:jc w:val="both"/>
        <w:rPr>
          <w:rFonts w:cs="Arial"/>
          <w:lang w:val="en-GB"/>
        </w:rPr>
      </w:pPr>
      <w:r>
        <w:t xml:space="preserve">Regulation </w:t>
      </w:r>
      <w:r w:rsidR="00AC3F86">
        <w:t>seventeen</w:t>
      </w:r>
      <w:r>
        <w:t xml:space="preserve"> of the Health and Social Care Act 2008 (Regulated Activities) Regulations 2014 </w:t>
      </w:r>
      <w:r w:rsidR="00AC3F86">
        <w:t>require</w:t>
      </w:r>
      <w:r>
        <w:t xml:space="preserve"> secure, accurate, </w:t>
      </w:r>
      <w:r w:rsidR="00AC3F86">
        <w:t>complete,</w:t>
      </w:r>
      <w:r>
        <w:t xml:space="preserve"> and contemporary records (Care Quality Commission, 2025b). Records should separate facts from opinions and indicate the support offered, medications taken or refused, changes observed, actions taken and professionals contacted. The NMC Code also requires nurses to keep clear, accurate and timely records (Nursing and Midwifery Council, 2018). This documentation underpins accountability, but its main value is to allow continuity and safe decisions.</w:t>
      </w:r>
    </w:p>
    <w:p w14:paraId="4619D238" w14:textId="0B7EDA69" w:rsidR="00EE1E78" w:rsidRPr="007F49F5" w:rsidRDefault="00AD546A" w:rsidP="00B36FE1">
      <w:pPr>
        <w:spacing w:line="360" w:lineRule="auto"/>
        <w:jc w:val="both"/>
        <w:rPr>
          <w:rFonts w:cs="Arial"/>
          <w:lang w:val="en-GB"/>
        </w:rPr>
      </w:pPr>
      <w:r>
        <w:t xml:space="preserve">Medication Administration Records (MAR) are essential. NICE (2017) determines that the support provided for each medicine is always recorded. The MAR must indicate whether the medicine has been taken or refused and who provided support; should not suggest ingestion without observation (Care Quality Commission, 2025a). Failure to do so for two days requires checking the MAR, the care plan, the available medications, the discharge </w:t>
      </w:r>
      <w:r w:rsidR="00AC3F86">
        <w:t>information,</w:t>
      </w:r>
      <w:r>
        <w:t xml:space="preserve"> and the agreed support. Clinical advice should be obtained before changing schedules or administering additional doses. Causes may include refusal, forgetfulness, failure to provide or unclear responsibilities; Therefore, attributing the problem only to dementia would prevent an adequate analysis of the care system.</w:t>
      </w:r>
    </w:p>
    <w:p w14:paraId="67A295E4" w14:textId="77777777" w:rsidR="00EE1E78" w:rsidRPr="007F49F5" w:rsidRDefault="00AD546A" w:rsidP="00B36FE1">
      <w:pPr>
        <w:spacing w:line="360" w:lineRule="auto"/>
        <w:jc w:val="both"/>
        <w:rPr>
          <w:rFonts w:cs="Arial"/>
          <w:lang w:val="en-GB"/>
        </w:rPr>
      </w:pPr>
      <w:r>
        <w:t xml:space="preserve">Both events must be documented and reported according to the organization's policy. A formal report can identify contributing factors and promote learning, rather than just assigning blame. </w:t>
      </w:r>
      <w:r>
        <w:lastRenderedPageBreak/>
        <w:t>It should be linked to the review of the care plan and the confirmation of urgent actions. Measures may include changing visit schedules, clarifying scheduling, organizing a medication review, or updating risk assessment. Recording without analyzing patterns, assigning responsibilities, and modifying the plan is of limited value.</w:t>
      </w:r>
    </w:p>
    <w:p w14:paraId="635D4D14" w14:textId="77777777" w:rsidR="00EE1E78" w:rsidRPr="007F49F5" w:rsidRDefault="00AD546A" w:rsidP="00B36FE1">
      <w:pPr>
        <w:spacing w:line="360" w:lineRule="auto"/>
        <w:jc w:val="both"/>
        <w:rPr>
          <w:rFonts w:cs="Arial"/>
          <w:lang w:val="en-GB"/>
        </w:rPr>
      </w:pPr>
      <w:r w:rsidRPr="00B36FE1">
        <w:rPr>
          <w:rFonts w:cs="Arial"/>
        </w:rPr>
        <w:t>The information must be managed legally. The Data Protection Act 2018 and the UK GDPR principles require data that is relevant, accurate, secure, and limited to what is necessary (Information Commissioner's Office, 2026). The Caldicott Principles clarify that the duty to share for care can be as important as confidentiality (National Data Guardian, 2020). Professionals should use secure channels, share only what is necessary, justify the decision, and involve Ms. Thompson whenever possible.</w:t>
      </w:r>
    </w:p>
    <w:p w14:paraId="0D62DEC5" w14:textId="77777777" w:rsidR="00EE1E78" w:rsidRPr="007F49F5" w:rsidRDefault="00AD546A" w:rsidP="00B36FE1">
      <w:pPr>
        <w:pStyle w:val="Heading1"/>
        <w:spacing w:line="360" w:lineRule="auto"/>
        <w:jc w:val="both"/>
        <w:rPr>
          <w:rFonts w:ascii="Arial" w:hAnsi="Arial" w:cs="Arial"/>
          <w:color w:val="auto"/>
          <w:sz w:val="22"/>
          <w:szCs w:val="22"/>
          <w:lang w:val="en-GB"/>
        </w:rPr>
      </w:pPr>
      <w:r w:rsidRPr="00632502">
        <w:rPr>
          <w:rFonts w:ascii="Arial" w:hAnsi="Arial" w:cs="Arial"/>
          <w:color w:val="auto"/>
          <w:sz w:val="22"/>
          <w:szCs w:val="22"/>
        </w:rPr>
        <w:t>Collaborative Work</w:t>
      </w:r>
    </w:p>
    <w:p w14:paraId="2508F1A0" w14:textId="77777777" w:rsidR="00EE1E78" w:rsidRPr="007F49F5" w:rsidRDefault="00AD546A" w:rsidP="00B36FE1">
      <w:pPr>
        <w:spacing w:line="360" w:lineRule="auto"/>
        <w:jc w:val="both"/>
        <w:rPr>
          <w:rFonts w:cs="Arial"/>
          <w:lang w:val="en-GB"/>
        </w:rPr>
      </w:pPr>
      <w:r w:rsidRPr="00B36FE1">
        <w:rPr>
          <w:rFonts w:cs="Arial"/>
        </w:rPr>
        <w:t>Ms. Thompson's recovery, cognition, medication, and safety span several professional areas. Collaboration is necessary, but the presence of several professionals does not guarantee coordination. Without clear responsibilities, each person can assume that another has already acted. A shared plan, agreed roles, timely communication and a defined avenue for reporting concerns are essential.</w:t>
      </w:r>
    </w:p>
    <w:p w14:paraId="632A5A98" w14:textId="7024D088" w:rsidR="00EE1E78" w:rsidRPr="007F49F5" w:rsidRDefault="00AD546A" w:rsidP="00B36FE1">
      <w:pPr>
        <w:spacing w:line="360" w:lineRule="auto"/>
        <w:jc w:val="both"/>
        <w:rPr>
          <w:rFonts w:cs="Arial"/>
          <w:lang w:val="en-GB"/>
        </w:rPr>
      </w:pPr>
      <w:r>
        <w:t xml:space="preserve">The general practitioner may review the medical status; the community nurse can monitor the recovery; and home support workers can observe changes and provide </w:t>
      </w:r>
      <w:r w:rsidR="00AC3F86">
        <w:t>support</w:t>
      </w:r>
      <w:r>
        <w:t xml:space="preserve"> with medicines defined in the plan. The pharmacist can verify reconciliation and supply, while the social worker or coordinator can reassess needs, risks, and protection. This division of labour should be explicit, as NICE (2017) highlights the need for joint work and </w:t>
      </w:r>
      <w:r w:rsidR="00AC3F86">
        <w:t>sharing information</w:t>
      </w:r>
      <w:r>
        <w:t xml:space="preserve"> on medicines. Ms. Thompson should remain at the center of the team, involving family or </w:t>
      </w:r>
      <w:r w:rsidR="00AC3F86">
        <w:t>representatives</w:t>
      </w:r>
      <w:r>
        <w:t xml:space="preserve"> only with her agreement or other proper legal basis.</w:t>
      </w:r>
    </w:p>
    <w:p w14:paraId="6AE26065" w14:textId="48E22E27" w:rsidR="00EE1E78" w:rsidRPr="007F49F5" w:rsidRDefault="00AD546A" w:rsidP="00B36FE1">
      <w:pPr>
        <w:spacing w:line="360" w:lineRule="auto"/>
        <w:jc w:val="both"/>
        <w:rPr>
          <w:rFonts w:cs="Arial"/>
          <w:lang w:val="en-GB"/>
        </w:rPr>
      </w:pPr>
      <w:r>
        <w:t xml:space="preserve">The immediate response should verify Ms. Thompson's health status, identify the missing drug, and seek clinical advice, rather than administering additional doses without authorization. The team should reconcile discharge, GP and pharmacy records, review medication support and decide whether two daily visits are still appropriate. You should also define who contacts the user, who updates the plan and when the results will be reviewed. A structured information transfer, a shared plan and a responsible professional reduce duplication and complete the cycle between communication, </w:t>
      </w:r>
      <w:r w:rsidR="00AC3F86">
        <w:t>action,</w:t>
      </w:r>
      <w:r>
        <w:t xml:space="preserve"> and review (NICE, 2017).</w:t>
      </w:r>
    </w:p>
    <w:p w14:paraId="0998E11B" w14:textId="1B9A2E2C" w:rsidR="00EE1E78" w:rsidRPr="007F49F5" w:rsidRDefault="00AD546A" w:rsidP="00B36FE1">
      <w:pPr>
        <w:spacing w:line="360" w:lineRule="auto"/>
        <w:jc w:val="both"/>
        <w:rPr>
          <w:rFonts w:cs="Arial"/>
          <w:lang w:val="en-GB"/>
        </w:rPr>
      </w:pPr>
      <w:r w:rsidRPr="00B36FE1">
        <w:rPr>
          <w:rFonts w:cs="Arial"/>
        </w:rPr>
        <w:t xml:space="preserve">Collaboration must balance autonomy, confidentiality, and risk. Mrs. Thompson can maintain the capacity for certain decisions, even if she later forgets information. Before concluding that you </w:t>
      </w:r>
      <w:r w:rsidR="00AC3F86" w:rsidRPr="00B36FE1">
        <w:rPr>
          <w:rFonts w:cs="Arial"/>
        </w:rPr>
        <w:t>cannot</w:t>
      </w:r>
      <w:r w:rsidRPr="00B36FE1">
        <w:rPr>
          <w:rFonts w:cs="Arial"/>
        </w:rPr>
        <w:t xml:space="preserve"> decide, professionals should support it with accessible information. If there is doubt, the capacity should be evaluated for the specific decision; if it is lacking, any measure must be in the best interest and be the least restrictive, according to the Mental Capacity Act 2005. If </w:t>
      </w:r>
      <w:r w:rsidRPr="00B36FE1">
        <w:rPr>
          <w:rFonts w:cs="Arial"/>
        </w:rPr>
        <w:lastRenderedPageBreak/>
        <w:t>the threshold of the Care Act 2014 can be met, a proportionate safeguarding response should be considered, while maintaining the participation of the client.</w:t>
      </w:r>
    </w:p>
    <w:p w14:paraId="49007730" w14:textId="64D8EEB1" w:rsidR="00EE1E78" w:rsidRPr="007F49F5" w:rsidRDefault="00AD546A" w:rsidP="00B36FE1">
      <w:pPr>
        <w:spacing w:line="360" w:lineRule="auto"/>
        <w:jc w:val="both"/>
        <w:rPr>
          <w:rFonts w:cs="Arial"/>
          <w:lang w:val="en-GB"/>
        </w:rPr>
      </w:pPr>
      <w:r w:rsidRPr="00B36FE1">
        <w:rPr>
          <w:rFonts w:cs="Arial"/>
        </w:rPr>
        <w:t xml:space="preserve">Collaboration should be measured by results and not just by meetings. Signs of improvement include an updated plan, absence of unexplained omissions, quick responses, and continued participation by Ms. Thompson. The team should confirm that the actions reduce the risk and change them if they </w:t>
      </w:r>
      <w:r w:rsidR="00AC3F86" w:rsidRPr="00B36FE1">
        <w:rPr>
          <w:rFonts w:cs="Arial"/>
        </w:rPr>
        <w:t>do not</w:t>
      </w:r>
      <w:r w:rsidRPr="00B36FE1">
        <w:rPr>
          <w:rFonts w:cs="Arial"/>
        </w:rPr>
        <w:t xml:space="preserve"> work. Regular reviews are necessary because needs can change.</w:t>
      </w:r>
    </w:p>
    <w:p w14:paraId="31E956FD" w14:textId="77777777" w:rsidR="00EE1E78" w:rsidRPr="007F49F5" w:rsidRDefault="00AD546A" w:rsidP="00B36FE1">
      <w:pPr>
        <w:pStyle w:val="Heading1"/>
        <w:spacing w:line="360" w:lineRule="auto"/>
        <w:jc w:val="both"/>
        <w:rPr>
          <w:rFonts w:ascii="Arial" w:hAnsi="Arial" w:cs="Arial"/>
          <w:color w:val="auto"/>
          <w:sz w:val="22"/>
          <w:szCs w:val="22"/>
          <w:lang w:val="en-GB"/>
        </w:rPr>
      </w:pPr>
      <w:r w:rsidRPr="00632502">
        <w:rPr>
          <w:rFonts w:ascii="Arial" w:hAnsi="Arial" w:cs="Arial"/>
          <w:color w:val="auto"/>
          <w:sz w:val="22"/>
          <w:szCs w:val="22"/>
        </w:rPr>
        <w:t>Conclusion</w:t>
      </w:r>
    </w:p>
    <w:p w14:paraId="5FBAE6A0" w14:textId="696FB1AF" w:rsidR="00EE1E78" w:rsidRPr="007F49F5" w:rsidRDefault="00AD546A" w:rsidP="00B36FE1">
      <w:pPr>
        <w:spacing w:line="360" w:lineRule="auto"/>
        <w:jc w:val="both"/>
        <w:rPr>
          <w:rFonts w:cs="Arial"/>
          <w:lang w:val="en-GB"/>
        </w:rPr>
      </w:pPr>
      <w:r w:rsidRPr="00B36FE1">
        <w:rPr>
          <w:rFonts w:cs="Arial"/>
        </w:rPr>
        <w:t xml:space="preserve">The case demonstrates that safe care integrates communication, </w:t>
      </w:r>
      <w:r w:rsidR="00AC3F86" w:rsidRPr="00B36FE1">
        <w:rPr>
          <w:rFonts w:cs="Arial"/>
        </w:rPr>
        <w:t>administration,</w:t>
      </w:r>
      <w:r w:rsidRPr="00B36FE1">
        <w:rPr>
          <w:rFonts w:cs="Arial"/>
        </w:rPr>
        <w:t xml:space="preserve"> and collaboration. Communication supports understanding and choice; the records link medicines, </w:t>
      </w:r>
      <w:r w:rsidR="00AC3F86" w:rsidRPr="00B36FE1">
        <w:rPr>
          <w:rFonts w:cs="Arial"/>
        </w:rPr>
        <w:t>risks,</w:t>
      </w:r>
      <w:r w:rsidRPr="00B36FE1">
        <w:rPr>
          <w:rFonts w:cs="Arial"/>
        </w:rPr>
        <w:t xml:space="preserve"> and actions; and the proportional sharing of information allows for a coordinated response. None of these elements is sufficient in isolation. This integration also makes it possible to detect changes earlier, adapt the level of support and demonstrate that the decisions made were proportionate to the needs and preferences of the user at each moment of the continuous care process.</w:t>
      </w:r>
    </w:p>
    <w:p w14:paraId="46930150" w14:textId="39190FB5" w:rsidR="00042A02" w:rsidRPr="007F49F5" w:rsidRDefault="00AD546A" w:rsidP="00042A02">
      <w:pPr>
        <w:spacing w:line="360" w:lineRule="auto"/>
        <w:jc w:val="both"/>
        <w:rPr>
          <w:rFonts w:cs="Arial"/>
          <w:lang w:val="en-GB"/>
        </w:rPr>
      </w:pPr>
      <w:r w:rsidRPr="00B36FE1">
        <w:rPr>
          <w:rFonts w:cs="Arial"/>
        </w:rPr>
        <w:t xml:space="preserve">Incidents should not be automatically attributed to dementia or individual error. They require reassessing needs, responsibilities, medication support, and </w:t>
      </w:r>
      <w:r w:rsidR="00AC3F86" w:rsidRPr="00B36FE1">
        <w:rPr>
          <w:rFonts w:cs="Arial"/>
        </w:rPr>
        <w:t>safeguarding</w:t>
      </w:r>
      <w:r w:rsidRPr="00B36FE1">
        <w:rPr>
          <w:rFonts w:cs="Arial"/>
        </w:rPr>
        <w:t xml:space="preserve"> in partnership with Ms. Thompson. A coordinated, evidence-based response can reduce harm while respecting autonomy, dignity, and participation. Success should be measured by the safety of the results and the continuity of the user's involvement in their care.</w:t>
      </w:r>
    </w:p>
    <w:p w14:paraId="2848218C" w14:textId="77777777" w:rsidR="00686452" w:rsidRPr="007F49F5" w:rsidRDefault="00686452" w:rsidP="00042A02">
      <w:pPr>
        <w:spacing w:line="360" w:lineRule="auto"/>
        <w:jc w:val="both"/>
        <w:rPr>
          <w:rFonts w:cs="Arial"/>
          <w:lang w:val="en-GB"/>
        </w:rPr>
      </w:pPr>
    </w:p>
    <w:p w14:paraId="7895B7FA" w14:textId="77777777" w:rsidR="00686452" w:rsidRPr="007F49F5" w:rsidRDefault="00686452" w:rsidP="00042A02">
      <w:pPr>
        <w:spacing w:line="360" w:lineRule="auto"/>
        <w:jc w:val="both"/>
        <w:rPr>
          <w:rFonts w:cs="Arial"/>
          <w:lang w:val="en-GB"/>
        </w:rPr>
      </w:pPr>
    </w:p>
    <w:p w14:paraId="377E2FE5" w14:textId="77777777" w:rsidR="00686452" w:rsidRPr="007F49F5" w:rsidRDefault="00686452" w:rsidP="00042A02">
      <w:pPr>
        <w:spacing w:line="360" w:lineRule="auto"/>
        <w:jc w:val="both"/>
        <w:rPr>
          <w:rFonts w:cs="Arial"/>
          <w:lang w:val="en-GB"/>
        </w:rPr>
      </w:pPr>
    </w:p>
    <w:p w14:paraId="460839B6" w14:textId="77777777" w:rsidR="00686452" w:rsidRPr="007F49F5" w:rsidRDefault="00686452" w:rsidP="00042A02">
      <w:pPr>
        <w:spacing w:line="360" w:lineRule="auto"/>
        <w:jc w:val="both"/>
        <w:rPr>
          <w:rFonts w:cs="Arial"/>
          <w:lang w:val="en-GB"/>
        </w:rPr>
      </w:pPr>
    </w:p>
    <w:p w14:paraId="005EE9E8" w14:textId="77777777" w:rsidR="00686452" w:rsidRPr="007F49F5" w:rsidRDefault="00686452" w:rsidP="00042A02">
      <w:pPr>
        <w:spacing w:line="360" w:lineRule="auto"/>
        <w:jc w:val="both"/>
        <w:rPr>
          <w:rFonts w:cs="Arial"/>
          <w:lang w:val="en-GB"/>
        </w:rPr>
      </w:pPr>
    </w:p>
    <w:p w14:paraId="3C22FE90" w14:textId="77777777" w:rsidR="00686452" w:rsidRPr="007F49F5" w:rsidRDefault="00686452" w:rsidP="00042A02">
      <w:pPr>
        <w:spacing w:line="360" w:lineRule="auto"/>
        <w:jc w:val="both"/>
        <w:rPr>
          <w:rFonts w:cs="Arial"/>
          <w:lang w:val="en-GB"/>
        </w:rPr>
      </w:pPr>
    </w:p>
    <w:p w14:paraId="207DDE23" w14:textId="77777777" w:rsidR="00686452" w:rsidRPr="007F49F5" w:rsidRDefault="00686452" w:rsidP="00042A02">
      <w:pPr>
        <w:spacing w:line="360" w:lineRule="auto"/>
        <w:jc w:val="both"/>
        <w:rPr>
          <w:rFonts w:cs="Arial"/>
          <w:lang w:val="en-GB"/>
        </w:rPr>
      </w:pPr>
    </w:p>
    <w:p w14:paraId="2F40BED1" w14:textId="77777777" w:rsidR="00686452" w:rsidRPr="007F49F5" w:rsidRDefault="00686452" w:rsidP="00042A02">
      <w:pPr>
        <w:spacing w:line="360" w:lineRule="auto"/>
        <w:jc w:val="both"/>
        <w:rPr>
          <w:rFonts w:cs="Arial"/>
          <w:lang w:val="en-GB"/>
        </w:rPr>
      </w:pPr>
    </w:p>
    <w:p w14:paraId="2C1872E6" w14:textId="77777777" w:rsidR="00686452" w:rsidRPr="007F49F5" w:rsidRDefault="00686452" w:rsidP="00042A02">
      <w:pPr>
        <w:spacing w:line="360" w:lineRule="auto"/>
        <w:jc w:val="both"/>
        <w:rPr>
          <w:rFonts w:cs="Arial"/>
          <w:lang w:val="en-GB"/>
        </w:rPr>
      </w:pPr>
    </w:p>
    <w:p w14:paraId="3ADBE14B" w14:textId="77777777" w:rsidR="00686452" w:rsidRPr="007F49F5" w:rsidRDefault="00686452" w:rsidP="00042A02">
      <w:pPr>
        <w:spacing w:line="360" w:lineRule="auto"/>
        <w:jc w:val="both"/>
        <w:rPr>
          <w:rFonts w:cs="Arial"/>
          <w:lang w:val="en-GB"/>
        </w:rPr>
      </w:pPr>
    </w:p>
    <w:p w14:paraId="7287CFD0" w14:textId="77777777" w:rsidR="00686452" w:rsidRPr="007F49F5" w:rsidRDefault="00686452" w:rsidP="00042A02">
      <w:pPr>
        <w:spacing w:line="360" w:lineRule="auto"/>
        <w:jc w:val="both"/>
        <w:rPr>
          <w:rFonts w:cs="Arial"/>
          <w:lang w:val="en-GB"/>
        </w:rPr>
      </w:pPr>
    </w:p>
    <w:p w14:paraId="2EA1F035" w14:textId="4784A3F6" w:rsidR="00EE1E78" w:rsidRPr="00632502" w:rsidRDefault="00AD546A" w:rsidP="00B36FE1">
      <w:pPr>
        <w:pStyle w:val="Heading1"/>
        <w:spacing w:line="360" w:lineRule="auto"/>
        <w:jc w:val="both"/>
        <w:rPr>
          <w:rFonts w:ascii="Arial" w:hAnsi="Arial" w:cs="Arial"/>
          <w:color w:val="auto"/>
          <w:sz w:val="22"/>
          <w:szCs w:val="22"/>
        </w:rPr>
      </w:pPr>
      <w:r w:rsidRPr="00632502">
        <w:rPr>
          <w:rFonts w:ascii="Arial" w:hAnsi="Arial" w:cs="Arial"/>
          <w:color w:val="auto"/>
          <w:sz w:val="22"/>
          <w:szCs w:val="22"/>
        </w:rPr>
        <w:lastRenderedPageBreak/>
        <w:t>References</w:t>
      </w:r>
    </w:p>
    <w:p w14:paraId="1588DAF4" w14:textId="6C4E2072" w:rsidR="00EE1E78" w:rsidRPr="00B36FE1" w:rsidRDefault="00AD546A" w:rsidP="00B36FE1">
      <w:pPr>
        <w:pStyle w:val="Reference"/>
        <w:spacing w:after="60" w:line="360" w:lineRule="auto"/>
        <w:ind w:left="432" w:hanging="432"/>
        <w:rPr>
          <w:rFonts w:cs="Arial"/>
          <w:sz w:val="22"/>
        </w:rPr>
      </w:pPr>
      <w:r>
        <w:t xml:space="preserve">Berlo, D.K. (1960) The process of communication: an introduction to theory and practice. New York: Holt, </w:t>
      </w:r>
      <w:r w:rsidR="00AC3F86">
        <w:t>Rinehart,</w:t>
      </w:r>
      <w:r>
        <w:t xml:space="preserve"> and Winston.</w:t>
      </w:r>
    </w:p>
    <w:p w14:paraId="3E4470DF" w14:textId="77777777" w:rsidR="00EE1E78" w:rsidRPr="00B36FE1" w:rsidRDefault="00AD546A" w:rsidP="00B36FE1">
      <w:pPr>
        <w:pStyle w:val="Reference"/>
        <w:spacing w:after="60" w:line="360" w:lineRule="auto"/>
        <w:ind w:left="432" w:hanging="432"/>
        <w:rPr>
          <w:rFonts w:cs="Arial"/>
          <w:sz w:val="22"/>
        </w:rPr>
      </w:pPr>
      <w:r>
        <w:t>Care Act 2014, c. 23. Available at: https://www.legislation.gov.uk/ukpga/2014/23/section/42 (Accessed: 22 July 2026).</w:t>
      </w:r>
    </w:p>
    <w:p w14:paraId="62AAF79F" w14:textId="77777777" w:rsidR="00EE1E78" w:rsidRPr="00B36FE1" w:rsidRDefault="00AD546A" w:rsidP="00B36FE1">
      <w:pPr>
        <w:pStyle w:val="Reference"/>
        <w:spacing w:after="60" w:line="360" w:lineRule="auto"/>
        <w:ind w:left="432" w:hanging="432"/>
        <w:rPr>
          <w:rFonts w:cs="Arial"/>
          <w:sz w:val="22"/>
        </w:rPr>
      </w:pPr>
      <w:r>
        <w:t>Care Quality Commission (2025a) Medicines administration records in adult social care. Available at: https://www.cqc.org.uk/guidance-providers/adult-social-care/medicines-administration-records-adult-social-care (Accessed: 22 July 2026).</w:t>
      </w:r>
    </w:p>
    <w:p w14:paraId="53EA7C15" w14:textId="77777777" w:rsidR="00EE1E78" w:rsidRPr="00B36FE1" w:rsidRDefault="00AD546A" w:rsidP="00B36FE1">
      <w:pPr>
        <w:pStyle w:val="Reference"/>
        <w:spacing w:after="60" w:line="360" w:lineRule="auto"/>
        <w:ind w:left="432" w:hanging="432"/>
        <w:rPr>
          <w:rFonts w:cs="Arial"/>
          <w:sz w:val="22"/>
        </w:rPr>
      </w:pPr>
      <w:r>
        <w:t>Care Quality Commission (2025b) Regulation 17: Good governance. Available at: https://www.cqc.org.uk/guidance-regulation/providers/regulations-service-providers-and-managers/health-social-care-act/regulation-17 (Accessed: 22 July 2026).</w:t>
      </w:r>
    </w:p>
    <w:p w14:paraId="65A70BFE" w14:textId="77777777" w:rsidR="00EE1E78" w:rsidRPr="00B36FE1" w:rsidRDefault="00AD546A" w:rsidP="00B36FE1">
      <w:pPr>
        <w:pStyle w:val="Reference"/>
        <w:spacing w:after="60" w:line="360" w:lineRule="auto"/>
        <w:ind w:left="432" w:hanging="432"/>
        <w:rPr>
          <w:rFonts w:cs="Arial"/>
          <w:sz w:val="22"/>
        </w:rPr>
      </w:pPr>
      <w:r>
        <w:t>Data Protection Act 2018, c. 12. Available at: https://www.legislation.gov.uk/ukpga/2018/12/contents (Accessed: 22 July 2026).</w:t>
      </w:r>
    </w:p>
    <w:p w14:paraId="5483EB5C" w14:textId="77777777" w:rsidR="00EE1E78" w:rsidRPr="00B36FE1" w:rsidRDefault="00AD546A" w:rsidP="00B36FE1">
      <w:pPr>
        <w:pStyle w:val="Reference"/>
        <w:spacing w:after="60" w:line="360" w:lineRule="auto"/>
        <w:ind w:left="432" w:hanging="432"/>
        <w:rPr>
          <w:rFonts w:cs="Arial"/>
          <w:sz w:val="22"/>
        </w:rPr>
      </w:pPr>
      <w:r>
        <w:t>Equality Act 2010, c. 15. Available at: https://www.legislation.gov.uk/ukpga/2010/15/section/20 (Accessed: 22 July 2026).</w:t>
      </w:r>
    </w:p>
    <w:p w14:paraId="63E90B53" w14:textId="52DFF97D" w:rsidR="00EE1E78" w:rsidRPr="00B36FE1" w:rsidRDefault="00AD546A" w:rsidP="00B36FE1">
      <w:pPr>
        <w:pStyle w:val="Reference"/>
        <w:spacing w:after="60" w:line="360" w:lineRule="auto"/>
        <w:ind w:left="432" w:hanging="432"/>
        <w:rPr>
          <w:rFonts w:cs="Arial"/>
          <w:sz w:val="22"/>
        </w:rPr>
      </w:pPr>
      <w:r>
        <w:t xml:space="preserve">Information Commissioner's Office (2026) A guide to </w:t>
      </w:r>
      <w:r w:rsidR="00AC3F86">
        <w:t>data</w:t>
      </w:r>
      <w:r>
        <w:t xml:space="preserve"> protection principles. Available at: https://ico.org.uk/for-organisations/uk-gdpr-guidance-and-resources/data-protection-principles/a-guide-to-the-data-protection-principles/ (Accessed: 22 July 2026).</w:t>
      </w:r>
    </w:p>
    <w:p w14:paraId="7E64665C" w14:textId="77777777" w:rsidR="00EE1E78" w:rsidRPr="00B36FE1" w:rsidRDefault="00AD546A" w:rsidP="00B36FE1">
      <w:pPr>
        <w:pStyle w:val="Reference"/>
        <w:spacing w:after="60" w:line="360" w:lineRule="auto"/>
        <w:ind w:left="432" w:hanging="432"/>
        <w:rPr>
          <w:rFonts w:cs="Arial"/>
          <w:sz w:val="22"/>
        </w:rPr>
      </w:pPr>
      <w:r>
        <w:t>Mental Capacity Act 2005, c. 9. Available at: https://www.legislation.gov.uk/ukpga/2005/9/contents (Accessed: 22 July 2026).</w:t>
      </w:r>
    </w:p>
    <w:p w14:paraId="6CB7D73F" w14:textId="77777777" w:rsidR="00EE1E78" w:rsidRPr="00B36FE1" w:rsidRDefault="00AD546A" w:rsidP="00B36FE1">
      <w:pPr>
        <w:pStyle w:val="Reference"/>
        <w:spacing w:after="60" w:line="360" w:lineRule="auto"/>
        <w:ind w:left="432" w:hanging="432"/>
        <w:rPr>
          <w:rFonts w:cs="Arial"/>
          <w:sz w:val="22"/>
        </w:rPr>
      </w:pPr>
      <w:r>
        <w:t>National Data Guardian (2020) The Caldicott Principles. Available at: https://www.gov.uk/government/publications/the-caldicott-principles (Accessed: 22 July 2026).</w:t>
      </w:r>
    </w:p>
    <w:p w14:paraId="63C98797" w14:textId="77777777" w:rsidR="00EE1E78" w:rsidRPr="00B36FE1" w:rsidRDefault="00AD546A" w:rsidP="00B36FE1">
      <w:pPr>
        <w:pStyle w:val="Reference"/>
        <w:spacing w:after="60" w:line="360" w:lineRule="auto"/>
        <w:ind w:left="432" w:hanging="432"/>
        <w:rPr>
          <w:rFonts w:cs="Arial"/>
          <w:sz w:val="22"/>
        </w:rPr>
      </w:pPr>
      <w:r>
        <w:t>NICE (2017) Managing medicines for adults receiving social care in the community (NG67). Available at: https://www.nice.org.uk/guidance/ng67 (Accessed: 22 July 2026).</w:t>
      </w:r>
    </w:p>
    <w:p w14:paraId="4563A7DD" w14:textId="77777777" w:rsidR="00EE1E78" w:rsidRPr="00B36FE1" w:rsidRDefault="00AD546A" w:rsidP="00B36FE1">
      <w:pPr>
        <w:pStyle w:val="Reference"/>
        <w:spacing w:after="60" w:line="360" w:lineRule="auto"/>
        <w:ind w:left="432" w:hanging="432"/>
        <w:rPr>
          <w:rFonts w:cs="Arial"/>
          <w:sz w:val="22"/>
        </w:rPr>
      </w:pPr>
      <w:r>
        <w:t>NICE (2018) Dementia: assessment, management and support for people living with dementia and their carers (NG97). Available at: https://www.nice.org.uk/guidance/ng97 (Accessed: 22 July 2026).</w:t>
      </w:r>
    </w:p>
    <w:p w14:paraId="1B2B945E" w14:textId="77777777" w:rsidR="00EE1E78" w:rsidRPr="00B36FE1" w:rsidRDefault="00AD546A" w:rsidP="00B36FE1">
      <w:pPr>
        <w:pStyle w:val="Reference"/>
        <w:spacing w:after="60" w:line="360" w:lineRule="auto"/>
        <w:ind w:left="432" w:hanging="432"/>
        <w:rPr>
          <w:rFonts w:cs="Arial"/>
          <w:sz w:val="22"/>
        </w:rPr>
      </w:pPr>
      <w:r>
        <w:t>NHS England (2025) Accessible Information Standard – requirements (DAPB1605). Available at: https://www.england.nhs.uk/long-read/accessible-information-standard-requirements-dapb1605/ (Accessed: 22 July 2026).</w:t>
      </w:r>
    </w:p>
    <w:p w14:paraId="71E78DC5" w14:textId="144E5403" w:rsidR="00EE1E78" w:rsidRPr="00B36FE1" w:rsidRDefault="00AD546A" w:rsidP="00B36FE1">
      <w:pPr>
        <w:pStyle w:val="Reference"/>
        <w:spacing w:after="60" w:line="360" w:lineRule="auto"/>
        <w:ind w:left="432" w:hanging="432"/>
        <w:rPr>
          <w:rFonts w:cs="Arial"/>
          <w:sz w:val="22"/>
        </w:rPr>
      </w:pPr>
      <w:r>
        <w:t xml:space="preserve">Nursing and Midwifery Council (2018) The Code: professional standards of practice and </w:t>
      </w:r>
      <w:r w:rsidR="00B84A06">
        <w:t>behavior</w:t>
      </w:r>
      <w:r>
        <w:t xml:space="preserve"> for nurses, </w:t>
      </w:r>
      <w:r w:rsidR="00AC3F86">
        <w:t>midwives,</w:t>
      </w:r>
      <w:r>
        <w:t xml:space="preserve"> and nursing associates. Available at: https://www.nmc.org.uk/standards/code/ (Accessed: 22 July 2026).</w:t>
      </w:r>
    </w:p>
    <w:sectPr w:rsidR="00EE1E78" w:rsidRPr="00B36FE1" w:rsidSect="00034616">
      <w:footerReference w:type="default" r:id="rId9"/>
      <w:pgSz w:w="11906" w:h="16838"/>
      <w:pgMar w:top="1247" w:right="1417" w:bottom="1134" w:left="1417" w:header="567" w:footer="567"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198E51" w14:textId="77777777" w:rsidR="005E2CA3" w:rsidRDefault="005E2CA3">
      <w:pPr>
        <w:spacing w:after="0" w:line="240" w:lineRule="auto"/>
      </w:pPr>
      <w:r>
        <w:separator/>
      </w:r>
    </w:p>
  </w:endnote>
  <w:endnote w:type="continuationSeparator" w:id="0">
    <w:p w14:paraId="34D01BBE" w14:textId="77777777" w:rsidR="005E2CA3" w:rsidRDefault="005E2C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FEC742" w14:textId="77777777" w:rsidR="00EE1E78" w:rsidRDefault="00AD546A">
    <w:pPr>
      <w:pStyle w:val="Footer"/>
      <w:jc w:val="center"/>
    </w:pPr>
    <w:r>
      <w:rPr>
        <w:color w:val="5A5A5A"/>
        <w:sz w:val="18"/>
      </w:rPr>
      <w:fldChar w:fldCharType="begin"/>
    </w:r>
    <w:r>
      <w:rPr>
        <w:color w:val="5A5A5A"/>
        <w:sz w:val="18"/>
      </w:rPr>
      <w:instrText xml:space="preserve"> PAGE </w:instrText>
    </w:r>
    <w:r>
      <w:rPr>
        <w:color w:val="5A5A5A"/>
        <w:sz w:val="18"/>
      </w:rPr>
      <w:fldChar w:fldCharType="separate"/>
    </w:r>
    <w:r w:rsidR="00B36FE1">
      <w:rPr>
        <w:noProof/>
        <w:color w:val="5A5A5A"/>
        <w:sz w:val="18"/>
      </w:rPr>
      <w:t>1</w:t>
    </w:r>
    <w:r>
      <w:rPr>
        <w:color w:val="5A5A5A"/>
        <w:sz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CF8DE3" w14:textId="77777777" w:rsidR="005E2CA3" w:rsidRDefault="005E2CA3">
      <w:pPr>
        <w:spacing w:after="0" w:line="240" w:lineRule="auto"/>
      </w:pPr>
      <w:r>
        <w:separator/>
      </w:r>
    </w:p>
  </w:footnote>
  <w:footnote w:type="continuationSeparator" w:id="0">
    <w:p w14:paraId="68EB13F4" w14:textId="77777777" w:rsidR="005E2CA3" w:rsidRDefault="005E2CA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113400151">
    <w:abstractNumId w:val="8"/>
  </w:num>
  <w:num w:numId="2" w16cid:durableId="234509111">
    <w:abstractNumId w:val="6"/>
  </w:num>
  <w:num w:numId="3" w16cid:durableId="947658469">
    <w:abstractNumId w:val="5"/>
  </w:num>
  <w:num w:numId="4" w16cid:durableId="2113621821">
    <w:abstractNumId w:val="4"/>
  </w:num>
  <w:num w:numId="5" w16cid:durableId="1259410409">
    <w:abstractNumId w:val="7"/>
  </w:num>
  <w:num w:numId="6" w16cid:durableId="2023967824">
    <w:abstractNumId w:val="3"/>
  </w:num>
  <w:num w:numId="7" w16cid:durableId="2001538811">
    <w:abstractNumId w:val="2"/>
  </w:num>
  <w:num w:numId="8" w16cid:durableId="838693674">
    <w:abstractNumId w:val="1"/>
  </w:num>
  <w:num w:numId="9" w16cid:durableId="10573172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42A02"/>
    <w:rsid w:val="0006063C"/>
    <w:rsid w:val="000F3406"/>
    <w:rsid w:val="00126AFC"/>
    <w:rsid w:val="0015074B"/>
    <w:rsid w:val="00175EC5"/>
    <w:rsid w:val="001B3222"/>
    <w:rsid w:val="0029639D"/>
    <w:rsid w:val="002D0901"/>
    <w:rsid w:val="002F4C12"/>
    <w:rsid w:val="00326F90"/>
    <w:rsid w:val="003A0635"/>
    <w:rsid w:val="003A65B0"/>
    <w:rsid w:val="00400F26"/>
    <w:rsid w:val="00406453"/>
    <w:rsid w:val="004B151D"/>
    <w:rsid w:val="00574768"/>
    <w:rsid w:val="00592668"/>
    <w:rsid w:val="005C6C68"/>
    <w:rsid w:val="005E2CA3"/>
    <w:rsid w:val="00632502"/>
    <w:rsid w:val="00686452"/>
    <w:rsid w:val="00757CE8"/>
    <w:rsid w:val="007D4D24"/>
    <w:rsid w:val="007F49F5"/>
    <w:rsid w:val="0081348D"/>
    <w:rsid w:val="0099299D"/>
    <w:rsid w:val="009A5CBD"/>
    <w:rsid w:val="00AA1D8D"/>
    <w:rsid w:val="00AC3F86"/>
    <w:rsid w:val="00AD546A"/>
    <w:rsid w:val="00AE6122"/>
    <w:rsid w:val="00B36FE1"/>
    <w:rsid w:val="00B47730"/>
    <w:rsid w:val="00B84A06"/>
    <w:rsid w:val="00CB0664"/>
    <w:rsid w:val="00D120EC"/>
    <w:rsid w:val="00DC4C40"/>
    <w:rsid w:val="00DD179F"/>
    <w:rsid w:val="00E731F3"/>
    <w:rsid w:val="00EE1E78"/>
    <w:rsid w:val="00F4533A"/>
    <w:rsid w:val="00F53B99"/>
    <w:rsid w:val="00F560AA"/>
    <w:rsid w:val="00F856AC"/>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55B8129"/>
  <w14:defaultImageDpi w14:val="300"/>
  <w15:docId w15:val="{2F99BD9C-68DA-4845-B6FF-C08613D8D3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pPr>
    <w:rPr>
      <w:rFonts w:ascii="Arial" w:hAnsi="Arial"/>
    </w:rPr>
  </w:style>
  <w:style w:type="paragraph" w:styleId="Heading1">
    <w:name w:val="heading 1"/>
    <w:basedOn w:val="Normal"/>
    <w:next w:val="Normal"/>
    <w:link w:val="Heading1Char"/>
    <w:uiPriority w:val="9"/>
    <w:qFormat/>
    <w:rsid w:val="00FC693F"/>
    <w:pPr>
      <w:keepNext/>
      <w:keepLines/>
      <w:spacing w:before="280"/>
      <w:outlineLvl w:val="0"/>
    </w:pPr>
    <w:rPr>
      <w:rFonts w:asciiTheme="majorHAnsi" w:eastAsiaTheme="majorEastAsia" w:hAnsiTheme="majorHAnsi" w:cstheme="majorBidi"/>
      <w:b/>
      <w:bCs/>
      <w:color w:val="1F3749"/>
      <w:sz w:val="28"/>
      <w:szCs w:val="28"/>
    </w:rPr>
  </w:style>
  <w:style w:type="paragraph" w:styleId="Heading2">
    <w:name w:val="heading 2"/>
    <w:basedOn w:val="Normal"/>
    <w:next w:val="Normal"/>
    <w:link w:val="Heading2Char"/>
    <w:uiPriority w:val="9"/>
    <w:unhideWhenUsed/>
    <w:qFormat/>
    <w:rsid w:val="00FC693F"/>
    <w:pPr>
      <w:keepNext/>
      <w:keepLines/>
      <w:spacing w:before="200" w:after="80"/>
      <w:outlineLvl w:val="1"/>
    </w:pPr>
    <w:rPr>
      <w:rFonts w:asciiTheme="majorHAnsi" w:eastAsiaTheme="majorEastAsia" w:hAnsiTheme="majorHAnsi" w:cstheme="majorBidi"/>
      <w:b/>
      <w:bCs/>
      <w:color w:val="1F3749"/>
      <w:sz w:val="24"/>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Reference">
    <w:name w:val="Reference"/>
    <w:pPr>
      <w:spacing w:after="80" w:line="240" w:lineRule="auto"/>
      <w:ind w:left="369" w:hanging="369"/>
    </w:pPr>
    <w:rPr>
      <w:rFonts w:ascii="Arial" w:hAnsi="Arial"/>
      <w:sz w:val="19"/>
    </w:rPr>
  </w:style>
  <w:style w:type="character" w:styleId="PlaceholderText">
    <w:name w:val="Placeholder Text"/>
    <w:basedOn w:val="DefaultParagraphFont"/>
    <w:uiPriority w:val="99"/>
    <w:semiHidden/>
    <w:rsid w:val="007F49F5"/>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6</Pages>
  <Words>1692</Words>
  <Characters>10978</Characters>
  <Application>Microsoft Office Word</Application>
  <DocSecurity>0</DocSecurity>
  <Lines>181</Lines>
  <Paragraphs>45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12626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Importance of Communication, Administrative Skills, and Collaborative Work in Supporting Ms. Thompson</dc:title>
  <dc:subject>Health and Social Care Work</dc:subject>
  <dc:creator>marisa penetra</dc:creator>
  <cp:keywords>comunicação, competências administrativas, trabalho colaborativo, demência, safeguarding</cp:keywords>
  <dc:description/>
  <cp:lastModifiedBy>marisa penetra</cp:lastModifiedBy>
  <cp:revision>4</cp:revision>
  <dcterms:created xsi:type="dcterms:W3CDTF">2026-07-22T21:25:00Z</dcterms:created>
  <dcterms:modified xsi:type="dcterms:W3CDTF">2026-07-23T18:48:00Z</dcterms:modified>
  <cp:category/>
</cp:coreProperties>
</file>