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10BF66" w14:textId="77777777" w:rsidR="00E91E6C" w:rsidRDefault="00E91E6C" w:rsidP="009134F6">
      <w:pPr>
        <w:spacing w:line="480" w:lineRule="auto"/>
        <w:rPr>
          <w:rFonts w:ascii="Times" w:hAnsi="Times"/>
        </w:rPr>
      </w:pPr>
    </w:p>
    <w:p w14:paraId="7E8B939A" w14:textId="77777777" w:rsidR="00E91E6C" w:rsidRDefault="00E91E6C" w:rsidP="009134F6">
      <w:pPr>
        <w:spacing w:line="480" w:lineRule="auto"/>
        <w:rPr>
          <w:rFonts w:ascii="Times" w:hAnsi="Times"/>
        </w:rPr>
      </w:pPr>
    </w:p>
    <w:p w14:paraId="4BAA7C32" w14:textId="77777777" w:rsidR="00E91E6C" w:rsidRDefault="00E91E6C" w:rsidP="009134F6">
      <w:pPr>
        <w:spacing w:line="480" w:lineRule="auto"/>
        <w:rPr>
          <w:rFonts w:ascii="Times" w:hAnsi="Times"/>
        </w:rPr>
      </w:pPr>
    </w:p>
    <w:p w14:paraId="666B70BD" w14:textId="77777777" w:rsidR="00E91E6C" w:rsidRDefault="00E91E6C" w:rsidP="009134F6">
      <w:pPr>
        <w:spacing w:line="480" w:lineRule="auto"/>
        <w:rPr>
          <w:rFonts w:ascii="Times" w:hAnsi="Times"/>
        </w:rPr>
      </w:pPr>
    </w:p>
    <w:p w14:paraId="42D0F60D" w14:textId="77777777" w:rsidR="00E91E6C" w:rsidRDefault="00E91E6C" w:rsidP="009134F6">
      <w:pPr>
        <w:spacing w:line="480" w:lineRule="auto"/>
        <w:rPr>
          <w:rFonts w:ascii="Times" w:hAnsi="Times"/>
        </w:rPr>
      </w:pPr>
    </w:p>
    <w:p w14:paraId="657C2012" w14:textId="77777777" w:rsidR="00E91E6C" w:rsidRDefault="00E91E6C" w:rsidP="009134F6">
      <w:pPr>
        <w:spacing w:line="480" w:lineRule="auto"/>
        <w:rPr>
          <w:rFonts w:ascii="Times" w:hAnsi="Times"/>
        </w:rPr>
      </w:pPr>
    </w:p>
    <w:p w14:paraId="65E73A17" w14:textId="77777777" w:rsidR="00E91E6C" w:rsidRDefault="00E91E6C" w:rsidP="009134F6">
      <w:pPr>
        <w:spacing w:line="480" w:lineRule="auto"/>
        <w:rPr>
          <w:rFonts w:ascii="Times" w:hAnsi="Times"/>
        </w:rPr>
      </w:pPr>
    </w:p>
    <w:p w14:paraId="72AC5F3E" w14:textId="77777777" w:rsidR="00E91E6C" w:rsidRDefault="00E91E6C" w:rsidP="009134F6">
      <w:pPr>
        <w:spacing w:line="480" w:lineRule="auto"/>
        <w:rPr>
          <w:rFonts w:ascii="Times" w:hAnsi="Times"/>
        </w:rPr>
      </w:pPr>
    </w:p>
    <w:p w14:paraId="59CEB406" w14:textId="77777777" w:rsidR="00E91E6C" w:rsidRDefault="00E91E6C" w:rsidP="009134F6">
      <w:pPr>
        <w:spacing w:line="480" w:lineRule="auto"/>
        <w:rPr>
          <w:rFonts w:ascii="Times" w:hAnsi="Times"/>
        </w:rPr>
      </w:pPr>
    </w:p>
    <w:p w14:paraId="69DD3699" w14:textId="77777777" w:rsidR="00E91E6C" w:rsidRDefault="00E91E6C" w:rsidP="009134F6">
      <w:pPr>
        <w:spacing w:line="480" w:lineRule="auto"/>
        <w:rPr>
          <w:rFonts w:ascii="Times" w:hAnsi="Times"/>
        </w:rPr>
      </w:pPr>
    </w:p>
    <w:p w14:paraId="6684856A" w14:textId="77777777" w:rsidR="00E91E6C" w:rsidRDefault="00E91E6C" w:rsidP="009134F6">
      <w:pPr>
        <w:spacing w:line="480" w:lineRule="auto"/>
        <w:rPr>
          <w:rFonts w:ascii="Times" w:hAnsi="Times"/>
        </w:rPr>
      </w:pPr>
    </w:p>
    <w:p w14:paraId="04FF1AB0" w14:textId="309FEA93" w:rsidR="00E91E6C" w:rsidRDefault="00E91E6C" w:rsidP="00E91E6C">
      <w:pPr>
        <w:spacing w:line="480" w:lineRule="auto"/>
        <w:jc w:val="center"/>
        <w:rPr>
          <w:rFonts w:ascii="Times" w:hAnsi="Times"/>
        </w:rPr>
      </w:pPr>
      <w:r>
        <w:rPr>
          <w:rFonts w:ascii="Times" w:hAnsi="Times"/>
        </w:rPr>
        <w:t xml:space="preserve">Reflective Journal. </w:t>
      </w:r>
    </w:p>
    <w:p w14:paraId="7E196E0D" w14:textId="4ED4B493" w:rsidR="00E91E6C" w:rsidRDefault="00E91E6C" w:rsidP="00E91E6C">
      <w:pPr>
        <w:spacing w:line="480" w:lineRule="auto"/>
        <w:jc w:val="center"/>
        <w:rPr>
          <w:rFonts w:ascii="Times" w:hAnsi="Times"/>
        </w:rPr>
      </w:pPr>
      <w:r>
        <w:rPr>
          <w:rFonts w:ascii="Times" w:hAnsi="Times"/>
        </w:rPr>
        <w:t xml:space="preserve">Hannah Kozdoj </w:t>
      </w:r>
      <w:r w:rsidR="004A3956">
        <w:rPr>
          <w:rFonts w:ascii="Times" w:hAnsi="Times"/>
        </w:rPr>
        <w:t>–</w:t>
      </w:r>
      <w:r>
        <w:rPr>
          <w:rFonts w:ascii="Times" w:hAnsi="Times"/>
        </w:rPr>
        <w:t xml:space="preserve"> 1502320</w:t>
      </w:r>
      <w:r w:rsidR="004A3956">
        <w:rPr>
          <w:rFonts w:ascii="Times" w:hAnsi="Times"/>
        </w:rPr>
        <w:t xml:space="preserve">. </w:t>
      </w:r>
    </w:p>
    <w:p w14:paraId="4AC6FC95" w14:textId="51D3A74C" w:rsidR="004A3956" w:rsidRDefault="004A3956" w:rsidP="00E91E6C">
      <w:pPr>
        <w:spacing w:line="480" w:lineRule="auto"/>
        <w:jc w:val="center"/>
        <w:rPr>
          <w:rFonts w:ascii="Times" w:hAnsi="Times"/>
        </w:rPr>
      </w:pPr>
      <w:r>
        <w:rPr>
          <w:rFonts w:ascii="Times" w:hAnsi="Times"/>
        </w:rPr>
        <w:t xml:space="preserve">Word Count: </w:t>
      </w:r>
      <w:r w:rsidR="00A5767C">
        <w:rPr>
          <w:rFonts w:ascii="Times" w:hAnsi="Times"/>
        </w:rPr>
        <w:t>2, 2</w:t>
      </w:r>
      <w:r w:rsidR="00D8263B">
        <w:rPr>
          <w:rFonts w:ascii="Times" w:hAnsi="Times"/>
        </w:rPr>
        <w:t xml:space="preserve">64. </w:t>
      </w:r>
    </w:p>
    <w:p w14:paraId="49AF89FC" w14:textId="77777777" w:rsidR="00E91E6C" w:rsidRDefault="00E91E6C" w:rsidP="009134F6">
      <w:pPr>
        <w:spacing w:line="480" w:lineRule="auto"/>
        <w:rPr>
          <w:rFonts w:ascii="Times" w:hAnsi="Times"/>
        </w:rPr>
      </w:pPr>
    </w:p>
    <w:p w14:paraId="6E4D5D4A" w14:textId="77777777" w:rsidR="00E91E6C" w:rsidRDefault="00E91E6C" w:rsidP="009134F6">
      <w:pPr>
        <w:spacing w:line="480" w:lineRule="auto"/>
        <w:rPr>
          <w:rFonts w:ascii="Times" w:hAnsi="Times"/>
        </w:rPr>
      </w:pPr>
    </w:p>
    <w:p w14:paraId="2900CA6F" w14:textId="77777777" w:rsidR="00E91E6C" w:rsidRDefault="00E91E6C" w:rsidP="009134F6">
      <w:pPr>
        <w:spacing w:line="480" w:lineRule="auto"/>
        <w:rPr>
          <w:rFonts w:ascii="Times" w:hAnsi="Times"/>
        </w:rPr>
      </w:pPr>
    </w:p>
    <w:p w14:paraId="1E62C331" w14:textId="77777777" w:rsidR="00E91E6C" w:rsidRDefault="00E91E6C" w:rsidP="009134F6">
      <w:pPr>
        <w:spacing w:line="480" w:lineRule="auto"/>
        <w:rPr>
          <w:rFonts w:ascii="Times" w:hAnsi="Times"/>
        </w:rPr>
      </w:pPr>
    </w:p>
    <w:p w14:paraId="4DE6F17D" w14:textId="77777777" w:rsidR="00E91E6C" w:rsidRDefault="00E91E6C" w:rsidP="009134F6">
      <w:pPr>
        <w:spacing w:line="480" w:lineRule="auto"/>
        <w:rPr>
          <w:rFonts w:ascii="Times" w:hAnsi="Times"/>
        </w:rPr>
      </w:pPr>
    </w:p>
    <w:p w14:paraId="2FCB1537" w14:textId="77777777" w:rsidR="00E91E6C" w:rsidRDefault="00E91E6C" w:rsidP="009134F6">
      <w:pPr>
        <w:spacing w:line="480" w:lineRule="auto"/>
        <w:rPr>
          <w:rFonts w:ascii="Times" w:hAnsi="Times"/>
        </w:rPr>
      </w:pPr>
    </w:p>
    <w:p w14:paraId="5C60E077" w14:textId="77777777" w:rsidR="004A3956" w:rsidRDefault="004A3956" w:rsidP="009134F6">
      <w:pPr>
        <w:spacing w:line="480" w:lineRule="auto"/>
        <w:rPr>
          <w:rFonts w:ascii="Times" w:hAnsi="Times"/>
        </w:rPr>
      </w:pPr>
    </w:p>
    <w:p w14:paraId="73AA04DB" w14:textId="77777777" w:rsidR="00505532" w:rsidRDefault="00505532" w:rsidP="009134F6">
      <w:pPr>
        <w:spacing w:line="480" w:lineRule="auto"/>
        <w:rPr>
          <w:rFonts w:ascii="Times" w:hAnsi="Times"/>
        </w:rPr>
      </w:pPr>
    </w:p>
    <w:p w14:paraId="5C893EF1" w14:textId="77777777" w:rsidR="00505532" w:rsidRDefault="00505532" w:rsidP="009134F6">
      <w:pPr>
        <w:spacing w:line="480" w:lineRule="auto"/>
        <w:rPr>
          <w:rFonts w:ascii="Times" w:hAnsi="Times"/>
        </w:rPr>
      </w:pPr>
    </w:p>
    <w:p w14:paraId="18408748" w14:textId="77777777" w:rsidR="00505532" w:rsidRDefault="00505532" w:rsidP="009134F6">
      <w:pPr>
        <w:spacing w:line="480" w:lineRule="auto"/>
        <w:rPr>
          <w:rFonts w:ascii="Times" w:hAnsi="Times"/>
        </w:rPr>
      </w:pPr>
    </w:p>
    <w:p w14:paraId="0B1F7B24" w14:textId="63E56D96" w:rsidR="002437BA" w:rsidRDefault="006C0A75" w:rsidP="009134F6">
      <w:pPr>
        <w:spacing w:line="480" w:lineRule="auto"/>
        <w:rPr>
          <w:rFonts w:ascii="Times" w:hAnsi="Times"/>
        </w:rPr>
      </w:pPr>
      <w:r>
        <w:rPr>
          <w:rFonts w:ascii="Times" w:hAnsi="Times"/>
        </w:rPr>
        <w:lastRenderedPageBreak/>
        <w:t xml:space="preserve">During the </w:t>
      </w:r>
      <w:r w:rsidR="00E721FE">
        <w:rPr>
          <w:rFonts w:ascii="Times" w:hAnsi="Times"/>
        </w:rPr>
        <w:t>module,</w:t>
      </w:r>
      <w:r w:rsidR="004A28D1">
        <w:rPr>
          <w:rFonts w:ascii="Times" w:hAnsi="Times"/>
        </w:rPr>
        <w:t xml:space="preserve"> something that </w:t>
      </w:r>
      <w:r w:rsidR="00E721FE">
        <w:rPr>
          <w:rFonts w:ascii="Times" w:hAnsi="Times"/>
        </w:rPr>
        <w:t>I closely kept aligned with were the original goals that I set out deciding the role of the character chosen, and as echoed in the dossier the terms would mean ‘the protector of the Kingdom’.</w:t>
      </w:r>
      <w:r w:rsidR="00E721FE">
        <w:rPr>
          <w:rStyle w:val="FootnoteReference"/>
          <w:rFonts w:ascii="Times" w:hAnsi="Times"/>
        </w:rPr>
        <w:footnoteReference w:id="1"/>
      </w:r>
      <w:r w:rsidR="00505532">
        <w:rPr>
          <w:rFonts w:ascii="Times" w:hAnsi="Times"/>
        </w:rPr>
        <w:t xml:space="preserve"> Throughout the duration of the module, there were definitely instances in which that rang true, however, due to a lack of research or communication in some areas in meant that my role lacked at certain points and I feel that it didn’t go as well as it could or should have, cases of both will be explored throughout the journal. </w:t>
      </w:r>
    </w:p>
    <w:p w14:paraId="51C3C78E" w14:textId="77777777" w:rsidR="002437BA" w:rsidRDefault="002437BA" w:rsidP="009134F6">
      <w:pPr>
        <w:spacing w:line="480" w:lineRule="auto"/>
        <w:rPr>
          <w:rFonts w:ascii="Times" w:hAnsi="Times"/>
        </w:rPr>
      </w:pPr>
    </w:p>
    <w:p w14:paraId="76AF14A2" w14:textId="508900E6" w:rsidR="00DF1995" w:rsidRDefault="00F2055A" w:rsidP="009134F6">
      <w:pPr>
        <w:spacing w:line="480" w:lineRule="auto"/>
        <w:rPr>
          <w:rFonts w:ascii="Times" w:hAnsi="Times"/>
        </w:rPr>
      </w:pPr>
      <w:r>
        <w:rPr>
          <w:rFonts w:ascii="Times" w:hAnsi="Times"/>
        </w:rPr>
        <w:t>In 225BC the King of the Seleucid Empire was on campaign with his son.</w:t>
      </w:r>
      <w:r>
        <w:rPr>
          <w:rStyle w:val="FootnoteReference"/>
          <w:rFonts w:ascii="Times" w:hAnsi="Times"/>
        </w:rPr>
        <w:footnoteReference w:id="2"/>
      </w:r>
      <w:r>
        <w:rPr>
          <w:rFonts w:ascii="Times" w:hAnsi="Times"/>
        </w:rPr>
        <w:t xml:space="preserve"> During the first week, it was decided with the Epistate, that should funding be available, plans would be made to arrange a festival in Antioch to celebrate the return of King Se</w:t>
      </w:r>
      <w:r w:rsidR="0079014C">
        <w:rPr>
          <w:rFonts w:ascii="Times" w:hAnsi="Times"/>
        </w:rPr>
        <w:t>leukos II</w:t>
      </w:r>
      <w:r w:rsidR="00DF1995">
        <w:rPr>
          <w:rFonts w:ascii="Times" w:hAnsi="Times"/>
        </w:rPr>
        <w:t xml:space="preserve"> successful campaign. It</w:t>
      </w:r>
      <w:r>
        <w:rPr>
          <w:rFonts w:ascii="Times" w:hAnsi="Times"/>
        </w:rPr>
        <w:t xml:space="preserve"> was during the arrangements of this festival that news broke of the Kings death in 223</w:t>
      </w:r>
      <w:r>
        <w:rPr>
          <w:rStyle w:val="FootnoteReference"/>
          <w:rFonts w:ascii="Times" w:hAnsi="Times"/>
        </w:rPr>
        <w:footnoteReference w:id="3"/>
      </w:r>
      <w:r w:rsidR="00DF1995">
        <w:rPr>
          <w:rFonts w:ascii="Times" w:hAnsi="Times"/>
        </w:rPr>
        <w:t>– at this point</w:t>
      </w:r>
      <w:r>
        <w:rPr>
          <w:rFonts w:ascii="Times" w:hAnsi="Times"/>
        </w:rPr>
        <w:t>, arrangements had been made for neighbouring cities to attend the triumph, as well as a lavish display of objects and the basis for games and shows.</w:t>
      </w:r>
      <w:r w:rsidR="00DF1995">
        <w:rPr>
          <w:rStyle w:val="FootnoteReference"/>
          <w:rFonts w:ascii="Times" w:hAnsi="Times"/>
        </w:rPr>
        <w:footnoteReference w:id="4"/>
      </w:r>
      <w:r>
        <w:rPr>
          <w:rFonts w:ascii="Times" w:hAnsi="Times"/>
        </w:rPr>
        <w:t xml:space="preserve"> During festivals, it would have been customary for these types of displays to take place, in the case inspiration was drawn from the Festival of Daphne</w:t>
      </w:r>
      <w:r w:rsidR="0068209D">
        <w:rPr>
          <w:rStyle w:val="FootnoteReference"/>
          <w:rFonts w:ascii="Times" w:hAnsi="Times"/>
        </w:rPr>
        <w:footnoteReference w:id="5"/>
      </w:r>
      <w:r>
        <w:rPr>
          <w:rFonts w:ascii="Times" w:hAnsi="Times"/>
        </w:rPr>
        <w:t xml:space="preserve"> which was a mere 40 stadia away.</w:t>
      </w:r>
      <w:r>
        <w:rPr>
          <w:rStyle w:val="FootnoteReference"/>
          <w:rFonts w:ascii="Times" w:hAnsi="Times"/>
        </w:rPr>
        <w:footnoteReference w:id="6"/>
      </w:r>
    </w:p>
    <w:p w14:paraId="25F1F710" w14:textId="0B7DB48D" w:rsidR="00F61D69" w:rsidRDefault="00F2055A" w:rsidP="009134F6">
      <w:pPr>
        <w:spacing w:line="480" w:lineRule="auto"/>
        <w:rPr>
          <w:rFonts w:ascii="Times" w:hAnsi="Times"/>
        </w:rPr>
      </w:pPr>
      <w:r>
        <w:rPr>
          <w:rFonts w:ascii="Times" w:hAnsi="Times"/>
        </w:rPr>
        <w:t>What was then decided within Antioch and the army base at Apamea was to continue this plans, but instead have it as a celebration of life for the recently passed King.</w:t>
      </w:r>
      <w:r>
        <w:rPr>
          <w:rStyle w:val="FootnoteReference"/>
          <w:rFonts w:ascii="Times" w:hAnsi="Times"/>
        </w:rPr>
        <w:footnoteReference w:id="7"/>
      </w:r>
      <w:r>
        <w:rPr>
          <w:rFonts w:ascii="Times" w:hAnsi="Times"/>
        </w:rPr>
        <w:t xml:space="preserve"> Due to many allies being involved in war, this festival was post</w:t>
      </w:r>
      <w:r w:rsidR="006C0A75">
        <w:rPr>
          <w:rFonts w:ascii="Times" w:hAnsi="Times"/>
        </w:rPr>
        <w:t xml:space="preserve">poned, however, when taking place, there were the appropriate customs to ensure that the religious and personal experience of the festival was true to what would have been expected. </w:t>
      </w:r>
    </w:p>
    <w:p w14:paraId="69C19173" w14:textId="77777777" w:rsidR="00F61D69" w:rsidRDefault="00F61D69" w:rsidP="009134F6">
      <w:pPr>
        <w:spacing w:line="480" w:lineRule="auto"/>
        <w:rPr>
          <w:rFonts w:ascii="Times" w:hAnsi="Times"/>
        </w:rPr>
      </w:pPr>
    </w:p>
    <w:p w14:paraId="0D4408EE" w14:textId="26F8246F" w:rsidR="00DF1995" w:rsidRDefault="00222226" w:rsidP="009134F6">
      <w:pPr>
        <w:spacing w:line="480" w:lineRule="auto"/>
        <w:rPr>
          <w:rFonts w:ascii="Times" w:hAnsi="Times"/>
        </w:rPr>
      </w:pPr>
      <w:r>
        <w:rPr>
          <w:rFonts w:ascii="Times" w:hAnsi="Times"/>
        </w:rPr>
        <w:t>At this point, we found out that in Antioch there was no evidence to suggest any indigenous religious cults, however the evidence was plentiful for cults in other areas</w:t>
      </w:r>
      <w:r>
        <w:rPr>
          <w:rStyle w:val="FootnoteReference"/>
          <w:rFonts w:ascii="Times" w:hAnsi="Times"/>
        </w:rPr>
        <w:footnoteReference w:id="8"/>
      </w:r>
      <w:r>
        <w:rPr>
          <w:rFonts w:ascii="Times" w:hAnsi="Times"/>
        </w:rPr>
        <w:t xml:space="preserve"> – it was with this knowledge that it was decided an appropriate step to make would have been to deify the King and to make a cult in Antioch based off this. </w:t>
      </w:r>
      <w:r w:rsidR="005B20BD">
        <w:rPr>
          <w:rFonts w:ascii="Times" w:hAnsi="Times"/>
        </w:rPr>
        <w:t xml:space="preserve">This was an idea that happened fairly early on in the module, and </w:t>
      </w:r>
      <w:r w:rsidR="00F61D69">
        <w:rPr>
          <w:rFonts w:ascii="Times" w:hAnsi="Times"/>
        </w:rPr>
        <w:t>because at that point, we weren’t en</w:t>
      </w:r>
      <w:r w:rsidR="00A5767C">
        <w:rPr>
          <w:rFonts w:ascii="Times" w:hAnsi="Times"/>
        </w:rPr>
        <w:t>tirely sure what to do it did not</w:t>
      </w:r>
      <w:r w:rsidR="00F61D69">
        <w:rPr>
          <w:rFonts w:ascii="Times" w:hAnsi="Times"/>
        </w:rPr>
        <w:t xml:space="preserve"> end up coming to fruition for one reason or another.</w:t>
      </w:r>
      <w:r w:rsidR="00F61D69">
        <w:rPr>
          <w:rStyle w:val="FootnoteReference"/>
          <w:rFonts w:ascii="Times" w:hAnsi="Times"/>
        </w:rPr>
        <w:footnoteReference w:id="9"/>
      </w:r>
      <w:r w:rsidR="00095462">
        <w:rPr>
          <w:rFonts w:ascii="Times" w:hAnsi="Times"/>
        </w:rPr>
        <w:t xml:space="preserve"> </w:t>
      </w:r>
    </w:p>
    <w:p w14:paraId="061749B0" w14:textId="77777777" w:rsidR="00DF1995" w:rsidRDefault="00DF1995" w:rsidP="009134F6">
      <w:pPr>
        <w:spacing w:line="480" w:lineRule="auto"/>
        <w:rPr>
          <w:rFonts w:ascii="Times" w:hAnsi="Times"/>
        </w:rPr>
      </w:pPr>
    </w:p>
    <w:p w14:paraId="49A69AC7" w14:textId="208153DF" w:rsidR="0022608E" w:rsidRDefault="0022608E" w:rsidP="009134F6">
      <w:pPr>
        <w:spacing w:line="480" w:lineRule="auto"/>
        <w:rPr>
          <w:rFonts w:ascii="Times" w:hAnsi="Times"/>
        </w:rPr>
      </w:pPr>
      <w:r>
        <w:rPr>
          <w:rFonts w:ascii="Times" w:hAnsi="Times"/>
        </w:rPr>
        <w:t>In 222, a messenger was sent from the Ptolemy’s notifying the state of the imminent attack of Ptolemy VI, and we were given a year to prepare for this attack with the full force of the Ptolemaic army.</w:t>
      </w:r>
      <w:r>
        <w:rPr>
          <w:rStyle w:val="FootnoteReference"/>
          <w:rFonts w:ascii="Times" w:hAnsi="Times"/>
        </w:rPr>
        <w:footnoteReference w:id="10"/>
      </w:r>
      <w:r>
        <w:rPr>
          <w:rFonts w:ascii="Times" w:hAnsi="Times"/>
        </w:rPr>
        <w:t xml:space="preserve"> There were extensive measures then put in place by King Antiochus to ensure that the Royal palace at Antioch was safe, as well as the Satrapy.</w:t>
      </w:r>
      <w:r>
        <w:rPr>
          <w:rStyle w:val="FootnoteReference"/>
          <w:rFonts w:ascii="Times" w:hAnsi="Times"/>
        </w:rPr>
        <w:footnoteReference w:id="11"/>
      </w:r>
      <w:r>
        <w:rPr>
          <w:rFonts w:ascii="Times" w:hAnsi="Times"/>
        </w:rPr>
        <w:t>As they were about to attack in 221 news broke of a rebellion in Alexandria as the royal palace was set alight</w:t>
      </w:r>
      <w:r>
        <w:rPr>
          <w:rStyle w:val="FootnoteReference"/>
          <w:rFonts w:ascii="Times" w:hAnsi="Times"/>
        </w:rPr>
        <w:footnoteReference w:id="12"/>
      </w:r>
      <w:r>
        <w:rPr>
          <w:rFonts w:ascii="Times" w:hAnsi="Times"/>
        </w:rPr>
        <w:t xml:space="preserve"> and so Ptolemy VI had to return. </w:t>
      </w:r>
      <w:r w:rsidR="004D4705">
        <w:rPr>
          <w:rFonts w:ascii="Times" w:hAnsi="Times"/>
        </w:rPr>
        <w:t xml:space="preserve">Despite this, after this happening so early on it was decided that we should converse with the King and ensure that measures were put in place that would keep people happy. </w:t>
      </w:r>
      <w:r w:rsidR="00C95546">
        <w:rPr>
          <w:rFonts w:ascii="Times" w:hAnsi="Times"/>
        </w:rPr>
        <w:t>Pritchard states in re</w:t>
      </w:r>
      <w:r w:rsidR="00291B4C">
        <w:rPr>
          <w:rFonts w:ascii="Times" w:hAnsi="Times"/>
        </w:rPr>
        <w:t xml:space="preserve">lation to war, that despite all evidence for monetary uses in the Hellenic </w:t>
      </w:r>
      <w:r w:rsidR="00C95546">
        <w:rPr>
          <w:rFonts w:ascii="Times" w:hAnsi="Times"/>
        </w:rPr>
        <w:t xml:space="preserve">ages, ‘global cost of Athenian military activity cannot be reliably calculated…’. </w:t>
      </w:r>
      <w:r w:rsidR="00C95546">
        <w:rPr>
          <w:rStyle w:val="FootnoteReference"/>
          <w:rFonts w:ascii="Times" w:hAnsi="Times"/>
        </w:rPr>
        <w:footnoteReference w:id="13"/>
      </w:r>
      <w:r w:rsidR="00C95546">
        <w:rPr>
          <w:rFonts w:ascii="Times" w:hAnsi="Times"/>
        </w:rPr>
        <w:t xml:space="preserve"> Despite best efforts it did seem that the money that the Empire had seemed to get lost away with passing years as a lot</w:t>
      </w:r>
      <w:r w:rsidR="004545C9">
        <w:rPr>
          <w:rFonts w:ascii="Times" w:hAnsi="Times"/>
        </w:rPr>
        <w:t xml:space="preserve"> seemed to happen very quickly. Due to the </w:t>
      </w:r>
      <w:r w:rsidR="008D66A2">
        <w:rPr>
          <w:rFonts w:ascii="Times" w:hAnsi="Times"/>
        </w:rPr>
        <w:t>events that had happened at this</w:t>
      </w:r>
      <w:r w:rsidR="004545C9">
        <w:rPr>
          <w:rFonts w:ascii="Times" w:hAnsi="Times"/>
        </w:rPr>
        <w:t xml:space="preserve"> time, as the satrap of Antioch a decision was made to shut the gates of Antioch in order to preserve </w:t>
      </w:r>
      <w:r w:rsidR="00EE7BD7">
        <w:rPr>
          <w:rFonts w:ascii="Times" w:hAnsi="Times"/>
        </w:rPr>
        <w:t xml:space="preserve">the public safety. </w:t>
      </w:r>
    </w:p>
    <w:p w14:paraId="46729365" w14:textId="77777777" w:rsidR="00DF1995" w:rsidRDefault="00DF1995" w:rsidP="009134F6">
      <w:pPr>
        <w:spacing w:line="480" w:lineRule="auto"/>
        <w:rPr>
          <w:rFonts w:ascii="Times" w:hAnsi="Times"/>
        </w:rPr>
      </w:pPr>
    </w:p>
    <w:p w14:paraId="28CDC997" w14:textId="5D68166B" w:rsidR="00821115" w:rsidRDefault="00821115" w:rsidP="00821115">
      <w:pPr>
        <w:spacing w:line="480" w:lineRule="auto"/>
        <w:rPr>
          <w:rFonts w:ascii="Times" w:hAnsi="Times"/>
        </w:rPr>
      </w:pPr>
      <w:r>
        <w:rPr>
          <w:rFonts w:ascii="Times" w:hAnsi="Times"/>
        </w:rPr>
        <w:t>Early on in the module, it looked to be that there was some sort of allegiance between Antioch and the Pergamum’s, however, as Sardis had recently fallen to the Pergamum’s, this relationship was more one of convenience than a formal alliance. Staying true to the legitimate line to the throne, I decided that an appropriate step to be taken was to poison a</w:t>
      </w:r>
      <w:r w:rsidR="00561679">
        <w:rPr>
          <w:rFonts w:ascii="Times" w:hAnsi="Times"/>
        </w:rPr>
        <w:t>n official during the festival.</w:t>
      </w:r>
      <w:r w:rsidR="00561679">
        <w:rPr>
          <w:rStyle w:val="FootnoteReference"/>
          <w:rFonts w:ascii="Times" w:hAnsi="Times"/>
        </w:rPr>
        <w:footnoteReference w:id="14"/>
      </w:r>
      <w:r w:rsidR="00561679">
        <w:rPr>
          <w:rFonts w:ascii="Times" w:hAnsi="Times"/>
        </w:rPr>
        <w:t xml:space="preserve"> Although the reference to this happening was not of a member of official state, it was decided that this was happening so that if the poisoning did happen, Seleukis could try and regain control of a state that was origi</w:t>
      </w:r>
      <w:r w:rsidR="00EE7BD7">
        <w:rPr>
          <w:rFonts w:ascii="Times" w:hAnsi="Times"/>
        </w:rPr>
        <w:t xml:space="preserve">nally belonging to them. This is another example of a plan that, unfortunately, did not come to fruition, this was largely down to the fact that threats for wars kept emerging and it was unclear who was on or making a claim to the throne at the time, and it seemed that doing such an action would not end with the result that was wanted, as other officials based in Antioch and Apamea were not all around. </w:t>
      </w:r>
    </w:p>
    <w:p w14:paraId="73CD5F4C" w14:textId="77777777" w:rsidR="00821115" w:rsidRDefault="00821115" w:rsidP="009134F6">
      <w:pPr>
        <w:spacing w:line="480" w:lineRule="auto"/>
        <w:rPr>
          <w:rFonts w:ascii="Times" w:hAnsi="Times"/>
        </w:rPr>
      </w:pPr>
    </w:p>
    <w:p w14:paraId="51E22619" w14:textId="6CEAA2BE" w:rsidR="0022608E" w:rsidRDefault="0022608E" w:rsidP="009134F6">
      <w:pPr>
        <w:spacing w:line="480" w:lineRule="auto"/>
        <w:rPr>
          <w:rFonts w:ascii="Times" w:hAnsi="Times"/>
        </w:rPr>
      </w:pPr>
      <w:r>
        <w:rPr>
          <w:rFonts w:ascii="Times" w:hAnsi="Times"/>
        </w:rPr>
        <w:t>As it had been two years since the Kings death and the threat of imminent war had passed, it was decided with the Epistate that it was time for the building of the temple to be erected in King Seleukos III honour.</w:t>
      </w:r>
      <w:r w:rsidR="0068209D">
        <w:rPr>
          <w:rStyle w:val="FootnoteReference"/>
          <w:rFonts w:ascii="Times" w:hAnsi="Times"/>
        </w:rPr>
        <w:footnoteReference w:id="15"/>
      </w:r>
      <w:r>
        <w:rPr>
          <w:rFonts w:ascii="Times" w:hAnsi="Times"/>
        </w:rPr>
        <w:t xml:space="preserve"> This had previously been accepted by Antiochus and now it was a matter of finding the manpower to do so.</w:t>
      </w:r>
      <w:r>
        <w:rPr>
          <w:rStyle w:val="FootnoteReference"/>
          <w:rFonts w:ascii="Times" w:hAnsi="Times"/>
        </w:rPr>
        <w:footnoteReference w:id="16"/>
      </w:r>
      <w:r w:rsidR="00505532">
        <w:rPr>
          <w:rFonts w:ascii="Times" w:hAnsi="Times"/>
        </w:rPr>
        <w:t xml:space="preserve"> </w:t>
      </w:r>
      <w:r w:rsidR="00493778">
        <w:rPr>
          <w:rFonts w:ascii="Times" w:hAnsi="Times"/>
        </w:rPr>
        <w:t>Evidence for temples are fruitful with Hellenistic history</w:t>
      </w:r>
      <w:r w:rsidR="0068209D">
        <w:rPr>
          <w:rFonts w:ascii="Times" w:hAnsi="Times"/>
        </w:rPr>
        <w:t xml:space="preserve"> and Grainger mentions that there was a festival and a temple in honour of Meröe,</w:t>
      </w:r>
      <w:r w:rsidR="0068209D">
        <w:rPr>
          <w:rStyle w:val="FootnoteReference"/>
          <w:rFonts w:ascii="Times" w:hAnsi="Times"/>
        </w:rPr>
        <w:footnoteReference w:id="17"/>
      </w:r>
      <w:r w:rsidR="0068209D">
        <w:rPr>
          <w:rFonts w:ascii="Times" w:hAnsi="Times"/>
        </w:rPr>
        <w:t xml:space="preserve"> this was evidence enough to ensure that a temple made in honour of the King would not be uncalled for. </w:t>
      </w:r>
    </w:p>
    <w:p w14:paraId="31C5F9C7" w14:textId="446779B5" w:rsidR="005B20BD" w:rsidRDefault="005B20BD" w:rsidP="009134F6">
      <w:pPr>
        <w:spacing w:line="480" w:lineRule="auto"/>
        <w:rPr>
          <w:rFonts w:ascii="Times" w:hAnsi="Times"/>
        </w:rPr>
      </w:pPr>
    </w:p>
    <w:p w14:paraId="130C1DC3" w14:textId="597F833E" w:rsidR="005B20BD" w:rsidRDefault="00C95546" w:rsidP="009134F6">
      <w:pPr>
        <w:spacing w:line="480" w:lineRule="auto"/>
        <w:rPr>
          <w:rFonts w:ascii="Times" w:hAnsi="Times"/>
        </w:rPr>
      </w:pPr>
      <w:r>
        <w:rPr>
          <w:rFonts w:ascii="Times" w:hAnsi="Times"/>
        </w:rPr>
        <w:t xml:space="preserve">After the war had passed it seemed as though Seleukis was losing power, and there was a point in which it seemed that the Satrapy would have to move </w:t>
      </w:r>
      <w:r w:rsidR="0056654B">
        <w:rPr>
          <w:rFonts w:ascii="Times" w:hAnsi="Times"/>
        </w:rPr>
        <w:t>allegiances, which as previously mentioned was not something that I had in mind for this character.</w:t>
      </w:r>
      <w:r w:rsidR="0056654B">
        <w:rPr>
          <w:rStyle w:val="FootnoteReference"/>
          <w:rFonts w:ascii="Times" w:hAnsi="Times"/>
        </w:rPr>
        <w:footnoteReference w:id="18"/>
      </w:r>
      <w:r w:rsidR="0056654B">
        <w:rPr>
          <w:rFonts w:ascii="Times" w:hAnsi="Times"/>
        </w:rPr>
        <w:t xml:space="preserve"> </w:t>
      </w:r>
      <w:r w:rsidR="00766CF7">
        <w:rPr>
          <w:rFonts w:ascii="Times" w:hAnsi="Times"/>
        </w:rPr>
        <w:t>It was announced shortly after this point that the King, who had died in 223,</w:t>
      </w:r>
      <w:r w:rsidR="00766CF7">
        <w:rPr>
          <w:rStyle w:val="FootnoteReference"/>
          <w:rFonts w:ascii="Times" w:hAnsi="Times"/>
        </w:rPr>
        <w:footnoteReference w:id="19"/>
      </w:r>
      <w:r w:rsidR="00766CF7">
        <w:rPr>
          <w:rFonts w:ascii="Times" w:hAnsi="Times"/>
        </w:rPr>
        <w:t xml:space="preserve"> had </w:t>
      </w:r>
      <w:r w:rsidR="007D7452">
        <w:rPr>
          <w:rFonts w:ascii="Times" w:hAnsi="Times"/>
        </w:rPr>
        <w:t>borne</w:t>
      </w:r>
      <w:r w:rsidR="00766CF7">
        <w:rPr>
          <w:rFonts w:ascii="Times" w:hAnsi="Times"/>
        </w:rPr>
        <w:t xml:space="preserve"> a secret son, </w:t>
      </w:r>
      <w:r w:rsidR="007D7452">
        <w:rPr>
          <w:rFonts w:ascii="Times" w:hAnsi="Times"/>
        </w:rPr>
        <w:t xml:space="preserve">who made a claim to the throne. Evidence of this is found during the Hellenic </w:t>
      </w:r>
      <w:r w:rsidR="00661D0B">
        <w:rPr>
          <w:rFonts w:ascii="Times" w:hAnsi="Times"/>
        </w:rPr>
        <w:t xml:space="preserve">period, </w:t>
      </w:r>
      <w:r w:rsidR="00505532">
        <w:rPr>
          <w:rFonts w:ascii="Times" w:hAnsi="Times"/>
        </w:rPr>
        <w:t>this is seen through Marcus Junianus Justinus, mentioning an Alexander who claimed to be the son of the King.</w:t>
      </w:r>
      <w:r w:rsidR="00505532">
        <w:rPr>
          <w:rStyle w:val="FootnoteReference"/>
          <w:rFonts w:ascii="Times" w:hAnsi="Times"/>
        </w:rPr>
        <w:footnoteReference w:id="20"/>
      </w:r>
      <w:r w:rsidR="00505532">
        <w:rPr>
          <w:rFonts w:ascii="Times" w:hAnsi="Times"/>
        </w:rPr>
        <w:t xml:space="preserve"> In this case, especially for the satrapy, this was good news as it would mean that a legitimate line to the throne would continue and the family that had appointed the satrapy would still be represented by them.</w:t>
      </w:r>
      <w:r w:rsidR="00505532">
        <w:rPr>
          <w:rStyle w:val="FootnoteReference"/>
          <w:rFonts w:ascii="Times" w:hAnsi="Times"/>
        </w:rPr>
        <w:footnoteReference w:id="21"/>
      </w:r>
    </w:p>
    <w:p w14:paraId="5D308ECF" w14:textId="77777777" w:rsidR="00821115" w:rsidRDefault="00821115" w:rsidP="009134F6">
      <w:pPr>
        <w:spacing w:line="480" w:lineRule="auto"/>
        <w:rPr>
          <w:rFonts w:ascii="Times" w:hAnsi="Times"/>
        </w:rPr>
      </w:pPr>
    </w:p>
    <w:p w14:paraId="2319FF6C" w14:textId="782960D7" w:rsidR="00DD06CE" w:rsidRDefault="002D5BB1" w:rsidP="009134F6">
      <w:pPr>
        <w:spacing w:line="480" w:lineRule="auto"/>
        <w:rPr>
          <w:rFonts w:ascii="Times" w:hAnsi="Times"/>
        </w:rPr>
      </w:pPr>
      <w:r w:rsidRPr="00F2055A">
        <w:rPr>
          <w:rFonts w:ascii="Times" w:hAnsi="Times"/>
        </w:rPr>
        <w:t>There was a point in which the public believed that my role as Satrap was com</w:t>
      </w:r>
      <w:r w:rsidR="00F2055A" w:rsidRPr="00F2055A">
        <w:rPr>
          <w:rFonts w:ascii="Times" w:hAnsi="Times"/>
        </w:rPr>
        <w:t>promised and so it was imperative that I gained the public trust back. In order to do this, the most logical way seemed to be to host a festival, it had previously been decided that festivals would be held annually at Antioch in memory of the late Kings.</w:t>
      </w:r>
      <w:r w:rsidR="0022608E">
        <w:rPr>
          <w:rFonts w:ascii="Times" w:hAnsi="Times"/>
        </w:rPr>
        <w:t xml:space="preserve"> After this, I explained the situation to the Epistate, who also agreed that being integral to the next festival held would be a way to gain public favour back.</w:t>
      </w:r>
      <w:r w:rsidR="00F61D69">
        <w:rPr>
          <w:rStyle w:val="FootnoteReference"/>
          <w:rFonts w:ascii="Times" w:hAnsi="Times"/>
        </w:rPr>
        <w:footnoteReference w:id="22"/>
      </w:r>
      <w:r w:rsidR="0022608E">
        <w:rPr>
          <w:rFonts w:ascii="Times" w:hAnsi="Times"/>
        </w:rPr>
        <w:t xml:space="preserve"> </w:t>
      </w:r>
      <w:r w:rsidR="00095462">
        <w:rPr>
          <w:rFonts w:ascii="Times" w:hAnsi="Times"/>
        </w:rPr>
        <w:t xml:space="preserve">In researching festivals around this time </w:t>
      </w:r>
      <w:r w:rsidR="00EE6F15">
        <w:rPr>
          <w:rFonts w:ascii="Times" w:hAnsi="Times"/>
        </w:rPr>
        <w:t>an account that proved to be useful was that of the one found in Libanius, the reason for this being that the Oration being used is in relation to the Praise of Antioch.</w:t>
      </w:r>
      <w:r w:rsidR="00EE6F15">
        <w:rPr>
          <w:rStyle w:val="FootnoteReference"/>
          <w:rFonts w:ascii="Times" w:hAnsi="Times"/>
        </w:rPr>
        <w:footnoteReference w:id="23"/>
      </w:r>
      <w:r w:rsidR="00843972">
        <w:rPr>
          <w:rFonts w:ascii="Times" w:hAnsi="Times"/>
        </w:rPr>
        <w:t xml:space="preserve"> In this text there is reference </w:t>
      </w:r>
      <w:r w:rsidR="00015769">
        <w:rPr>
          <w:rFonts w:ascii="Times" w:hAnsi="Times"/>
        </w:rPr>
        <w:t>to festivals being made in the name of Demeter.</w:t>
      </w:r>
      <w:r w:rsidR="00015769">
        <w:rPr>
          <w:rStyle w:val="FootnoteReference"/>
          <w:rFonts w:ascii="Times" w:hAnsi="Times"/>
        </w:rPr>
        <w:footnoteReference w:id="24"/>
      </w:r>
      <w:r w:rsidR="00015769">
        <w:rPr>
          <w:rFonts w:ascii="Times" w:hAnsi="Times"/>
        </w:rPr>
        <w:t xml:space="preserve"> As this was written as a praise to Demeter, it could be assumed that Demeter and her fruitfulness was considered to be of huge importance to the </w:t>
      </w:r>
      <w:r w:rsidR="00600380">
        <w:rPr>
          <w:rFonts w:ascii="Times" w:hAnsi="Times"/>
        </w:rPr>
        <w:t>people of Antioch, and so in this festival Demeter being a main figure seemed to be a way to ensure that public favour would have been restored. Also, the previously mentioned Cult of Apollo, being mentioned in Pausanias, the festival was also dedicated to Apollo as this practice would have already been standard.</w:t>
      </w:r>
      <w:r w:rsidR="00600380">
        <w:rPr>
          <w:rStyle w:val="FootnoteReference"/>
          <w:rFonts w:ascii="Times" w:hAnsi="Times"/>
        </w:rPr>
        <w:footnoteReference w:id="25"/>
      </w:r>
      <w:r w:rsidR="00FB1915">
        <w:rPr>
          <w:rFonts w:ascii="Times" w:hAnsi="Times"/>
        </w:rPr>
        <w:t xml:space="preserve"> In Libanius’ Orations it is also clear that festivals in Antioch would not have been u</w:t>
      </w:r>
      <w:r w:rsidR="00DD06CE">
        <w:rPr>
          <w:rFonts w:ascii="Times" w:hAnsi="Times"/>
        </w:rPr>
        <w:t>ncommon at any po</w:t>
      </w:r>
      <w:r w:rsidR="00505532">
        <w:rPr>
          <w:rFonts w:ascii="Times" w:hAnsi="Times"/>
        </w:rPr>
        <w:t xml:space="preserve">int and so it seemed as though </w:t>
      </w:r>
      <w:r w:rsidR="00DD06CE">
        <w:rPr>
          <w:rFonts w:ascii="Times" w:hAnsi="Times"/>
        </w:rPr>
        <w:t xml:space="preserve">there </w:t>
      </w:r>
      <w:r w:rsidR="00BC51E6">
        <w:rPr>
          <w:rFonts w:ascii="Times" w:hAnsi="Times"/>
        </w:rPr>
        <w:t>wouldn’t</w:t>
      </w:r>
      <w:r w:rsidR="00DD06CE">
        <w:rPr>
          <w:rFonts w:ascii="Times" w:hAnsi="Times"/>
        </w:rPr>
        <w:t xml:space="preserve"> need to be an explicit need to celebrate:</w:t>
      </w:r>
    </w:p>
    <w:p w14:paraId="2B2B323C" w14:textId="77777777" w:rsidR="0056654B" w:rsidRDefault="0056654B" w:rsidP="0056654B">
      <w:pPr>
        <w:ind w:left="720"/>
        <w:rPr>
          <w:rFonts w:ascii="Times" w:hAnsi="Times"/>
        </w:rPr>
      </w:pPr>
    </w:p>
    <w:p w14:paraId="24012FC2" w14:textId="1C79062D" w:rsidR="00DD06CE" w:rsidRDefault="00DD06CE" w:rsidP="0056654B">
      <w:pPr>
        <w:ind w:left="720"/>
        <w:rPr>
          <w:rFonts w:ascii="Times" w:hAnsi="Times"/>
        </w:rPr>
      </w:pPr>
      <w:r>
        <w:rPr>
          <w:rFonts w:ascii="Times" w:hAnsi="Times"/>
        </w:rPr>
        <w:t xml:space="preserve">‘Indeed they are large and populous towns…using the services of artisans even as in towns and sharing their goods to one another by means if the festivals to which they invite the others and are invited, each one in turn summoning the others to it. They enjoy and take pleasure in the same </w:t>
      </w:r>
      <w:r w:rsidR="00BC51E6">
        <w:rPr>
          <w:rFonts w:ascii="Times" w:hAnsi="Times"/>
        </w:rPr>
        <w:t>in the same things…’.</w:t>
      </w:r>
      <w:r w:rsidR="00BC51E6">
        <w:rPr>
          <w:rStyle w:val="FootnoteReference"/>
          <w:rFonts w:ascii="Times" w:hAnsi="Times"/>
        </w:rPr>
        <w:footnoteReference w:id="26"/>
      </w:r>
    </w:p>
    <w:p w14:paraId="2CF41736" w14:textId="77777777" w:rsidR="0056654B" w:rsidRDefault="0056654B" w:rsidP="009134F6">
      <w:pPr>
        <w:spacing w:line="480" w:lineRule="auto"/>
        <w:rPr>
          <w:rFonts w:ascii="Times" w:hAnsi="Times"/>
        </w:rPr>
      </w:pPr>
    </w:p>
    <w:p w14:paraId="75DA0611" w14:textId="61F0902D" w:rsidR="0071377A" w:rsidRDefault="0071377A" w:rsidP="009134F6">
      <w:pPr>
        <w:spacing w:line="480" w:lineRule="auto"/>
        <w:rPr>
          <w:rFonts w:ascii="Times" w:hAnsi="Times"/>
        </w:rPr>
      </w:pPr>
      <w:r>
        <w:rPr>
          <w:rFonts w:ascii="Times" w:hAnsi="Times"/>
        </w:rPr>
        <w:t xml:space="preserve">Another reason that dedicating the festival to Demeter was deemed appropriate </w:t>
      </w:r>
      <w:r w:rsidR="008D7213">
        <w:rPr>
          <w:rFonts w:ascii="Times" w:hAnsi="Times"/>
        </w:rPr>
        <w:t>was due to the fact that there were many external factors beyond control that could come into whether or not a good crop was found, and there is certainly evidence of famine happening at certain points of Antioch’s history</w:t>
      </w:r>
      <w:r w:rsidR="008D7213">
        <w:rPr>
          <w:rStyle w:val="FootnoteReference"/>
          <w:rFonts w:ascii="Times" w:hAnsi="Times"/>
        </w:rPr>
        <w:footnoteReference w:id="27"/>
      </w:r>
      <w:r w:rsidR="0068209D">
        <w:rPr>
          <w:rFonts w:ascii="Times" w:hAnsi="Times"/>
        </w:rPr>
        <w:t xml:space="preserve">, this goddess being appeased would have certainly made the inhabitants of Antioch feel that I, as a satrap, was continuing the perform rightful duties to the gods. </w:t>
      </w:r>
      <w:r w:rsidR="008D7213">
        <w:rPr>
          <w:rFonts w:ascii="Times" w:hAnsi="Times"/>
        </w:rPr>
        <w:t xml:space="preserve"> </w:t>
      </w:r>
      <w:r w:rsidR="00703151">
        <w:rPr>
          <w:rFonts w:ascii="Times" w:hAnsi="Times"/>
        </w:rPr>
        <w:t>Despite, Libanius being a source that has proved to be useful, there may perhaps be some issues seen with how far ahead this is being written.</w:t>
      </w:r>
      <w:r w:rsidR="00703151">
        <w:rPr>
          <w:rStyle w:val="FootnoteReference"/>
          <w:rFonts w:ascii="Times" w:hAnsi="Times"/>
        </w:rPr>
        <w:footnoteReference w:id="28"/>
      </w:r>
      <w:r w:rsidR="008D66A2">
        <w:rPr>
          <w:rFonts w:ascii="Times" w:hAnsi="Times"/>
        </w:rPr>
        <w:t xml:space="preserve"> However, this account seems to be the most in depth ancient source on Antioch specifically, Downey himself describes the account as ‘a precious document for the history and antiquities of Antioch’.</w:t>
      </w:r>
      <w:r w:rsidR="008D66A2">
        <w:rPr>
          <w:rStyle w:val="FootnoteReference"/>
          <w:rFonts w:ascii="Times" w:hAnsi="Times"/>
        </w:rPr>
        <w:footnoteReference w:id="29"/>
      </w:r>
    </w:p>
    <w:p w14:paraId="26242D7F" w14:textId="77777777" w:rsidR="0068209D" w:rsidRDefault="0068209D" w:rsidP="009134F6">
      <w:pPr>
        <w:spacing w:line="480" w:lineRule="auto"/>
        <w:rPr>
          <w:rFonts w:ascii="Times" w:hAnsi="Times"/>
        </w:rPr>
      </w:pPr>
    </w:p>
    <w:p w14:paraId="6F2DDB8A" w14:textId="1C88334B" w:rsidR="00051A96" w:rsidRDefault="0022608E" w:rsidP="009134F6">
      <w:pPr>
        <w:spacing w:line="480" w:lineRule="auto"/>
        <w:rPr>
          <w:rFonts w:ascii="Times" w:hAnsi="Times"/>
        </w:rPr>
      </w:pPr>
      <w:r>
        <w:rPr>
          <w:rFonts w:ascii="Times" w:hAnsi="Times"/>
        </w:rPr>
        <w:t xml:space="preserve">Invitations were sent </w:t>
      </w:r>
      <w:r w:rsidR="00F2055A" w:rsidRPr="00F2055A">
        <w:rPr>
          <w:rFonts w:ascii="Times" w:hAnsi="Times"/>
        </w:rPr>
        <w:t>to allies,</w:t>
      </w:r>
      <w:r>
        <w:rPr>
          <w:rFonts w:ascii="Times" w:hAnsi="Times"/>
        </w:rPr>
        <w:t xml:space="preserve"> these included, Armenia, Macedonia, Ptolemy’s, Galatians and Persians. I</w:t>
      </w:r>
      <w:r w:rsidR="00F2055A" w:rsidRPr="00F2055A">
        <w:rPr>
          <w:rFonts w:ascii="Times" w:hAnsi="Times"/>
        </w:rPr>
        <w:t>t was decided between myself and the high priestess of Daphne would ensure that my public favour would be returned</w:t>
      </w:r>
      <w:r w:rsidR="008D66A2">
        <w:rPr>
          <w:rFonts w:ascii="Times" w:hAnsi="Times"/>
        </w:rPr>
        <w:t>, however as no ancient source could be found to back this up, it was decided that it would be more appropriate to celebrate the festival without any bribery, as this could also return and cause the same problem again.</w:t>
      </w:r>
      <w:r w:rsidR="00F61D69">
        <w:rPr>
          <w:rStyle w:val="FootnoteReference"/>
          <w:rFonts w:ascii="Times" w:hAnsi="Times"/>
        </w:rPr>
        <w:footnoteReference w:id="30"/>
      </w:r>
      <w:r w:rsidR="00F2055A" w:rsidRPr="00F2055A">
        <w:rPr>
          <w:rFonts w:ascii="Times" w:hAnsi="Times"/>
        </w:rPr>
        <w:t xml:space="preserve"> </w:t>
      </w:r>
      <w:r w:rsidR="00821115">
        <w:rPr>
          <w:rFonts w:ascii="Times" w:hAnsi="Times"/>
        </w:rPr>
        <w:t xml:space="preserve">During this festival the following took place: </w:t>
      </w:r>
      <w:r w:rsidR="00D84FFC">
        <w:rPr>
          <w:rFonts w:ascii="Times" w:hAnsi="Times"/>
        </w:rPr>
        <w:t>there was a sacrifice to the gods, as which was customary at all festivals, and then re</w:t>
      </w:r>
      <w:r w:rsidR="00FA68CD">
        <w:rPr>
          <w:rFonts w:ascii="Times" w:hAnsi="Times"/>
        </w:rPr>
        <w:t xml:space="preserve">ligious rites were said to the gods </w:t>
      </w:r>
      <w:r w:rsidR="00D84FFC">
        <w:rPr>
          <w:rFonts w:ascii="Times" w:hAnsi="Times"/>
        </w:rPr>
        <w:t>to ensure good crops and prosperity for the rest of the season until the next festival in which the rites would be repeated.</w:t>
      </w:r>
      <w:r w:rsidR="00506644">
        <w:rPr>
          <w:rStyle w:val="FootnoteReference"/>
          <w:rFonts w:ascii="Times" w:hAnsi="Times"/>
        </w:rPr>
        <w:footnoteReference w:id="31"/>
      </w:r>
      <w:r w:rsidR="00D84FFC">
        <w:rPr>
          <w:rFonts w:ascii="Times" w:hAnsi="Times"/>
        </w:rPr>
        <w:t xml:space="preserve"> </w:t>
      </w:r>
      <w:r w:rsidR="00506644">
        <w:rPr>
          <w:rFonts w:ascii="Times" w:hAnsi="Times"/>
        </w:rPr>
        <w:t>Following on from the mentioned of sacred activites, a sacrifice was made to the gods in the hopes it would sate them.</w:t>
      </w:r>
      <w:r w:rsidR="00506644">
        <w:rPr>
          <w:rStyle w:val="FootnoteReference"/>
          <w:rFonts w:ascii="Times" w:hAnsi="Times"/>
        </w:rPr>
        <w:footnoteReference w:id="32"/>
      </w:r>
      <w:r w:rsidR="00506644">
        <w:rPr>
          <w:rFonts w:ascii="Times" w:hAnsi="Times"/>
        </w:rPr>
        <w:t xml:space="preserve"> </w:t>
      </w:r>
      <w:r w:rsidR="00A5767C">
        <w:rPr>
          <w:rFonts w:ascii="Times" w:hAnsi="Times"/>
        </w:rPr>
        <w:t>Bouvrie’s chapter seemingly focuses on the more religious or sacred elements to a festival, however does not deny that in some cases the fesitvals were made to attract some sort of community,</w:t>
      </w:r>
      <w:r w:rsidR="00A5767C">
        <w:rPr>
          <w:rStyle w:val="FootnoteReference"/>
          <w:rFonts w:ascii="Times" w:hAnsi="Times"/>
        </w:rPr>
        <w:footnoteReference w:id="33"/>
      </w:r>
      <w:r w:rsidR="00A5767C">
        <w:rPr>
          <w:rFonts w:ascii="Times" w:hAnsi="Times"/>
        </w:rPr>
        <w:t xml:space="preserve"> and so leading on from this there were games open to the public as a celebration of community. After the contents of this festival was performed, it was decided that I did win public favour back, and so the actions were clearly justified. </w:t>
      </w:r>
    </w:p>
    <w:p w14:paraId="50D5956E" w14:textId="77777777" w:rsidR="0068209D" w:rsidRDefault="0068209D" w:rsidP="009134F6">
      <w:pPr>
        <w:spacing w:line="480" w:lineRule="auto"/>
        <w:rPr>
          <w:rFonts w:ascii="Times" w:hAnsi="Times"/>
        </w:rPr>
      </w:pPr>
    </w:p>
    <w:p w14:paraId="50AD656D" w14:textId="6B66BDB7" w:rsidR="001D26C6" w:rsidRDefault="0068209D" w:rsidP="009134F6">
      <w:pPr>
        <w:spacing w:line="480" w:lineRule="auto"/>
        <w:rPr>
          <w:rFonts w:ascii="Times" w:hAnsi="Times"/>
        </w:rPr>
      </w:pPr>
      <w:r>
        <w:rPr>
          <w:rFonts w:ascii="Times" w:hAnsi="Times"/>
        </w:rPr>
        <w:t>Through all of this, my char</w:t>
      </w:r>
      <w:r w:rsidR="001764F4">
        <w:rPr>
          <w:rFonts w:ascii="Times" w:hAnsi="Times"/>
        </w:rPr>
        <w:t>acter survived, even after, i</w:t>
      </w:r>
      <w:r>
        <w:rPr>
          <w:rFonts w:ascii="Times" w:hAnsi="Times"/>
        </w:rPr>
        <w:t xml:space="preserve">n the final session an earthquake hitting and killing the Epistate of the city. </w:t>
      </w:r>
      <w:r w:rsidR="00A5767C">
        <w:rPr>
          <w:rFonts w:ascii="Times" w:hAnsi="Times"/>
        </w:rPr>
        <w:t xml:space="preserve">In conclusion, throughout the module, there were clearly instances in which some actions were taken without correctly corroborating with historical evidence, and in these cases the actions did not succeed. However, with proper referral and actions based in true historical actions, the remaining actions undertaken were largely successful. </w:t>
      </w:r>
    </w:p>
    <w:p w14:paraId="0B900ED9" w14:textId="77777777" w:rsidR="004A3956" w:rsidRDefault="004A3956" w:rsidP="009134F6">
      <w:pPr>
        <w:spacing w:line="480" w:lineRule="auto"/>
        <w:rPr>
          <w:rFonts w:ascii="Times" w:hAnsi="Times"/>
          <w:u w:val="single"/>
        </w:rPr>
      </w:pPr>
    </w:p>
    <w:p w14:paraId="3096579A" w14:textId="77777777" w:rsidR="004A3956" w:rsidRDefault="004A3956" w:rsidP="009134F6">
      <w:pPr>
        <w:spacing w:line="480" w:lineRule="auto"/>
        <w:rPr>
          <w:rFonts w:ascii="Times" w:hAnsi="Times"/>
          <w:u w:val="single"/>
        </w:rPr>
      </w:pPr>
    </w:p>
    <w:p w14:paraId="12AB6E56" w14:textId="77777777" w:rsidR="004A3956" w:rsidRDefault="004A3956" w:rsidP="009134F6">
      <w:pPr>
        <w:spacing w:line="480" w:lineRule="auto"/>
        <w:rPr>
          <w:rFonts w:ascii="Times" w:hAnsi="Times"/>
          <w:u w:val="single"/>
        </w:rPr>
      </w:pPr>
    </w:p>
    <w:p w14:paraId="55B4A658" w14:textId="77777777" w:rsidR="004A3956" w:rsidRDefault="004A3956" w:rsidP="009134F6">
      <w:pPr>
        <w:spacing w:line="480" w:lineRule="auto"/>
        <w:rPr>
          <w:rFonts w:ascii="Times" w:hAnsi="Times"/>
          <w:u w:val="single"/>
        </w:rPr>
      </w:pPr>
    </w:p>
    <w:p w14:paraId="0E5E544A" w14:textId="77777777" w:rsidR="004A3956" w:rsidRDefault="004A3956" w:rsidP="009134F6">
      <w:pPr>
        <w:spacing w:line="480" w:lineRule="auto"/>
        <w:rPr>
          <w:rFonts w:ascii="Times" w:hAnsi="Times"/>
          <w:u w:val="single"/>
        </w:rPr>
      </w:pPr>
    </w:p>
    <w:p w14:paraId="53D457F3" w14:textId="77777777" w:rsidR="004A3956" w:rsidRDefault="004A3956" w:rsidP="009134F6">
      <w:pPr>
        <w:spacing w:line="480" w:lineRule="auto"/>
        <w:rPr>
          <w:rFonts w:ascii="Times" w:hAnsi="Times"/>
          <w:u w:val="single"/>
        </w:rPr>
      </w:pPr>
    </w:p>
    <w:p w14:paraId="143EE08B" w14:textId="77777777" w:rsidR="004A3956" w:rsidRDefault="004A3956" w:rsidP="009134F6">
      <w:pPr>
        <w:spacing w:line="480" w:lineRule="auto"/>
        <w:rPr>
          <w:rFonts w:ascii="Times" w:hAnsi="Times"/>
          <w:u w:val="single"/>
        </w:rPr>
      </w:pPr>
    </w:p>
    <w:p w14:paraId="4B38F11D" w14:textId="77777777" w:rsidR="004A3956" w:rsidRDefault="004A3956" w:rsidP="009134F6">
      <w:pPr>
        <w:spacing w:line="480" w:lineRule="auto"/>
        <w:rPr>
          <w:rFonts w:ascii="Times" w:hAnsi="Times"/>
          <w:u w:val="single"/>
        </w:rPr>
      </w:pPr>
    </w:p>
    <w:p w14:paraId="6286BD59" w14:textId="77777777" w:rsidR="004A3956" w:rsidRDefault="004A3956" w:rsidP="009134F6">
      <w:pPr>
        <w:spacing w:line="480" w:lineRule="auto"/>
        <w:rPr>
          <w:rFonts w:ascii="Times" w:hAnsi="Times"/>
          <w:u w:val="single"/>
        </w:rPr>
      </w:pPr>
    </w:p>
    <w:p w14:paraId="661AFB09" w14:textId="77777777" w:rsidR="004A3956" w:rsidRDefault="004A3956" w:rsidP="009134F6">
      <w:pPr>
        <w:spacing w:line="480" w:lineRule="auto"/>
        <w:rPr>
          <w:rFonts w:ascii="Times" w:hAnsi="Times"/>
          <w:u w:val="single"/>
        </w:rPr>
      </w:pPr>
    </w:p>
    <w:p w14:paraId="341D8434" w14:textId="77777777" w:rsidR="004A3956" w:rsidRDefault="004A3956" w:rsidP="009134F6">
      <w:pPr>
        <w:spacing w:line="480" w:lineRule="auto"/>
        <w:rPr>
          <w:rFonts w:ascii="Times" w:hAnsi="Times"/>
          <w:u w:val="single"/>
        </w:rPr>
      </w:pPr>
    </w:p>
    <w:p w14:paraId="6B658300" w14:textId="77777777" w:rsidR="004A3956" w:rsidRDefault="004A3956" w:rsidP="009134F6">
      <w:pPr>
        <w:spacing w:line="480" w:lineRule="auto"/>
        <w:rPr>
          <w:rFonts w:ascii="Times" w:hAnsi="Times"/>
          <w:u w:val="single"/>
        </w:rPr>
      </w:pPr>
    </w:p>
    <w:p w14:paraId="305F751C" w14:textId="77777777" w:rsidR="004A3956" w:rsidRDefault="004A3956" w:rsidP="009134F6">
      <w:pPr>
        <w:spacing w:line="480" w:lineRule="auto"/>
        <w:rPr>
          <w:rFonts w:ascii="Times" w:hAnsi="Times"/>
          <w:u w:val="single"/>
        </w:rPr>
      </w:pPr>
    </w:p>
    <w:p w14:paraId="591C9268" w14:textId="77777777" w:rsidR="004A3956" w:rsidRDefault="004A3956" w:rsidP="009134F6">
      <w:pPr>
        <w:spacing w:line="480" w:lineRule="auto"/>
        <w:rPr>
          <w:rFonts w:ascii="Times" w:hAnsi="Times"/>
          <w:u w:val="single"/>
        </w:rPr>
      </w:pPr>
    </w:p>
    <w:p w14:paraId="2965435C" w14:textId="77777777" w:rsidR="004A3956" w:rsidRDefault="004A3956" w:rsidP="009134F6">
      <w:pPr>
        <w:spacing w:line="480" w:lineRule="auto"/>
        <w:rPr>
          <w:rFonts w:ascii="Times" w:hAnsi="Times"/>
          <w:u w:val="single"/>
        </w:rPr>
      </w:pPr>
    </w:p>
    <w:p w14:paraId="3C40060B" w14:textId="77777777" w:rsidR="00CF0CD0" w:rsidRDefault="00CF0CD0" w:rsidP="009134F6">
      <w:pPr>
        <w:spacing w:line="480" w:lineRule="auto"/>
        <w:rPr>
          <w:rFonts w:ascii="Times" w:hAnsi="Times"/>
          <w:u w:val="single"/>
        </w:rPr>
      </w:pPr>
    </w:p>
    <w:p w14:paraId="7F349D6C" w14:textId="77777777" w:rsidR="00CF0CD0" w:rsidRDefault="00CF0CD0" w:rsidP="009134F6">
      <w:pPr>
        <w:spacing w:line="480" w:lineRule="auto"/>
        <w:rPr>
          <w:rFonts w:ascii="Times" w:hAnsi="Times"/>
          <w:u w:val="single"/>
        </w:rPr>
      </w:pPr>
    </w:p>
    <w:p w14:paraId="208838BD" w14:textId="77777777" w:rsidR="00CF0CD0" w:rsidRDefault="00CF0CD0" w:rsidP="009134F6">
      <w:pPr>
        <w:spacing w:line="480" w:lineRule="auto"/>
        <w:rPr>
          <w:rFonts w:ascii="Times" w:hAnsi="Times"/>
          <w:u w:val="single"/>
        </w:rPr>
      </w:pPr>
    </w:p>
    <w:p w14:paraId="3FC5EAB2" w14:textId="77777777" w:rsidR="00D8263B" w:rsidRDefault="00D8263B" w:rsidP="009134F6">
      <w:pPr>
        <w:spacing w:line="480" w:lineRule="auto"/>
        <w:rPr>
          <w:rFonts w:ascii="Times" w:hAnsi="Times"/>
          <w:u w:val="single"/>
        </w:rPr>
      </w:pPr>
    </w:p>
    <w:p w14:paraId="4B84F222" w14:textId="6DDA7373" w:rsidR="001D26C6" w:rsidRDefault="001D26C6" w:rsidP="009134F6">
      <w:pPr>
        <w:spacing w:line="480" w:lineRule="auto"/>
        <w:rPr>
          <w:rFonts w:ascii="Times" w:hAnsi="Times"/>
          <w:u w:val="single"/>
        </w:rPr>
      </w:pPr>
      <w:r>
        <w:rPr>
          <w:rFonts w:ascii="Times" w:hAnsi="Times"/>
          <w:u w:val="single"/>
        </w:rPr>
        <w:t xml:space="preserve">Bibliography. </w:t>
      </w:r>
    </w:p>
    <w:p w14:paraId="69FB6EE7" w14:textId="44026409" w:rsidR="001D26C6" w:rsidRDefault="001D26C6" w:rsidP="009134F6">
      <w:pPr>
        <w:spacing w:line="480" w:lineRule="auto"/>
        <w:rPr>
          <w:rFonts w:ascii="Times" w:hAnsi="Times"/>
          <w:u w:val="single"/>
        </w:rPr>
      </w:pPr>
      <w:r>
        <w:rPr>
          <w:rFonts w:ascii="Times" w:hAnsi="Times"/>
          <w:u w:val="single"/>
        </w:rPr>
        <w:t xml:space="preserve">Ancient Sources. </w:t>
      </w:r>
    </w:p>
    <w:p w14:paraId="01939021" w14:textId="4F63E7AF" w:rsidR="00F9637B" w:rsidRPr="00F9637B" w:rsidRDefault="00F9637B" w:rsidP="009134F6">
      <w:pPr>
        <w:spacing w:line="480" w:lineRule="auto"/>
        <w:rPr>
          <w:rFonts w:ascii="Times New Roman" w:eastAsia="Times New Roman" w:hAnsi="Times New Roman" w:cs="Times New Roman"/>
          <w:color w:val="000000" w:themeColor="text1"/>
          <w:lang w:eastAsia="en-GB"/>
        </w:rPr>
      </w:pPr>
      <w:r w:rsidRPr="00F9637B">
        <w:rPr>
          <w:rFonts w:ascii="Times New Roman" w:eastAsia="Times New Roman" w:hAnsi="Times New Roman" w:cs="Times New Roman"/>
          <w:color w:val="000000" w:themeColor="text1"/>
          <w:shd w:val="clear" w:color="auto" w:fill="FFFFFF"/>
          <w:lang w:eastAsia="en-GB"/>
        </w:rPr>
        <w:t>Strabo</w:t>
      </w:r>
      <w:r w:rsidRPr="00F9637B">
        <w:rPr>
          <w:rFonts w:ascii="Times New Roman" w:eastAsia="Times New Roman" w:hAnsi="Times New Roman" w:cs="Times New Roman"/>
          <w:i/>
          <w:iCs/>
          <w:color w:val="000000" w:themeColor="text1"/>
          <w:shd w:val="clear" w:color="auto" w:fill="FFFFFF"/>
          <w:lang w:eastAsia="en-GB"/>
        </w:rPr>
        <w:t>.</w:t>
      </w:r>
      <w:r w:rsidRPr="00F9637B">
        <w:rPr>
          <w:rFonts w:ascii="Times New Roman" w:eastAsia="Times New Roman" w:hAnsi="Times New Roman" w:cs="Times New Roman"/>
          <w:color w:val="000000" w:themeColor="text1"/>
          <w:shd w:val="clear" w:color="auto" w:fill="FFFFFF"/>
          <w:lang w:eastAsia="en-GB"/>
        </w:rPr>
        <w:t> </w:t>
      </w:r>
      <w:r w:rsidRPr="00F9637B">
        <w:rPr>
          <w:rFonts w:ascii="Times New Roman" w:eastAsia="Times New Roman" w:hAnsi="Times New Roman" w:cs="Times New Roman"/>
          <w:i/>
          <w:iCs/>
          <w:color w:val="000000" w:themeColor="text1"/>
          <w:shd w:val="clear" w:color="auto" w:fill="FFFFFF"/>
          <w:lang w:eastAsia="en-GB"/>
        </w:rPr>
        <w:t>The Geography of Strabo. Literally translated, with notes, in three volumes. </w:t>
      </w:r>
      <w:r w:rsidRPr="00F9637B">
        <w:rPr>
          <w:rFonts w:ascii="Times New Roman" w:eastAsia="Times New Roman" w:hAnsi="Times New Roman" w:cs="Times New Roman"/>
          <w:color w:val="000000" w:themeColor="text1"/>
          <w:shd w:val="clear" w:color="auto" w:fill="FFFFFF"/>
          <w:lang w:eastAsia="en-GB"/>
        </w:rPr>
        <w:t xml:space="preserve">H. C. Hamilton. Esq. W. </w:t>
      </w:r>
      <w:r w:rsidR="00F61D69" w:rsidRPr="00F9637B">
        <w:rPr>
          <w:rFonts w:ascii="Times New Roman" w:eastAsia="Times New Roman" w:hAnsi="Times New Roman" w:cs="Times New Roman"/>
          <w:color w:val="000000" w:themeColor="text1"/>
          <w:shd w:val="clear" w:color="auto" w:fill="FFFFFF"/>
          <w:lang w:eastAsia="en-GB"/>
        </w:rPr>
        <w:t>Falconer. (</w:t>
      </w:r>
      <w:r w:rsidRPr="00F9637B">
        <w:rPr>
          <w:rFonts w:ascii="Times New Roman" w:eastAsia="Times New Roman" w:hAnsi="Times New Roman" w:cs="Times New Roman"/>
          <w:color w:val="000000" w:themeColor="text1"/>
          <w:shd w:val="clear" w:color="auto" w:fill="FFFFFF"/>
          <w:lang w:eastAsia="en-GB"/>
        </w:rPr>
        <w:t>trans.). 1903.London. George Bell &amp; Sons.</w:t>
      </w:r>
    </w:p>
    <w:p w14:paraId="6EB16DC1" w14:textId="3306E6F7" w:rsidR="007A7DD8" w:rsidRPr="00AF643B" w:rsidRDefault="007A7DD8" w:rsidP="009134F6">
      <w:pPr>
        <w:spacing w:line="480" w:lineRule="auto"/>
        <w:rPr>
          <w:rFonts w:ascii="Times New Roman" w:eastAsia="Times New Roman" w:hAnsi="Times New Roman" w:cs="Times New Roman"/>
          <w:color w:val="000000" w:themeColor="text1"/>
          <w:lang w:eastAsia="en-GB"/>
        </w:rPr>
      </w:pPr>
      <w:r>
        <w:rPr>
          <w:rFonts w:ascii="Times" w:hAnsi="Times"/>
        </w:rPr>
        <w:t xml:space="preserve">Marcus Junianus Justinus. </w:t>
      </w:r>
      <w:r w:rsidRPr="007A7DD8">
        <w:rPr>
          <w:rFonts w:ascii="Times" w:eastAsia="Times New Roman" w:hAnsi="Times" w:cs="Arial"/>
          <w:i/>
          <w:color w:val="000000" w:themeColor="text1"/>
          <w:shd w:val="clear" w:color="auto" w:fill="FFFFFF"/>
          <w:lang w:eastAsia="en-GB"/>
        </w:rPr>
        <w:t>Epitome of the </w:t>
      </w:r>
      <w:r w:rsidRPr="007A7DD8">
        <w:rPr>
          <w:rFonts w:ascii="Times" w:eastAsia="Times New Roman" w:hAnsi="Times" w:cs="Arial"/>
          <w:i/>
          <w:iCs/>
          <w:color w:val="000000" w:themeColor="text1"/>
          <w:shd w:val="clear" w:color="auto" w:fill="FFFFFF"/>
          <w:lang w:eastAsia="en-GB"/>
        </w:rPr>
        <w:t>Philippic History</w:t>
      </w:r>
      <w:r w:rsidRPr="007A7DD8">
        <w:rPr>
          <w:rFonts w:ascii="Times" w:eastAsia="Times New Roman" w:hAnsi="Times" w:cs="Arial"/>
          <w:i/>
          <w:color w:val="000000" w:themeColor="text1"/>
          <w:shd w:val="clear" w:color="auto" w:fill="FFFFFF"/>
          <w:lang w:eastAsia="en-GB"/>
        </w:rPr>
        <w:t> of Pompeius Trogus.</w:t>
      </w:r>
      <w:r>
        <w:rPr>
          <w:rFonts w:ascii="Times" w:eastAsia="Times New Roman" w:hAnsi="Times" w:cs="Arial"/>
          <w:i/>
          <w:color w:val="000000" w:themeColor="text1"/>
          <w:shd w:val="clear" w:color="auto" w:fill="FFFFFF"/>
          <w:lang w:eastAsia="en-GB"/>
        </w:rPr>
        <w:t xml:space="preserve"> </w:t>
      </w:r>
      <w:r w:rsidRPr="007A7DD8">
        <w:rPr>
          <w:rFonts w:ascii="Times" w:eastAsia="Times New Roman" w:hAnsi="Times" w:cs="Times New Roman"/>
          <w:i/>
          <w:color w:val="000000" w:themeColor="text1"/>
          <w:shd w:val="clear" w:color="auto" w:fill="FFFFFF"/>
          <w:lang w:eastAsia="en-GB"/>
        </w:rPr>
        <w:t xml:space="preserve">translated, </w:t>
      </w:r>
      <w:r w:rsidRPr="00AF643B">
        <w:rPr>
          <w:rFonts w:ascii="Times" w:eastAsia="Times New Roman" w:hAnsi="Times" w:cs="Times New Roman"/>
          <w:i/>
          <w:color w:val="000000" w:themeColor="text1"/>
          <w:shd w:val="clear" w:color="auto" w:fill="FFFFFF"/>
          <w:lang w:eastAsia="en-GB"/>
        </w:rPr>
        <w:t xml:space="preserve">with notes, by the Rev. John Selby Watson. </w:t>
      </w:r>
      <w:r w:rsidR="00F02821" w:rsidRPr="00AF643B">
        <w:rPr>
          <w:rFonts w:ascii="Times" w:eastAsia="Times New Roman" w:hAnsi="Times" w:cs="Times New Roman"/>
          <w:color w:val="000000" w:themeColor="text1"/>
          <w:shd w:val="clear" w:color="auto" w:fill="FFFFFF"/>
          <w:lang w:eastAsia="en-GB"/>
        </w:rPr>
        <w:t xml:space="preserve">J. S. Watson. (trans.). </w:t>
      </w:r>
      <w:r w:rsidRPr="00AF643B">
        <w:rPr>
          <w:rFonts w:ascii="Times" w:eastAsia="Times New Roman" w:hAnsi="Times" w:cs="Times New Roman"/>
          <w:color w:val="000000" w:themeColor="text1"/>
          <w:shd w:val="clear" w:color="auto" w:fill="FFFFFF"/>
          <w:lang w:eastAsia="en-GB"/>
        </w:rPr>
        <w:t xml:space="preserve">1853. London: Henry G. Bohn, York Street, Covent Garden. </w:t>
      </w:r>
    </w:p>
    <w:p w14:paraId="00CCCA74" w14:textId="7A084E32" w:rsidR="00AF643B" w:rsidRDefault="00AF643B" w:rsidP="009134F6">
      <w:pPr>
        <w:spacing w:line="480" w:lineRule="auto"/>
        <w:rPr>
          <w:rFonts w:ascii="Times" w:eastAsia="Times New Roman" w:hAnsi="Times" w:cs="Times New Roman"/>
          <w:color w:val="000000" w:themeColor="text1"/>
          <w:shd w:val="clear" w:color="auto" w:fill="FFFFFF"/>
          <w:lang w:eastAsia="en-GB"/>
        </w:rPr>
      </w:pPr>
      <w:r w:rsidRPr="00AF643B">
        <w:rPr>
          <w:rFonts w:ascii="Times" w:eastAsia="Times New Roman" w:hAnsi="Times" w:cs="Times New Roman"/>
          <w:color w:val="000000" w:themeColor="text1"/>
          <w:shd w:val="clear" w:color="auto" w:fill="FFFFFF"/>
          <w:lang w:eastAsia="en-GB"/>
        </w:rPr>
        <w:t>Polybius. </w:t>
      </w:r>
      <w:r w:rsidRPr="00AF643B">
        <w:rPr>
          <w:rFonts w:ascii="Times" w:eastAsia="Times New Roman" w:hAnsi="Times" w:cs="Times New Roman"/>
          <w:i/>
          <w:iCs/>
          <w:color w:val="000000" w:themeColor="text1"/>
          <w:shd w:val="clear" w:color="auto" w:fill="FFFFFF"/>
          <w:lang w:eastAsia="en-GB"/>
        </w:rPr>
        <w:t>Histories</w:t>
      </w:r>
      <w:r w:rsidRPr="00AF643B">
        <w:rPr>
          <w:rFonts w:ascii="Times" w:eastAsia="Times New Roman" w:hAnsi="Times" w:cs="Times New Roman"/>
          <w:color w:val="000000" w:themeColor="text1"/>
          <w:shd w:val="clear" w:color="auto" w:fill="FFFFFF"/>
          <w:lang w:eastAsia="en-GB"/>
        </w:rPr>
        <w:t>. E. S. Shuckburgh (trans.). 1962. London, New York: Macmillan</w:t>
      </w:r>
      <w:r w:rsidR="00D13762">
        <w:rPr>
          <w:rFonts w:ascii="Times" w:eastAsia="Times New Roman" w:hAnsi="Times" w:cs="Times New Roman"/>
          <w:color w:val="000000" w:themeColor="text1"/>
          <w:shd w:val="clear" w:color="auto" w:fill="FFFFFF"/>
          <w:lang w:eastAsia="en-GB"/>
        </w:rPr>
        <w:t>.</w:t>
      </w:r>
    </w:p>
    <w:p w14:paraId="67522FCE" w14:textId="5700D08B" w:rsidR="00D13762" w:rsidRDefault="00D13762" w:rsidP="00D13762">
      <w:pPr>
        <w:spacing w:line="480" w:lineRule="auto"/>
        <w:rPr>
          <w:rFonts w:ascii="Times" w:eastAsia="Times New Roman" w:hAnsi="Times" w:cs="Lucida Grande"/>
          <w:color w:val="000000"/>
          <w:lang w:eastAsia="en-GB"/>
        </w:rPr>
      </w:pPr>
      <w:r w:rsidRPr="00D13762">
        <w:rPr>
          <w:rFonts w:ascii="Times" w:eastAsia="Times New Roman" w:hAnsi="Times" w:cs="Lucida Grande"/>
          <w:color w:val="000000"/>
          <w:lang w:eastAsia="en-GB"/>
        </w:rPr>
        <w:t>Pausanias. Pausanias Description of Greece with an English Translation by W.H.S. Jones, Litt.D., and H.A. Ormerod, M.A., in 4 Volumes.</w:t>
      </w:r>
      <w:r>
        <w:rPr>
          <w:rFonts w:ascii="Times" w:eastAsia="Times New Roman" w:hAnsi="Times" w:cs="Lucida Grande"/>
          <w:color w:val="000000"/>
          <w:lang w:eastAsia="en-GB"/>
        </w:rPr>
        <w:t xml:space="preserve"> W. H. S. Jones and H. A. Ormerod. (trans.). 1918. London: William Heinemann Ltd.</w:t>
      </w:r>
    </w:p>
    <w:p w14:paraId="64966E09" w14:textId="282696A8" w:rsidR="00D13762" w:rsidRDefault="00E82107" w:rsidP="009134F6">
      <w:pPr>
        <w:spacing w:line="480" w:lineRule="auto"/>
        <w:rPr>
          <w:rFonts w:ascii="Times" w:eastAsia="Times New Roman" w:hAnsi="Times" w:cs="Times New Roman"/>
          <w:lang w:eastAsia="en-GB"/>
        </w:rPr>
      </w:pPr>
      <w:r>
        <w:rPr>
          <w:rFonts w:ascii="Times" w:eastAsia="Times New Roman" w:hAnsi="Times" w:cs="Lucida Grande"/>
          <w:color w:val="000000"/>
          <w:lang w:eastAsia="en-GB"/>
        </w:rPr>
        <w:t>Dio</w:t>
      </w:r>
      <w:r w:rsidR="00015769">
        <w:rPr>
          <w:rFonts w:ascii="Times" w:eastAsia="Times New Roman" w:hAnsi="Times" w:cs="Lucida Grande"/>
          <w:color w:val="000000"/>
          <w:lang w:eastAsia="en-GB"/>
        </w:rPr>
        <w:t xml:space="preserve">dorus Siculus. </w:t>
      </w:r>
      <w:r w:rsidR="00D8263B">
        <w:rPr>
          <w:rFonts w:ascii="Times" w:eastAsia="Times New Roman" w:hAnsi="Times" w:cs="Lucida Grande"/>
          <w:i/>
          <w:color w:val="000000"/>
          <w:lang w:eastAsia="en-GB"/>
        </w:rPr>
        <w:t>Library of History, Volume X: Books 19.66 - 20</w:t>
      </w:r>
      <w:r w:rsidR="00015769">
        <w:rPr>
          <w:rFonts w:ascii="Times" w:eastAsia="Times New Roman" w:hAnsi="Times" w:cs="Lucida Grande"/>
          <w:i/>
          <w:color w:val="000000"/>
          <w:lang w:eastAsia="en-GB"/>
        </w:rPr>
        <w:t xml:space="preserve">. </w:t>
      </w:r>
      <w:r w:rsidR="00015769">
        <w:rPr>
          <w:rFonts w:ascii="Times" w:eastAsia="Times New Roman" w:hAnsi="Times" w:cs="Lucida Grande"/>
          <w:color w:val="000000"/>
          <w:lang w:eastAsia="en-GB"/>
        </w:rPr>
        <w:t xml:space="preserve">C. H. Oldfather. Cambridge, Massachusetts: Harvard University Press. </w:t>
      </w:r>
    </w:p>
    <w:p w14:paraId="5FF29530" w14:textId="068206AC" w:rsidR="00561679" w:rsidRPr="00B419C8" w:rsidRDefault="00561679" w:rsidP="009134F6">
      <w:pPr>
        <w:spacing w:line="480" w:lineRule="auto"/>
        <w:rPr>
          <w:rFonts w:ascii="Times" w:eastAsia="Times New Roman" w:hAnsi="Times" w:cs="Times New Roman"/>
          <w:lang w:eastAsia="en-GB"/>
        </w:rPr>
      </w:pPr>
      <w:r>
        <w:rPr>
          <w:rFonts w:ascii="Times" w:eastAsia="Times New Roman" w:hAnsi="Times" w:cs="Times New Roman"/>
          <w:lang w:eastAsia="en-GB"/>
        </w:rPr>
        <w:t xml:space="preserve">Thucydides. </w:t>
      </w:r>
      <w:r w:rsidR="00B419C8">
        <w:rPr>
          <w:rFonts w:ascii="Times" w:eastAsia="Times New Roman" w:hAnsi="Times" w:cs="Times New Roman"/>
          <w:i/>
          <w:lang w:eastAsia="en-GB"/>
        </w:rPr>
        <w:t xml:space="preserve">The Peleponnesian War. </w:t>
      </w:r>
      <w:r w:rsidR="00B419C8">
        <w:rPr>
          <w:rFonts w:ascii="Times" w:eastAsia="Times New Roman" w:hAnsi="Times" w:cs="Times New Roman"/>
          <w:lang w:eastAsia="en-GB"/>
        </w:rPr>
        <w:t xml:space="preserve">R. Crawley. (trans.). 1910. New York: J. M. Dent, E. P. Dutton. </w:t>
      </w:r>
      <w:bookmarkStart w:id="0" w:name="_GoBack"/>
      <w:bookmarkEnd w:id="0"/>
    </w:p>
    <w:p w14:paraId="54D20A3A" w14:textId="0FD48878" w:rsidR="009C5F61" w:rsidRPr="007A7DD8" w:rsidRDefault="009C5F61" w:rsidP="009134F6">
      <w:pPr>
        <w:spacing w:line="480" w:lineRule="auto"/>
        <w:rPr>
          <w:rFonts w:ascii="Times" w:hAnsi="Times"/>
        </w:rPr>
      </w:pPr>
    </w:p>
    <w:p w14:paraId="708BF351" w14:textId="2AC47F9E" w:rsidR="001D26C6" w:rsidRDefault="001D26C6" w:rsidP="009134F6">
      <w:pPr>
        <w:spacing w:line="480" w:lineRule="auto"/>
        <w:rPr>
          <w:rFonts w:ascii="Times" w:hAnsi="Times"/>
          <w:u w:val="single"/>
        </w:rPr>
      </w:pPr>
      <w:r>
        <w:rPr>
          <w:rFonts w:ascii="Times" w:hAnsi="Times"/>
          <w:u w:val="single"/>
        </w:rPr>
        <w:t xml:space="preserve">Modern Scholarship. </w:t>
      </w:r>
    </w:p>
    <w:p w14:paraId="7BF36392" w14:textId="1CCC271A" w:rsidR="00E71DCD" w:rsidRDefault="00E71DCD" w:rsidP="009134F6">
      <w:pPr>
        <w:spacing w:line="480" w:lineRule="auto"/>
        <w:rPr>
          <w:rFonts w:ascii="Times" w:hAnsi="Times"/>
        </w:rPr>
      </w:pPr>
      <w:r>
        <w:rPr>
          <w:rFonts w:ascii="Times" w:hAnsi="Times"/>
        </w:rPr>
        <w:t xml:space="preserve">Erskine, A. </w:t>
      </w:r>
      <w:r w:rsidR="00077AC2">
        <w:rPr>
          <w:rFonts w:ascii="Times" w:hAnsi="Times"/>
        </w:rPr>
        <w:t>2013.</w:t>
      </w:r>
      <w:r>
        <w:rPr>
          <w:rFonts w:ascii="Times" w:hAnsi="Times"/>
        </w:rPr>
        <w:t xml:space="preserve"> ‘Hellenistic Parades and Roman Triumphs’ in </w:t>
      </w:r>
      <w:r w:rsidR="00914BBA">
        <w:rPr>
          <w:rFonts w:ascii="Times" w:hAnsi="Times"/>
        </w:rPr>
        <w:t>A. Spallinger and J. Armstrong</w:t>
      </w:r>
      <w:r w:rsidR="00914BBA">
        <w:rPr>
          <w:rFonts w:ascii="Times" w:hAnsi="Times"/>
          <w:i/>
        </w:rPr>
        <w:t xml:space="preserve"> </w:t>
      </w:r>
      <w:r w:rsidR="00914BBA">
        <w:rPr>
          <w:rFonts w:ascii="Times" w:hAnsi="Times"/>
        </w:rPr>
        <w:t xml:space="preserve">(eds.). </w:t>
      </w:r>
      <w:r>
        <w:rPr>
          <w:rFonts w:ascii="Times" w:hAnsi="Times"/>
          <w:i/>
        </w:rPr>
        <w:t>Rituals of Triumph in the Mediterranean World.</w:t>
      </w:r>
      <w:r w:rsidR="00914BBA">
        <w:rPr>
          <w:rFonts w:ascii="Times" w:hAnsi="Times"/>
          <w:i/>
        </w:rPr>
        <w:t xml:space="preserve"> </w:t>
      </w:r>
      <w:r w:rsidR="00077AC2">
        <w:rPr>
          <w:rFonts w:ascii="Times" w:hAnsi="Times"/>
        </w:rPr>
        <w:t xml:space="preserve">Koninklijke: Brill. </w:t>
      </w:r>
      <w:r>
        <w:rPr>
          <w:rFonts w:ascii="Times" w:hAnsi="Times"/>
        </w:rPr>
        <w:t xml:space="preserve">37 – 57. </w:t>
      </w:r>
    </w:p>
    <w:p w14:paraId="3F09698B" w14:textId="77777777" w:rsidR="00F9637B" w:rsidRPr="00F9637B" w:rsidRDefault="00F9637B" w:rsidP="009134F6">
      <w:pPr>
        <w:spacing w:line="480" w:lineRule="auto"/>
        <w:rPr>
          <w:rFonts w:ascii="Times New Roman" w:eastAsia="Times New Roman" w:hAnsi="Times New Roman" w:cs="Times New Roman"/>
          <w:color w:val="000000" w:themeColor="text1"/>
          <w:lang w:eastAsia="en-GB"/>
        </w:rPr>
      </w:pPr>
      <w:r w:rsidRPr="00F9637B">
        <w:rPr>
          <w:rFonts w:ascii="Times New Roman" w:eastAsia="Times New Roman" w:hAnsi="Times New Roman" w:cs="Times New Roman"/>
          <w:color w:val="000000" w:themeColor="text1"/>
          <w:shd w:val="clear" w:color="auto" w:fill="FFFFFF"/>
          <w:lang w:eastAsia="en-GB"/>
        </w:rPr>
        <w:t>Ramsey, G. C. 2009, ‘Ruling the Seleucid Empire. Seleucid Officials and Official Experience’, Doctor of Philosophy in Classics, University of Exeter, Exeter</w:t>
      </w:r>
      <w:r w:rsidRPr="00F9637B">
        <w:rPr>
          <w:rFonts w:ascii="Helvetica Neue" w:eastAsia="Times New Roman" w:hAnsi="Helvetica Neue" w:cs="Times New Roman"/>
          <w:color w:val="000000" w:themeColor="text1"/>
          <w:shd w:val="clear" w:color="auto" w:fill="FFFFFF"/>
          <w:lang w:eastAsia="en-GB"/>
        </w:rPr>
        <w:t>.</w:t>
      </w:r>
    </w:p>
    <w:p w14:paraId="256EB212" w14:textId="77777777" w:rsidR="00F9637B" w:rsidRPr="00F9637B" w:rsidRDefault="00F9637B" w:rsidP="009134F6">
      <w:pPr>
        <w:spacing w:line="480" w:lineRule="auto"/>
        <w:rPr>
          <w:rFonts w:ascii="Times New Roman" w:eastAsia="Times New Roman" w:hAnsi="Times New Roman" w:cs="Times New Roman"/>
          <w:lang w:eastAsia="en-GB"/>
        </w:rPr>
      </w:pPr>
      <w:r w:rsidRPr="00F9637B">
        <w:rPr>
          <w:rFonts w:ascii="Times New Roman" w:eastAsia="Times New Roman" w:hAnsi="Times New Roman" w:cs="Times New Roman"/>
          <w:color w:val="000000" w:themeColor="text1"/>
          <w:shd w:val="clear" w:color="auto" w:fill="FFFFFF"/>
          <w:lang w:eastAsia="en-GB"/>
        </w:rPr>
        <w:t>Downey, G. 1963. </w:t>
      </w:r>
      <w:r w:rsidRPr="00F9637B">
        <w:rPr>
          <w:rFonts w:ascii="Times New Roman" w:eastAsia="Times New Roman" w:hAnsi="Times New Roman" w:cs="Times New Roman"/>
          <w:i/>
          <w:iCs/>
          <w:color w:val="000000" w:themeColor="text1"/>
          <w:shd w:val="clear" w:color="auto" w:fill="FFFFFF"/>
          <w:lang w:eastAsia="en-GB"/>
        </w:rPr>
        <w:t>Ancient Antioch. </w:t>
      </w:r>
      <w:r w:rsidRPr="00F9637B">
        <w:rPr>
          <w:rFonts w:ascii="Times New Roman" w:eastAsia="Times New Roman" w:hAnsi="Times New Roman" w:cs="Times New Roman"/>
          <w:color w:val="000000" w:themeColor="text1"/>
          <w:shd w:val="clear" w:color="auto" w:fill="FFFFFF"/>
          <w:lang w:eastAsia="en-GB"/>
        </w:rPr>
        <w:t>Princeton: Princeton University Press.</w:t>
      </w:r>
    </w:p>
    <w:p w14:paraId="150D0547" w14:textId="02EC8056" w:rsidR="00F9637B" w:rsidRDefault="005B20BD" w:rsidP="009134F6">
      <w:pPr>
        <w:spacing w:line="480" w:lineRule="auto"/>
        <w:rPr>
          <w:rFonts w:ascii="Times" w:hAnsi="Times"/>
        </w:rPr>
      </w:pPr>
      <w:r>
        <w:rPr>
          <w:rFonts w:ascii="Times" w:hAnsi="Times"/>
        </w:rPr>
        <w:t xml:space="preserve">Downey, G. 1961. </w:t>
      </w:r>
      <w:r>
        <w:rPr>
          <w:rFonts w:ascii="Times" w:hAnsi="Times"/>
          <w:i/>
        </w:rPr>
        <w:t xml:space="preserve">A History of Antioch in Syria. From Selecus to the Arab Conquest. </w:t>
      </w:r>
      <w:r>
        <w:rPr>
          <w:rFonts w:ascii="Times" w:hAnsi="Times"/>
        </w:rPr>
        <w:t xml:space="preserve">Princeton: Princeton University Press. </w:t>
      </w:r>
    </w:p>
    <w:p w14:paraId="6676473D" w14:textId="4B0FA037" w:rsidR="00F02821" w:rsidRDefault="00F02821" w:rsidP="009134F6">
      <w:pPr>
        <w:spacing w:line="480" w:lineRule="auto"/>
        <w:rPr>
          <w:rFonts w:ascii="Times" w:hAnsi="Times"/>
        </w:rPr>
      </w:pPr>
      <w:r>
        <w:rPr>
          <w:rFonts w:ascii="Times" w:hAnsi="Times"/>
        </w:rPr>
        <w:t xml:space="preserve">Grainger, J. D. 2015. </w:t>
      </w:r>
      <w:r>
        <w:rPr>
          <w:rFonts w:ascii="Times" w:hAnsi="Times"/>
          <w:i/>
        </w:rPr>
        <w:t xml:space="preserve">The Seleukid Empire of Antiochus III (223 – 187 BC). </w:t>
      </w:r>
      <w:r>
        <w:rPr>
          <w:rFonts w:ascii="Times" w:hAnsi="Times"/>
        </w:rPr>
        <w:t xml:space="preserve">South Yorkshire: Pen &amp; Sword Books Ltd. </w:t>
      </w:r>
    </w:p>
    <w:p w14:paraId="60D75EBF" w14:textId="670F62B5" w:rsidR="008F30DA" w:rsidRDefault="008F30DA" w:rsidP="009134F6">
      <w:pPr>
        <w:spacing w:line="480" w:lineRule="auto"/>
        <w:rPr>
          <w:rFonts w:ascii="Times" w:hAnsi="Times"/>
        </w:rPr>
      </w:pPr>
      <w:r>
        <w:rPr>
          <w:rFonts w:ascii="Times" w:hAnsi="Times"/>
        </w:rPr>
        <w:t xml:space="preserve">Liebeschuetz, J. H. W. G. 1972. </w:t>
      </w:r>
      <w:r>
        <w:rPr>
          <w:rFonts w:ascii="Times" w:hAnsi="Times"/>
          <w:i/>
        </w:rPr>
        <w:t xml:space="preserve">Antioch. City and Imperial Administration in the Later Roman Empire. </w:t>
      </w:r>
      <w:r>
        <w:rPr>
          <w:rFonts w:ascii="Times" w:hAnsi="Times"/>
        </w:rPr>
        <w:t xml:space="preserve">Oxford: Clarendon Press. </w:t>
      </w:r>
    </w:p>
    <w:p w14:paraId="6C03C0FC" w14:textId="22C2BB82" w:rsidR="008F30DA" w:rsidRDefault="005E68E0" w:rsidP="009134F6">
      <w:pPr>
        <w:spacing w:line="480" w:lineRule="auto"/>
        <w:rPr>
          <w:rFonts w:ascii="Times" w:hAnsi="Times"/>
        </w:rPr>
      </w:pPr>
      <w:r>
        <w:rPr>
          <w:rFonts w:ascii="Times" w:hAnsi="Times"/>
        </w:rPr>
        <w:t>Downey, D. 1959. ‘Libanius</w:t>
      </w:r>
      <w:r w:rsidR="005F3619">
        <w:rPr>
          <w:rFonts w:ascii="Times" w:hAnsi="Times"/>
        </w:rPr>
        <w:t>’</w:t>
      </w:r>
      <w:r>
        <w:rPr>
          <w:rFonts w:ascii="Times" w:hAnsi="Times"/>
        </w:rPr>
        <w:t xml:space="preserve"> Oration in Praise of Antioch’, in </w:t>
      </w:r>
      <w:r>
        <w:rPr>
          <w:rFonts w:ascii="Times" w:hAnsi="Times"/>
          <w:i/>
        </w:rPr>
        <w:t>Proceedings of the American Phil</w:t>
      </w:r>
      <w:r w:rsidR="002E3C1F">
        <w:rPr>
          <w:rFonts w:ascii="Times" w:hAnsi="Times"/>
          <w:i/>
        </w:rPr>
        <w:t>o</w:t>
      </w:r>
      <w:r>
        <w:rPr>
          <w:rFonts w:ascii="Times" w:hAnsi="Times"/>
          <w:i/>
        </w:rPr>
        <w:t xml:space="preserve">sophical Society. </w:t>
      </w:r>
      <w:r>
        <w:rPr>
          <w:rFonts w:ascii="Times" w:hAnsi="Times"/>
        </w:rPr>
        <w:t xml:space="preserve">103, 5, Oct, 652 – 686. </w:t>
      </w:r>
    </w:p>
    <w:p w14:paraId="4CDE01B9" w14:textId="13119F13" w:rsidR="00276D1B" w:rsidRDefault="00276D1B" w:rsidP="009134F6">
      <w:pPr>
        <w:spacing w:line="480" w:lineRule="auto"/>
        <w:rPr>
          <w:rFonts w:ascii="Times" w:hAnsi="Times"/>
        </w:rPr>
      </w:pPr>
      <w:r>
        <w:rPr>
          <w:rFonts w:ascii="Times" w:hAnsi="Times"/>
        </w:rPr>
        <w:t xml:space="preserve">Pritchard, D. M. 2012. ‘Costing Festivals and War: Spending priorities of the Athenian Democracy’ in </w:t>
      </w:r>
      <w:r>
        <w:rPr>
          <w:rFonts w:ascii="Times" w:hAnsi="Times"/>
          <w:i/>
        </w:rPr>
        <w:t xml:space="preserve">Historia: Zeitschridt für Alte Geschicte. </w:t>
      </w:r>
      <w:r>
        <w:rPr>
          <w:rFonts w:ascii="Times" w:hAnsi="Times"/>
        </w:rPr>
        <w:t xml:space="preserve">61. 1. 18 – 65. </w:t>
      </w:r>
    </w:p>
    <w:p w14:paraId="1828D45C" w14:textId="150B805F" w:rsidR="008D66A2" w:rsidRDefault="008D66A2" w:rsidP="009134F6">
      <w:pPr>
        <w:spacing w:line="480" w:lineRule="auto"/>
        <w:rPr>
          <w:rFonts w:ascii="Times" w:hAnsi="Times"/>
        </w:rPr>
      </w:pPr>
      <w:r>
        <w:rPr>
          <w:rFonts w:ascii="Times" w:hAnsi="Times"/>
        </w:rPr>
        <w:t xml:space="preserve">Lawrence, A. W. 1996. </w:t>
      </w:r>
      <w:r>
        <w:rPr>
          <w:rFonts w:ascii="Times" w:hAnsi="Times"/>
          <w:i/>
        </w:rPr>
        <w:t xml:space="preserve">Greek Architecture. </w:t>
      </w:r>
      <w:r>
        <w:rPr>
          <w:rFonts w:ascii="Times" w:hAnsi="Times"/>
        </w:rPr>
        <w:t xml:space="preserve">London: Yale University Press. </w:t>
      </w:r>
    </w:p>
    <w:p w14:paraId="5F04D9FC" w14:textId="2AD8ED1E" w:rsidR="00914BBA" w:rsidRPr="00914BBA" w:rsidRDefault="00914BBA" w:rsidP="009134F6">
      <w:pPr>
        <w:spacing w:line="480" w:lineRule="auto"/>
        <w:rPr>
          <w:rFonts w:ascii="Times" w:hAnsi="Times"/>
        </w:rPr>
      </w:pPr>
      <w:r>
        <w:rPr>
          <w:rFonts w:ascii="Times" w:hAnsi="Times"/>
        </w:rPr>
        <w:t xml:space="preserve">Bouvrie, S, des. 2012. ‘Greek Festivals and the Ritual Process. An inquiry into the Olympia – cum – Heraia and the Great Dionysia’, in J. Rasmus Brandt and J. W. Iddeng, </w:t>
      </w:r>
      <w:r>
        <w:rPr>
          <w:rFonts w:ascii="Times" w:hAnsi="Times"/>
          <w:i/>
        </w:rPr>
        <w:t xml:space="preserve">Greek and Roman Festivals. Content, meaning and practice. </w:t>
      </w:r>
      <w:r>
        <w:rPr>
          <w:rFonts w:ascii="Times" w:hAnsi="Times"/>
        </w:rPr>
        <w:t xml:space="preserve">Oxford: Oxford University Press. </w:t>
      </w:r>
    </w:p>
    <w:sectPr w:rsidR="00914BBA" w:rsidRPr="00914BBA" w:rsidSect="00546930">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1C72B1" w14:textId="77777777" w:rsidR="00333B97" w:rsidRDefault="00333B97" w:rsidP="00F2055A">
      <w:r>
        <w:separator/>
      </w:r>
    </w:p>
  </w:endnote>
  <w:endnote w:type="continuationSeparator" w:id="0">
    <w:p w14:paraId="311BDF68" w14:textId="77777777" w:rsidR="00333B97" w:rsidRDefault="00333B97" w:rsidP="00F205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896E41" w14:textId="77777777" w:rsidR="00996A90" w:rsidRDefault="00996A90" w:rsidP="0018237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C73B8E8" w14:textId="77777777" w:rsidR="00996A90" w:rsidRDefault="00996A90" w:rsidP="00996A9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64DCEA" w14:textId="77777777" w:rsidR="00996A90" w:rsidRDefault="00996A90" w:rsidP="0018237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33B97">
      <w:rPr>
        <w:rStyle w:val="PageNumber"/>
        <w:noProof/>
      </w:rPr>
      <w:t>1</w:t>
    </w:r>
    <w:r>
      <w:rPr>
        <w:rStyle w:val="PageNumber"/>
      </w:rPr>
      <w:fldChar w:fldCharType="end"/>
    </w:r>
  </w:p>
  <w:p w14:paraId="6D36BFB1" w14:textId="77777777" w:rsidR="00996A90" w:rsidRDefault="00996A90" w:rsidP="00996A9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074766" w14:textId="77777777" w:rsidR="00333B97" w:rsidRDefault="00333B97" w:rsidP="00F2055A">
      <w:r>
        <w:separator/>
      </w:r>
    </w:p>
  </w:footnote>
  <w:footnote w:type="continuationSeparator" w:id="0">
    <w:p w14:paraId="2A024B71" w14:textId="77777777" w:rsidR="00333B97" w:rsidRDefault="00333B97" w:rsidP="00F2055A">
      <w:r>
        <w:continuationSeparator/>
      </w:r>
    </w:p>
  </w:footnote>
  <w:footnote w:id="1">
    <w:p w14:paraId="0A2444A1" w14:textId="2C19DA3B" w:rsidR="00E721FE" w:rsidRPr="00996A90" w:rsidRDefault="00E721FE">
      <w:pPr>
        <w:pStyle w:val="FootnoteText"/>
        <w:rPr>
          <w:rFonts w:ascii="Times" w:hAnsi="Times"/>
        </w:rPr>
      </w:pPr>
      <w:r w:rsidRPr="00996A90">
        <w:rPr>
          <w:rStyle w:val="FootnoteReference"/>
          <w:rFonts w:ascii="Times" w:hAnsi="Times"/>
        </w:rPr>
        <w:footnoteRef/>
      </w:r>
      <w:r w:rsidRPr="00996A90">
        <w:rPr>
          <w:rFonts w:ascii="Times" w:hAnsi="Times"/>
        </w:rPr>
        <w:t xml:space="preserve"> Ramsey 2009: 59, as well as opinion from the royal family whom I was appointed by another important consideration were the people under my protection. In order to be successful, having positive  </w:t>
      </w:r>
    </w:p>
  </w:footnote>
  <w:footnote w:id="2">
    <w:p w14:paraId="3CF4AE3C" w14:textId="40B5A51F" w:rsidR="00F2055A" w:rsidRPr="00996A90" w:rsidRDefault="00F2055A" w:rsidP="00F2055A">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843972" w:rsidRPr="00996A90">
        <w:rPr>
          <w:rFonts w:ascii="Times" w:hAnsi="Times"/>
        </w:rPr>
        <w:t>Grainger 2015: 1.</w:t>
      </w:r>
    </w:p>
  </w:footnote>
  <w:footnote w:id="3">
    <w:p w14:paraId="11CD192E" w14:textId="138C8023" w:rsidR="00F2055A" w:rsidRPr="00996A90" w:rsidRDefault="00F2055A" w:rsidP="00F2055A">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0E68B7" w:rsidRPr="00996A90">
        <w:rPr>
          <w:rFonts w:ascii="Times" w:hAnsi="Times"/>
        </w:rPr>
        <w:t>Grainger 2015: 1</w:t>
      </w:r>
      <w:r w:rsidR="00843972" w:rsidRPr="00996A90">
        <w:rPr>
          <w:rFonts w:ascii="Times" w:hAnsi="Times"/>
        </w:rPr>
        <w:t>.</w:t>
      </w:r>
    </w:p>
  </w:footnote>
  <w:footnote w:id="4">
    <w:p w14:paraId="41E3A04A" w14:textId="56353304" w:rsidR="00DF1995" w:rsidRPr="00996A90" w:rsidRDefault="00DF1995">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A7410B" w:rsidRPr="00996A90">
        <w:rPr>
          <w:rFonts w:ascii="Times" w:hAnsi="Times"/>
        </w:rPr>
        <w:t xml:space="preserve">Erskine 2013: 37; Pritchard 2012: </w:t>
      </w:r>
    </w:p>
  </w:footnote>
  <w:footnote w:id="5">
    <w:p w14:paraId="32F46673" w14:textId="2436CBEB" w:rsidR="0068209D" w:rsidRPr="00996A90" w:rsidRDefault="0068209D">
      <w:pPr>
        <w:pStyle w:val="FootnoteText"/>
        <w:rPr>
          <w:rFonts w:ascii="Times" w:hAnsi="Times"/>
        </w:rPr>
      </w:pPr>
      <w:r w:rsidRPr="00996A90">
        <w:rPr>
          <w:rStyle w:val="FootnoteReference"/>
          <w:rFonts w:ascii="Times" w:hAnsi="Times"/>
        </w:rPr>
        <w:footnoteRef/>
      </w:r>
      <w:r w:rsidRPr="00996A90">
        <w:rPr>
          <w:rFonts w:ascii="Times" w:hAnsi="Times"/>
        </w:rPr>
        <w:t xml:space="preserve"> Grainger 1963: 23. As well as the festival of Daphne that is remembered, Grainger mentions a festival in honour of Meröe, a Kings wife.</w:t>
      </w:r>
    </w:p>
  </w:footnote>
  <w:footnote w:id="6">
    <w:p w14:paraId="044BA3F9" w14:textId="7103767D" w:rsidR="00F2055A" w:rsidRPr="00996A90" w:rsidRDefault="00F2055A" w:rsidP="00F2055A">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0C2A83" w:rsidRPr="00996A90">
        <w:rPr>
          <w:rFonts w:ascii="Times" w:hAnsi="Times"/>
          <w:i/>
        </w:rPr>
        <w:t xml:space="preserve">Strab. </w:t>
      </w:r>
      <w:r w:rsidR="000C2A83" w:rsidRPr="00996A90">
        <w:rPr>
          <w:rFonts w:ascii="Times" w:hAnsi="Times"/>
        </w:rPr>
        <w:t xml:space="preserve">16. 2. 4. </w:t>
      </w:r>
    </w:p>
  </w:footnote>
  <w:footnote w:id="7">
    <w:p w14:paraId="64DE4C04" w14:textId="53993B4B" w:rsidR="00F2055A" w:rsidRPr="00996A90" w:rsidRDefault="00F2055A" w:rsidP="00F2055A">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821115" w:rsidRPr="00996A90">
        <w:rPr>
          <w:rFonts w:ascii="Times" w:hAnsi="Times"/>
        </w:rPr>
        <w:t xml:space="preserve">Myself and the Epistate spoke about this, and </w:t>
      </w:r>
      <w:r w:rsidR="00B419C8" w:rsidRPr="00996A90">
        <w:rPr>
          <w:rFonts w:ascii="Times" w:hAnsi="Times"/>
        </w:rPr>
        <w:t xml:space="preserve">decided that this would be an appropriate decision to make, especially for the people of Antioch to be able to grieve their King. </w:t>
      </w:r>
    </w:p>
  </w:footnote>
  <w:footnote w:id="8">
    <w:p w14:paraId="41E1F5D4" w14:textId="26E34710" w:rsidR="00222226" w:rsidRPr="00996A90" w:rsidRDefault="00222226" w:rsidP="00222226">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D13762" w:rsidRPr="00996A90">
        <w:rPr>
          <w:rFonts w:ascii="Times" w:hAnsi="Times"/>
        </w:rPr>
        <w:t xml:space="preserve">Cult of Apollo in </w:t>
      </w:r>
      <w:r w:rsidR="00D13762" w:rsidRPr="00996A90">
        <w:rPr>
          <w:rFonts w:ascii="Times" w:hAnsi="Times"/>
          <w:i/>
        </w:rPr>
        <w:t xml:space="preserve">Paus. </w:t>
      </w:r>
      <w:r w:rsidR="00EC2F79" w:rsidRPr="00996A90">
        <w:rPr>
          <w:rFonts w:ascii="Times" w:hAnsi="Times"/>
        </w:rPr>
        <w:t xml:space="preserve">1. 2. 5; 1. 21. 3. </w:t>
      </w:r>
    </w:p>
  </w:footnote>
  <w:footnote w:id="9">
    <w:p w14:paraId="0783DB06" w14:textId="2F6E7474" w:rsidR="00F61D69" w:rsidRPr="00996A90" w:rsidRDefault="00F61D69">
      <w:pPr>
        <w:pStyle w:val="FootnoteText"/>
        <w:rPr>
          <w:rFonts w:ascii="Times" w:hAnsi="Times"/>
        </w:rPr>
      </w:pPr>
      <w:r w:rsidRPr="00996A90">
        <w:rPr>
          <w:rStyle w:val="FootnoteReference"/>
          <w:rFonts w:ascii="Times" w:hAnsi="Times"/>
        </w:rPr>
        <w:footnoteRef/>
      </w:r>
      <w:r w:rsidRPr="00996A90">
        <w:rPr>
          <w:rFonts w:ascii="Times" w:hAnsi="Times"/>
        </w:rPr>
        <w:t xml:space="preserve"> At this point during the module, there was a lot of travel from different territories and so it appeared that more pressing events were taking place, so this idea just kept getting pushed further and further back until there seemed</w:t>
      </w:r>
      <w:r w:rsidR="00F26303">
        <w:rPr>
          <w:rFonts w:ascii="Times" w:hAnsi="Times"/>
        </w:rPr>
        <w:t xml:space="preserve"> to be no real reason to do it, also the research undertaken was not necessarily looking in the right places to find the information that we needed. </w:t>
      </w:r>
    </w:p>
  </w:footnote>
  <w:footnote w:id="10">
    <w:p w14:paraId="178CA2A1" w14:textId="755203C3" w:rsidR="0022608E" w:rsidRPr="00996A90" w:rsidRDefault="0022608E" w:rsidP="0022608E">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0143AA" w:rsidRPr="00996A90">
        <w:rPr>
          <w:rFonts w:ascii="Times" w:hAnsi="Times"/>
          <w:i/>
        </w:rPr>
        <w:t xml:space="preserve">Plb. </w:t>
      </w:r>
      <w:r w:rsidR="000143AA" w:rsidRPr="00996A90">
        <w:rPr>
          <w:rFonts w:ascii="Times" w:hAnsi="Times"/>
        </w:rPr>
        <w:t xml:space="preserve">5. 79. </w:t>
      </w:r>
    </w:p>
  </w:footnote>
  <w:footnote w:id="11">
    <w:p w14:paraId="1E193EA9" w14:textId="21CA9652" w:rsidR="005B20BD" w:rsidRPr="00996A90" w:rsidRDefault="0022608E" w:rsidP="0022608E">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5B20BD" w:rsidRPr="00996A90">
        <w:rPr>
          <w:rFonts w:ascii="Times" w:hAnsi="Times"/>
        </w:rPr>
        <w:t>Downey 1963: 117 – 118. ‘military and administrative headquarters’</w:t>
      </w:r>
      <w:r w:rsidR="00222F4A" w:rsidRPr="00996A90">
        <w:rPr>
          <w:rFonts w:ascii="Times" w:hAnsi="Times"/>
        </w:rPr>
        <w:t xml:space="preserve">, with this being the case it was important </w:t>
      </w:r>
      <w:r w:rsidR="00843972" w:rsidRPr="00996A90">
        <w:rPr>
          <w:rFonts w:ascii="Times" w:hAnsi="Times"/>
        </w:rPr>
        <w:t xml:space="preserve">that </w:t>
      </w:r>
      <w:r w:rsidR="00CC5DB7" w:rsidRPr="00996A90">
        <w:rPr>
          <w:rFonts w:ascii="Times" w:hAnsi="Times"/>
        </w:rPr>
        <w:t xml:space="preserve">the city was well protected; also, </w:t>
      </w:r>
      <w:r w:rsidR="00CC5DB7" w:rsidRPr="00996A90">
        <w:rPr>
          <w:rFonts w:ascii="Times" w:hAnsi="Times"/>
          <w:i/>
        </w:rPr>
        <w:t xml:space="preserve">Plb. </w:t>
      </w:r>
      <w:r w:rsidR="00CC5DB7" w:rsidRPr="00996A90">
        <w:rPr>
          <w:rFonts w:ascii="Times" w:hAnsi="Times"/>
        </w:rPr>
        <w:t>5. 79, ‘Antiochus’s force was sixty- two thousand infantry, six thousand cavalry, and one hundred and two elephants</w:t>
      </w:r>
      <w:r w:rsidR="00F26303">
        <w:rPr>
          <w:rFonts w:ascii="Times" w:hAnsi="Times"/>
        </w:rPr>
        <w:t xml:space="preserve">’, fortunately, our army was well equipped. </w:t>
      </w:r>
    </w:p>
  </w:footnote>
  <w:footnote w:id="12">
    <w:p w14:paraId="21DAA103" w14:textId="1976F633" w:rsidR="0022608E" w:rsidRPr="00996A90" w:rsidRDefault="0022608E" w:rsidP="0022608E">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015769" w:rsidRPr="00996A90">
        <w:rPr>
          <w:rFonts w:ascii="Times" w:hAnsi="Times"/>
        </w:rPr>
        <w:t xml:space="preserve">Diod. Sic. 20. 21. </w:t>
      </w:r>
    </w:p>
  </w:footnote>
  <w:footnote w:id="13">
    <w:p w14:paraId="65CAB926" w14:textId="52A4A1B6" w:rsidR="00C95546" w:rsidRPr="00996A90" w:rsidRDefault="00C95546">
      <w:pPr>
        <w:pStyle w:val="FootnoteText"/>
        <w:rPr>
          <w:rFonts w:ascii="Times" w:hAnsi="Times"/>
        </w:rPr>
      </w:pPr>
      <w:r w:rsidRPr="00996A90">
        <w:rPr>
          <w:rStyle w:val="FootnoteReference"/>
          <w:rFonts w:ascii="Times" w:hAnsi="Times"/>
        </w:rPr>
        <w:footnoteRef/>
      </w:r>
      <w:r w:rsidRPr="00996A90">
        <w:rPr>
          <w:rFonts w:ascii="Times" w:hAnsi="Times"/>
        </w:rPr>
        <w:t xml:space="preserve"> Pritchard 2012: 39. </w:t>
      </w:r>
    </w:p>
  </w:footnote>
  <w:footnote w:id="14">
    <w:p w14:paraId="1871F3FF" w14:textId="64E2AF28" w:rsidR="00561679" w:rsidRPr="00996A90" w:rsidRDefault="00561679">
      <w:pPr>
        <w:pStyle w:val="FootnoteText"/>
        <w:rPr>
          <w:rFonts w:ascii="Times" w:hAnsi="Times"/>
        </w:rPr>
      </w:pPr>
      <w:r w:rsidRPr="00996A90">
        <w:rPr>
          <w:rStyle w:val="FootnoteReference"/>
          <w:rFonts w:ascii="Times" w:hAnsi="Times"/>
        </w:rPr>
        <w:footnoteRef/>
      </w:r>
      <w:r w:rsidRPr="00996A90">
        <w:rPr>
          <w:rFonts w:ascii="Times" w:hAnsi="Times"/>
        </w:rPr>
        <w:t xml:space="preserve"> Thuc. 6. 57. </w:t>
      </w:r>
      <w:r w:rsidR="00233547" w:rsidRPr="00996A90">
        <w:rPr>
          <w:rFonts w:ascii="Times" w:hAnsi="Times"/>
        </w:rPr>
        <w:t>1</w:t>
      </w:r>
      <w:r w:rsidR="00493778" w:rsidRPr="00996A90">
        <w:rPr>
          <w:rFonts w:ascii="Times" w:hAnsi="Times"/>
        </w:rPr>
        <w:t xml:space="preserve"> – 4. </w:t>
      </w:r>
    </w:p>
  </w:footnote>
  <w:footnote w:id="15">
    <w:p w14:paraId="75576066" w14:textId="4C847F3B" w:rsidR="0068209D" w:rsidRPr="00996A90" w:rsidRDefault="0068209D">
      <w:pPr>
        <w:pStyle w:val="FootnoteText"/>
        <w:rPr>
          <w:rFonts w:ascii="Times" w:hAnsi="Times"/>
        </w:rPr>
      </w:pPr>
      <w:r w:rsidRPr="00996A90">
        <w:rPr>
          <w:rStyle w:val="FootnoteReference"/>
          <w:rFonts w:ascii="Times" w:hAnsi="Times"/>
        </w:rPr>
        <w:footnoteRef/>
      </w:r>
      <w:r w:rsidRPr="00996A90">
        <w:rPr>
          <w:rFonts w:ascii="Times" w:hAnsi="Times"/>
        </w:rPr>
        <w:t xml:space="preserve"> Grainger 1963: 23. </w:t>
      </w:r>
    </w:p>
  </w:footnote>
  <w:footnote w:id="16">
    <w:p w14:paraId="6BDC790D" w14:textId="415C101D" w:rsidR="0022608E" w:rsidRPr="00996A90" w:rsidRDefault="0022608E" w:rsidP="0022608E">
      <w:pPr>
        <w:pStyle w:val="FootnoteText"/>
        <w:rPr>
          <w:rFonts w:ascii="Times" w:hAnsi="Times"/>
        </w:rPr>
      </w:pPr>
      <w:r w:rsidRPr="00996A90">
        <w:rPr>
          <w:rStyle w:val="FootnoteReference"/>
          <w:rFonts w:ascii="Times" w:hAnsi="Times"/>
        </w:rPr>
        <w:footnoteRef/>
      </w:r>
      <w:r w:rsidR="00493778" w:rsidRPr="00996A90">
        <w:rPr>
          <w:rFonts w:ascii="Times" w:hAnsi="Times"/>
        </w:rPr>
        <w:t xml:space="preserve"> </w:t>
      </w:r>
      <w:r w:rsidRPr="00996A90">
        <w:rPr>
          <w:rFonts w:ascii="Times" w:hAnsi="Times"/>
        </w:rPr>
        <w:t xml:space="preserve"> </w:t>
      </w:r>
      <w:r w:rsidR="008D66A2" w:rsidRPr="00996A90">
        <w:rPr>
          <w:rFonts w:ascii="Times" w:hAnsi="Times"/>
        </w:rPr>
        <w:t xml:space="preserve">Lawrence 1996: 152, in this case, there is mention of building times stretching over many years (centuries in this case), so it can be assumed that the manpower needed would have been may. </w:t>
      </w:r>
    </w:p>
  </w:footnote>
  <w:footnote w:id="17">
    <w:p w14:paraId="662A2C16" w14:textId="46A31BD5" w:rsidR="0068209D" w:rsidRPr="00996A90" w:rsidRDefault="0068209D">
      <w:pPr>
        <w:pStyle w:val="FootnoteText"/>
        <w:rPr>
          <w:rFonts w:ascii="Times" w:hAnsi="Times"/>
        </w:rPr>
      </w:pPr>
      <w:r w:rsidRPr="00996A90">
        <w:rPr>
          <w:rStyle w:val="FootnoteReference"/>
          <w:rFonts w:ascii="Times" w:hAnsi="Times"/>
        </w:rPr>
        <w:footnoteRef/>
      </w:r>
      <w:r w:rsidRPr="00996A90">
        <w:rPr>
          <w:rFonts w:ascii="Times" w:hAnsi="Times"/>
        </w:rPr>
        <w:t xml:space="preserve"> Grainger 1963: 23. </w:t>
      </w:r>
    </w:p>
  </w:footnote>
  <w:footnote w:id="18">
    <w:p w14:paraId="514E3024" w14:textId="60E1F98D" w:rsidR="0056654B" w:rsidRPr="00996A90" w:rsidRDefault="0056654B">
      <w:pPr>
        <w:pStyle w:val="FootnoteText"/>
        <w:rPr>
          <w:rFonts w:ascii="Times" w:hAnsi="Times"/>
        </w:rPr>
      </w:pPr>
      <w:r w:rsidRPr="00996A90">
        <w:rPr>
          <w:rStyle w:val="FootnoteReference"/>
          <w:rFonts w:ascii="Times" w:hAnsi="Times"/>
        </w:rPr>
        <w:footnoteRef/>
      </w:r>
      <w:r w:rsidRPr="00996A90">
        <w:rPr>
          <w:rFonts w:ascii="Times" w:hAnsi="Times"/>
        </w:rPr>
        <w:t xml:space="preserve"> Ramsey 2009: 59; also mentioned in my character dossier as stated at the beginning of this journal. </w:t>
      </w:r>
    </w:p>
  </w:footnote>
  <w:footnote w:id="19">
    <w:p w14:paraId="58E48308" w14:textId="62D4724E" w:rsidR="00766CF7" w:rsidRPr="00996A90" w:rsidRDefault="00766CF7">
      <w:pPr>
        <w:pStyle w:val="FootnoteText"/>
        <w:rPr>
          <w:rFonts w:ascii="Times" w:hAnsi="Times"/>
        </w:rPr>
      </w:pPr>
      <w:r w:rsidRPr="00996A90">
        <w:rPr>
          <w:rStyle w:val="FootnoteReference"/>
          <w:rFonts w:ascii="Times" w:hAnsi="Times"/>
        </w:rPr>
        <w:footnoteRef/>
      </w:r>
      <w:r w:rsidRPr="00996A90">
        <w:rPr>
          <w:rFonts w:ascii="Times" w:hAnsi="Times"/>
        </w:rPr>
        <w:t xml:space="preserve"> Grainger 2015: 1. </w:t>
      </w:r>
    </w:p>
  </w:footnote>
  <w:footnote w:id="20">
    <w:p w14:paraId="0F1A9BE1" w14:textId="754A4ADA" w:rsidR="00505532" w:rsidRPr="00996A90" w:rsidRDefault="00505532">
      <w:pPr>
        <w:pStyle w:val="FootnoteText"/>
        <w:rPr>
          <w:rFonts w:ascii="Times" w:hAnsi="Times"/>
        </w:rPr>
      </w:pPr>
      <w:r w:rsidRPr="00996A90">
        <w:rPr>
          <w:rStyle w:val="FootnoteReference"/>
          <w:rFonts w:ascii="Times" w:hAnsi="Times"/>
        </w:rPr>
        <w:footnoteRef/>
      </w:r>
      <w:r w:rsidRPr="00996A90">
        <w:rPr>
          <w:rFonts w:ascii="Times" w:hAnsi="Times"/>
        </w:rPr>
        <w:t xml:space="preserve"> Justin. 35. 1 – 2. </w:t>
      </w:r>
    </w:p>
  </w:footnote>
  <w:footnote w:id="21">
    <w:p w14:paraId="0BDAD7D7" w14:textId="3CCFB9D0" w:rsidR="00505532" w:rsidRPr="00996A90" w:rsidRDefault="00505532">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996A90" w:rsidRPr="00996A90">
        <w:rPr>
          <w:rFonts w:ascii="Times" w:hAnsi="Times"/>
        </w:rPr>
        <w:t xml:space="preserve">Ramsey 2009: 20, ‘Alexander the Great had followed a policy of permitting Persian satraps who displayed loyalty towards him to remain in their offices’. </w:t>
      </w:r>
    </w:p>
  </w:footnote>
  <w:footnote w:id="22">
    <w:p w14:paraId="3369EDB5" w14:textId="26909189" w:rsidR="00F61D69" w:rsidRPr="00996A90" w:rsidRDefault="00F61D69">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4D4705" w:rsidRPr="00996A90">
        <w:rPr>
          <w:rFonts w:ascii="Times" w:hAnsi="Times"/>
        </w:rPr>
        <w:t xml:space="preserve">Festivals would have typically been a time of a celebration of some sort so to bring the public together seemed like an appropriate step to gaining favour. </w:t>
      </w:r>
    </w:p>
  </w:footnote>
  <w:footnote w:id="23">
    <w:p w14:paraId="1F920AC3" w14:textId="196A4C8C" w:rsidR="00EE6F15" w:rsidRPr="00996A90" w:rsidRDefault="00EE6F15">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843972" w:rsidRPr="00996A90">
        <w:rPr>
          <w:rFonts w:ascii="Times" w:hAnsi="Times"/>
        </w:rPr>
        <w:t xml:space="preserve">Lib. </w:t>
      </w:r>
      <w:r w:rsidR="00843972" w:rsidRPr="00996A90">
        <w:rPr>
          <w:rFonts w:ascii="Times" w:hAnsi="Times"/>
          <w:i/>
        </w:rPr>
        <w:t xml:space="preserve">Or. </w:t>
      </w:r>
    </w:p>
  </w:footnote>
  <w:footnote w:id="24">
    <w:p w14:paraId="34B85924" w14:textId="1FDB91D5" w:rsidR="00015769" w:rsidRPr="00996A90" w:rsidRDefault="00015769">
      <w:pPr>
        <w:pStyle w:val="FootnoteText"/>
        <w:rPr>
          <w:rFonts w:ascii="Times" w:hAnsi="Times"/>
        </w:rPr>
      </w:pPr>
      <w:r w:rsidRPr="00996A90">
        <w:rPr>
          <w:rStyle w:val="FootnoteReference"/>
          <w:rFonts w:ascii="Times" w:hAnsi="Times"/>
        </w:rPr>
        <w:footnoteRef/>
      </w:r>
      <w:r w:rsidRPr="00996A90">
        <w:rPr>
          <w:rFonts w:ascii="Times" w:hAnsi="Times"/>
        </w:rPr>
        <w:t xml:space="preserve"> Lib. </w:t>
      </w:r>
      <w:r w:rsidRPr="00996A90">
        <w:rPr>
          <w:rFonts w:ascii="Times" w:hAnsi="Times"/>
          <w:i/>
        </w:rPr>
        <w:t xml:space="preserve">Or. </w:t>
      </w:r>
      <w:r w:rsidR="00BC51E6" w:rsidRPr="00996A90">
        <w:rPr>
          <w:rFonts w:ascii="Times" w:hAnsi="Times"/>
        </w:rPr>
        <w:t xml:space="preserve">11. </w:t>
      </w:r>
      <w:r w:rsidRPr="00996A90">
        <w:rPr>
          <w:rFonts w:ascii="Times" w:hAnsi="Times"/>
        </w:rPr>
        <w:t xml:space="preserve">20 -21. </w:t>
      </w:r>
    </w:p>
  </w:footnote>
  <w:footnote w:id="25">
    <w:p w14:paraId="521F50EB" w14:textId="2C296728" w:rsidR="00600380" w:rsidRPr="00996A90" w:rsidRDefault="00600380">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Pr="00996A90">
        <w:rPr>
          <w:rFonts w:ascii="Times" w:hAnsi="Times"/>
          <w:i/>
        </w:rPr>
        <w:t xml:space="preserve">Paus. </w:t>
      </w:r>
      <w:r w:rsidRPr="00996A90">
        <w:rPr>
          <w:rFonts w:ascii="Times" w:hAnsi="Times"/>
        </w:rPr>
        <w:t>1. 2. 5; 1. 21. 3.</w:t>
      </w:r>
    </w:p>
  </w:footnote>
  <w:footnote w:id="26">
    <w:p w14:paraId="69EEA092" w14:textId="3332E371" w:rsidR="00BC51E6" w:rsidRPr="00996A90" w:rsidRDefault="00BC51E6">
      <w:pPr>
        <w:pStyle w:val="FootnoteText"/>
        <w:rPr>
          <w:rFonts w:ascii="Times" w:hAnsi="Times"/>
        </w:rPr>
      </w:pPr>
      <w:r w:rsidRPr="00996A90">
        <w:rPr>
          <w:rStyle w:val="FootnoteReference"/>
          <w:rFonts w:ascii="Times" w:hAnsi="Times"/>
        </w:rPr>
        <w:footnoteRef/>
      </w:r>
      <w:r w:rsidRPr="00996A90">
        <w:rPr>
          <w:rFonts w:ascii="Times" w:hAnsi="Times"/>
        </w:rPr>
        <w:t xml:space="preserve"> Lib. </w:t>
      </w:r>
      <w:r w:rsidRPr="00996A90">
        <w:rPr>
          <w:rFonts w:ascii="Times" w:hAnsi="Times"/>
          <w:i/>
        </w:rPr>
        <w:t xml:space="preserve">Or. </w:t>
      </w:r>
      <w:r w:rsidRPr="00996A90">
        <w:rPr>
          <w:rFonts w:ascii="Times" w:hAnsi="Times"/>
        </w:rPr>
        <w:t>11. 230.</w:t>
      </w:r>
      <w:r w:rsidR="0056654B" w:rsidRPr="00996A90">
        <w:rPr>
          <w:rFonts w:ascii="Times" w:hAnsi="Times"/>
        </w:rPr>
        <w:t xml:space="preserve"> Clearly festivals are a source of pleasure or fun to the inhabitants. </w:t>
      </w:r>
    </w:p>
  </w:footnote>
  <w:footnote w:id="27">
    <w:p w14:paraId="64AE5B25" w14:textId="367E3DE0" w:rsidR="008D7213" w:rsidRPr="00996A90" w:rsidRDefault="008D7213">
      <w:pPr>
        <w:pStyle w:val="FootnoteText"/>
        <w:rPr>
          <w:rFonts w:ascii="Times" w:hAnsi="Times"/>
        </w:rPr>
      </w:pPr>
      <w:r w:rsidRPr="00996A90">
        <w:rPr>
          <w:rStyle w:val="FootnoteReference"/>
          <w:rFonts w:ascii="Times" w:hAnsi="Times"/>
        </w:rPr>
        <w:footnoteRef/>
      </w:r>
      <w:r w:rsidRPr="00996A90">
        <w:rPr>
          <w:rFonts w:ascii="Times" w:hAnsi="Times"/>
        </w:rPr>
        <w:t xml:space="preserve"> Grainger 1963: 90, as spirituality and religion was something that was highly regarded as evidence by the festivals taking place, then holding a religious festival for the needs of a city would be beneficial to the inhabitants. </w:t>
      </w:r>
    </w:p>
  </w:footnote>
  <w:footnote w:id="28">
    <w:p w14:paraId="5C7BCC90" w14:textId="391814F1" w:rsidR="00703151" w:rsidRPr="00996A90" w:rsidRDefault="00703151">
      <w:pPr>
        <w:pStyle w:val="FootnoteText"/>
        <w:rPr>
          <w:rFonts w:ascii="Times" w:hAnsi="Times"/>
        </w:rPr>
      </w:pPr>
      <w:r w:rsidRPr="00996A90">
        <w:rPr>
          <w:rStyle w:val="FootnoteReference"/>
          <w:rFonts w:ascii="Times" w:hAnsi="Times"/>
        </w:rPr>
        <w:footnoteRef/>
      </w:r>
      <w:r w:rsidR="008D66A2" w:rsidRPr="00996A90">
        <w:rPr>
          <w:rFonts w:ascii="Times" w:hAnsi="Times"/>
        </w:rPr>
        <w:t xml:space="preserve"> Downey 1959: 652.</w:t>
      </w:r>
    </w:p>
  </w:footnote>
  <w:footnote w:id="29">
    <w:p w14:paraId="64D7E796" w14:textId="00F7C2EB" w:rsidR="008D66A2" w:rsidRPr="00996A90" w:rsidRDefault="008D66A2">
      <w:pPr>
        <w:pStyle w:val="FootnoteText"/>
        <w:rPr>
          <w:rFonts w:ascii="Times" w:hAnsi="Times"/>
        </w:rPr>
      </w:pPr>
      <w:r w:rsidRPr="00996A90">
        <w:rPr>
          <w:rStyle w:val="FootnoteReference"/>
          <w:rFonts w:ascii="Times" w:hAnsi="Times"/>
        </w:rPr>
        <w:footnoteRef/>
      </w:r>
      <w:r w:rsidRPr="00996A90">
        <w:rPr>
          <w:rFonts w:ascii="Times" w:hAnsi="Times"/>
        </w:rPr>
        <w:t xml:space="preserve"> Downey 1959: 652. </w:t>
      </w:r>
    </w:p>
  </w:footnote>
  <w:footnote w:id="30">
    <w:p w14:paraId="09F6F546" w14:textId="31BE08F2" w:rsidR="00F61D69" w:rsidRPr="00E80D6F" w:rsidRDefault="00F61D69">
      <w:pPr>
        <w:pStyle w:val="FootnoteText"/>
        <w:rPr>
          <w:rFonts w:ascii="Times" w:hAnsi="Times"/>
        </w:rPr>
      </w:pPr>
      <w:r w:rsidRPr="00996A90">
        <w:rPr>
          <w:rStyle w:val="FootnoteReference"/>
          <w:rFonts w:ascii="Times" w:hAnsi="Times"/>
        </w:rPr>
        <w:footnoteRef/>
      </w:r>
      <w:r w:rsidRPr="00996A90">
        <w:rPr>
          <w:rFonts w:ascii="Times" w:hAnsi="Times"/>
        </w:rPr>
        <w:t xml:space="preserve"> </w:t>
      </w:r>
      <w:r w:rsidR="00A761CE">
        <w:rPr>
          <w:rFonts w:ascii="Times" w:hAnsi="Times"/>
        </w:rPr>
        <w:t xml:space="preserve">Lib. </w:t>
      </w:r>
      <w:r w:rsidR="00A761CE">
        <w:rPr>
          <w:rFonts w:ascii="Times" w:hAnsi="Times"/>
          <w:i/>
        </w:rPr>
        <w:t xml:space="preserve">Or. </w:t>
      </w:r>
      <w:r w:rsidR="00E80D6F">
        <w:rPr>
          <w:rFonts w:ascii="Times" w:hAnsi="Times"/>
        </w:rPr>
        <w:t xml:space="preserve">11. 19. As the gods were so integral to daily life, it seemed insensitive to besmirch the gods by bringing anything unethical into the equation. </w:t>
      </w:r>
    </w:p>
  </w:footnote>
  <w:footnote w:id="31">
    <w:p w14:paraId="3913E335" w14:textId="1F7E5EF0" w:rsidR="00506644" w:rsidRPr="00506644" w:rsidRDefault="00506644">
      <w:pPr>
        <w:pStyle w:val="FootnoteText"/>
        <w:rPr>
          <w:rFonts w:ascii="Times" w:hAnsi="Times"/>
        </w:rPr>
      </w:pPr>
      <w:r w:rsidRPr="00506644">
        <w:rPr>
          <w:rStyle w:val="FootnoteReference"/>
          <w:rFonts w:ascii="Times" w:hAnsi="Times"/>
        </w:rPr>
        <w:footnoteRef/>
      </w:r>
      <w:r w:rsidRPr="00506644">
        <w:rPr>
          <w:rFonts w:ascii="Times" w:hAnsi="Times"/>
        </w:rPr>
        <w:t xml:space="preserve"> Bouvrie 2012: 62, ‘these festivals included secular as well as sacred activities’. </w:t>
      </w:r>
    </w:p>
  </w:footnote>
  <w:footnote w:id="32">
    <w:p w14:paraId="46A9C369" w14:textId="529310D6" w:rsidR="00506644" w:rsidRPr="00A5767C" w:rsidRDefault="00506644">
      <w:pPr>
        <w:pStyle w:val="FootnoteText"/>
        <w:rPr>
          <w:rFonts w:ascii="Times" w:hAnsi="Times"/>
        </w:rPr>
      </w:pPr>
      <w:r w:rsidRPr="00506644">
        <w:rPr>
          <w:rStyle w:val="FootnoteReference"/>
          <w:rFonts w:ascii="Times" w:hAnsi="Times"/>
        </w:rPr>
        <w:footnoteRef/>
      </w:r>
      <w:r w:rsidRPr="00506644">
        <w:rPr>
          <w:rFonts w:ascii="Times" w:hAnsi="Times"/>
        </w:rPr>
        <w:t xml:space="preserve"> </w:t>
      </w:r>
      <w:r w:rsidRPr="00A5767C">
        <w:rPr>
          <w:rFonts w:ascii="Times" w:hAnsi="Times"/>
        </w:rPr>
        <w:t xml:space="preserve">Bouvrie 2012: 62, a ritual phase was something that was clearly important. </w:t>
      </w:r>
    </w:p>
  </w:footnote>
  <w:footnote w:id="33">
    <w:p w14:paraId="7D6C43BE" w14:textId="0E4FDC87" w:rsidR="00A5767C" w:rsidRDefault="00A5767C">
      <w:pPr>
        <w:pStyle w:val="FootnoteText"/>
      </w:pPr>
      <w:r w:rsidRPr="00A5767C">
        <w:rPr>
          <w:rStyle w:val="FootnoteReference"/>
          <w:rFonts w:ascii="Times" w:hAnsi="Times"/>
        </w:rPr>
        <w:footnoteRef/>
      </w:r>
      <w:r w:rsidRPr="00A5767C">
        <w:rPr>
          <w:rFonts w:ascii="Times" w:hAnsi="Times"/>
        </w:rPr>
        <w:t xml:space="preserve"> Bouvrie 2012: 62.</w:t>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0607"/>
    <w:rsid w:val="00011C10"/>
    <w:rsid w:val="000143AA"/>
    <w:rsid w:val="00015769"/>
    <w:rsid w:val="00051A96"/>
    <w:rsid w:val="00077AC2"/>
    <w:rsid w:val="0009280E"/>
    <w:rsid w:val="00095462"/>
    <w:rsid w:val="000C2A83"/>
    <w:rsid w:val="000E68B7"/>
    <w:rsid w:val="001764F4"/>
    <w:rsid w:val="001D26C6"/>
    <w:rsid w:val="001F3AC3"/>
    <w:rsid w:val="00222226"/>
    <w:rsid w:val="00222F4A"/>
    <w:rsid w:val="0022608E"/>
    <w:rsid w:val="00233547"/>
    <w:rsid w:val="002437BA"/>
    <w:rsid w:val="00276D1B"/>
    <w:rsid w:val="00291B4C"/>
    <w:rsid w:val="002D5BB1"/>
    <w:rsid w:val="002E3C1F"/>
    <w:rsid w:val="00333B97"/>
    <w:rsid w:val="00341168"/>
    <w:rsid w:val="004324B5"/>
    <w:rsid w:val="004545C9"/>
    <w:rsid w:val="004757D4"/>
    <w:rsid w:val="00493778"/>
    <w:rsid w:val="004A28D1"/>
    <w:rsid w:val="004A3956"/>
    <w:rsid w:val="004D4705"/>
    <w:rsid w:val="00505532"/>
    <w:rsid w:val="00506644"/>
    <w:rsid w:val="00546930"/>
    <w:rsid w:val="00561679"/>
    <w:rsid w:val="0056654B"/>
    <w:rsid w:val="00584B25"/>
    <w:rsid w:val="005B20BD"/>
    <w:rsid w:val="005E68E0"/>
    <w:rsid w:val="005F3619"/>
    <w:rsid w:val="00600380"/>
    <w:rsid w:val="00661D0B"/>
    <w:rsid w:val="0068209D"/>
    <w:rsid w:val="006C0A75"/>
    <w:rsid w:val="006C4E01"/>
    <w:rsid w:val="00703151"/>
    <w:rsid w:val="0071377A"/>
    <w:rsid w:val="00766CF7"/>
    <w:rsid w:val="007826A8"/>
    <w:rsid w:val="0079014C"/>
    <w:rsid w:val="007A7DD8"/>
    <w:rsid w:val="007D7452"/>
    <w:rsid w:val="00821115"/>
    <w:rsid w:val="00843972"/>
    <w:rsid w:val="008D66A2"/>
    <w:rsid w:val="008D7213"/>
    <w:rsid w:val="008F30DA"/>
    <w:rsid w:val="009134F6"/>
    <w:rsid w:val="00914BBA"/>
    <w:rsid w:val="00996A90"/>
    <w:rsid w:val="009C5F61"/>
    <w:rsid w:val="00A5767C"/>
    <w:rsid w:val="00A7410B"/>
    <w:rsid w:val="00A761CE"/>
    <w:rsid w:val="00AB63CA"/>
    <w:rsid w:val="00AF643B"/>
    <w:rsid w:val="00B419C8"/>
    <w:rsid w:val="00BA5A5C"/>
    <w:rsid w:val="00BC51E6"/>
    <w:rsid w:val="00C1054D"/>
    <w:rsid w:val="00C95546"/>
    <w:rsid w:val="00CC5DB7"/>
    <w:rsid w:val="00CF0CD0"/>
    <w:rsid w:val="00D13762"/>
    <w:rsid w:val="00D8263B"/>
    <w:rsid w:val="00D84FFC"/>
    <w:rsid w:val="00DD06CE"/>
    <w:rsid w:val="00DF1995"/>
    <w:rsid w:val="00E71DCD"/>
    <w:rsid w:val="00E721FE"/>
    <w:rsid w:val="00E80D6F"/>
    <w:rsid w:val="00E82107"/>
    <w:rsid w:val="00E91E6C"/>
    <w:rsid w:val="00EC2F79"/>
    <w:rsid w:val="00EE0607"/>
    <w:rsid w:val="00EE6F15"/>
    <w:rsid w:val="00EE7BD7"/>
    <w:rsid w:val="00F02821"/>
    <w:rsid w:val="00F2055A"/>
    <w:rsid w:val="00F26303"/>
    <w:rsid w:val="00F61D69"/>
    <w:rsid w:val="00F9637B"/>
    <w:rsid w:val="00FA68CD"/>
    <w:rsid w:val="00FB191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FE2A91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w:eastAsiaTheme="minorHAnsi" w:hAnsi="Times"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2055A"/>
    <w:rPr>
      <w:rFonts w:asciiTheme="minorHAnsi" w:hAnsiTheme="minorHAns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2055A"/>
  </w:style>
  <w:style w:type="character" w:customStyle="1" w:styleId="FootnoteTextChar">
    <w:name w:val="Footnote Text Char"/>
    <w:basedOn w:val="DefaultParagraphFont"/>
    <w:link w:val="FootnoteText"/>
    <w:uiPriority w:val="99"/>
    <w:rsid w:val="00F2055A"/>
    <w:rPr>
      <w:rFonts w:asciiTheme="minorHAnsi" w:hAnsiTheme="minorHAnsi"/>
      <w:szCs w:val="24"/>
    </w:rPr>
  </w:style>
  <w:style w:type="character" w:styleId="FootnoteReference">
    <w:name w:val="footnote reference"/>
    <w:basedOn w:val="DefaultParagraphFont"/>
    <w:uiPriority w:val="99"/>
    <w:unhideWhenUsed/>
    <w:rsid w:val="00F2055A"/>
    <w:rPr>
      <w:vertAlign w:val="superscript"/>
    </w:rPr>
  </w:style>
  <w:style w:type="character" w:styleId="Emphasis">
    <w:name w:val="Emphasis"/>
    <w:basedOn w:val="DefaultParagraphFont"/>
    <w:uiPriority w:val="20"/>
    <w:qFormat/>
    <w:rsid w:val="00F9637B"/>
    <w:rPr>
      <w:i/>
      <w:iCs/>
    </w:rPr>
  </w:style>
  <w:style w:type="paragraph" w:styleId="Footer">
    <w:name w:val="footer"/>
    <w:basedOn w:val="Normal"/>
    <w:link w:val="FooterChar"/>
    <w:uiPriority w:val="99"/>
    <w:unhideWhenUsed/>
    <w:rsid w:val="00996A90"/>
    <w:pPr>
      <w:tabs>
        <w:tab w:val="center" w:pos="4513"/>
        <w:tab w:val="right" w:pos="9026"/>
      </w:tabs>
    </w:pPr>
  </w:style>
  <w:style w:type="character" w:customStyle="1" w:styleId="FooterChar">
    <w:name w:val="Footer Char"/>
    <w:basedOn w:val="DefaultParagraphFont"/>
    <w:link w:val="Footer"/>
    <w:uiPriority w:val="99"/>
    <w:rsid w:val="00996A90"/>
    <w:rPr>
      <w:rFonts w:asciiTheme="minorHAnsi" w:hAnsiTheme="minorHAnsi"/>
    </w:rPr>
  </w:style>
  <w:style w:type="character" w:styleId="PageNumber">
    <w:name w:val="page number"/>
    <w:basedOn w:val="DefaultParagraphFont"/>
    <w:uiPriority w:val="99"/>
    <w:semiHidden/>
    <w:unhideWhenUsed/>
    <w:rsid w:val="00996A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3065423">
      <w:bodyDiv w:val="1"/>
      <w:marLeft w:val="0"/>
      <w:marRight w:val="0"/>
      <w:marTop w:val="0"/>
      <w:marBottom w:val="0"/>
      <w:divBdr>
        <w:top w:val="none" w:sz="0" w:space="0" w:color="auto"/>
        <w:left w:val="none" w:sz="0" w:space="0" w:color="auto"/>
        <w:bottom w:val="none" w:sz="0" w:space="0" w:color="auto"/>
        <w:right w:val="none" w:sz="0" w:space="0" w:color="auto"/>
      </w:divBdr>
    </w:div>
    <w:div w:id="755059980">
      <w:bodyDiv w:val="1"/>
      <w:marLeft w:val="0"/>
      <w:marRight w:val="0"/>
      <w:marTop w:val="0"/>
      <w:marBottom w:val="0"/>
      <w:divBdr>
        <w:top w:val="none" w:sz="0" w:space="0" w:color="auto"/>
        <w:left w:val="none" w:sz="0" w:space="0" w:color="auto"/>
        <w:bottom w:val="none" w:sz="0" w:space="0" w:color="auto"/>
        <w:right w:val="none" w:sz="0" w:space="0" w:color="auto"/>
      </w:divBdr>
    </w:div>
    <w:div w:id="1070613548">
      <w:bodyDiv w:val="1"/>
      <w:marLeft w:val="0"/>
      <w:marRight w:val="0"/>
      <w:marTop w:val="0"/>
      <w:marBottom w:val="0"/>
      <w:divBdr>
        <w:top w:val="none" w:sz="0" w:space="0" w:color="auto"/>
        <w:left w:val="none" w:sz="0" w:space="0" w:color="auto"/>
        <w:bottom w:val="none" w:sz="0" w:space="0" w:color="auto"/>
        <w:right w:val="none" w:sz="0" w:space="0" w:color="auto"/>
      </w:divBdr>
    </w:div>
    <w:div w:id="1297834393">
      <w:bodyDiv w:val="1"/>
      <w:marLeft w:val="0"/>
      <w:marRight w:val="0"/>
      <w:marTop w:val="0"/>
      <w:marBottom w:val="0"/>
      <w:divBdr>
        <w:top w:val="none" w:sz="0" w:space="0" w:color="auto"/>
        <w:left w:val="none" w:sz="0" w:space="0" w:color="auto"/>
        <w:bottom w:val="none" w:sz="0" w:space="0" w:color="auto"/>
        <w:right w:val="none" w:sz="0" w:space="0" w:color="auto"/>
      </w:divBdr>
    </w:div>
    <w:div w:id="1819687239">
      <w:bodyDiv w:val="1"/>
      <w:marLeft w:val="0"/>
      <w:marRight w:val="0"/>
      <w:marTop w:val="0"/>
      <w:marBottom w:val="0"/>
      <w:divBdr>
        <w:top w:val="none" w:sz="0" w:space="0" w:color="auto"/>
        <w:left w:val="none" w:sz="0" w:space="0" w:color="auto"/>
        <w:bottom w:val="none" w:sz="0" w:space="0" w:color="auto"/>
        <w:right w:val="none" w:sz="0" w:space="0" w:color="auto"/>
      </w:divBdr>
    </w:div>
    <w:div w:id="2013023906">
      <w:bodyDiv w:val="1"/>
      <w:marLeft w:val="0"/>
      <w:marRight w:val="0"/>
      <w:marTop w:val="0"/>
      <w:marBottom w:val="0"/>
      <w:divBdr>
        <w:top w:val="none" w:sz="0" w:space="0" w:color="auto"/>
        <w:left w:val="none" w:sz="0" w:space="0" w:color="auto"/>
        <w:bottom w:val="none" w:sz="0" w:space="0" w:color="auto"/>
        <w:right w:val="none" w:sz="0" w:space="0" w:color="auto"/>
      </w:divBdr>
    </w:div>
    <w:div w:id="21122372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8EFF0F27-8EC7-7A4B-9DF8-F72F96C23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TotalTime>
  <Pages>10</Pages>
  <Words>1872</Words>
  <Characters>10671</Characters>
  <Application>Microsoft Macintosh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12518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Kozdoj</dc:creator>
  <cp:keywords/>
  <dc:description/>
  <cp:lastModifiedBy>Hannah Kozdoj</cp:lastModifiedBy>
  <cp:revision>15</cp:revision>
  <dcterms:created xsi:type="dcterms:W3CDTF">2018-04-30T23:57:00Z</dcterms:created>
  <dcterms:modified xsi:type="dcterms:W3CDTF">2018-05-01T22:21:00Z</dcterms:modified>
</cp:coreProperties>
</file>