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CBF993" w14:textId="77777777" w:rsidR="00854BF2" w:rsidRPr="00854BF2" w:rsidRDefault="00854BF2" w:rsidP="00854BF2">
      <w:pPr>
        <w:jc w:val="center"/>
        <w:rPr>
          <w:rFonts w:ascii="Arial" w:hAnsi="Arial" w:cs="Arial"/>
          <w:b/>
          <w:bCs/>
          <w:i/>
          <w:iCs/>
          <w:u w:val="single"/>
        </w:rPr>
      </w:pPr>
      <w:r w:rsidRPr="00854BF2">
        <w:rPr>
          <w:rFonts w:ascii="Arial" w:hAnsi="Arial" w:cs="Arial"/>
          <w:b/>
          <w:bCs/>
          <w:i/>
          <w:iCs/>
          <w:u w:val="single"/>
        </w:rPr>
        <w:t>Critically analyse the meaning of ‘vulnerability’ in the context of operational policing</w:t>
      </w:r>
    </w:p>
    <w:p w14:paraId="41323D5E" w14:textId="77777777" w:rsidR="00854BF2" w:rsidRPr="00854BF2" w:rsidRDefault="00854BF2" w:rsidP="00854BF2">
      <w:pPr>
        <w:jc w:val="both"/>
        <w:rPr>
          <w:rFonts w:ascii="Arial" w:hAnsi="Arial" w:cs="Arial"/>
        </w:rPr>
      </w:pPr>
      <w:commentRangeStart w:id="0"/>
      <w:r w:rsidRPr="00854BF2">
        <w:rPr>
          <w:rFonts w:ascii="Arial" w:hAnsi="Arial" w:cs="Arial"/>
        </w:rPr>
        <w:t xml:space="preserve">“The inspectors have found that there is a requirement for us to improve the way in which we protect vulnerable people” (Vaughan, 2022). </w:t>
      </w:r>
      <w:commentRangeEnd w:id="0"/>
      <w:r w:rsidRPr="00854BF2">
        <w:rPr>
          <w:rStyle w:val="CommentReference"/>
          <w:rFonts w:ascii="Arial" w:hAnsi="Arial" w:cs="Arial"/>
          <w:sz w:val="22"/>
          <w:szCs w:val="22"/>
        </w:rPr>
        <w:commentReference w:id="0"/>
      </w:r>
      <w:r w:rsidRPr="00854BF2">
        <w:rPr>
          <w:rFonts w:ascii="Arial" w:hAnsi="Arial" w:cs="Arial"/>
        </w:rPr>
        <w:t>This was a statement made by Chief Constable of South Wales Police, Jeremy Vaughan, in response to a PEEL assessment report by Her Majesty’s Inspectorate of Constabulary and Fire and Rescue Services (</w:t>
      </w:r>
      <w:commentRangeStart w:id="1"/>
      <w:r w:rsidRPr="00854BF2">
        <w:rPr>
          <w:rFonts w:ascii="Arial" w:hAnsi="Arial" w:cs="Arial"/>
        </w:rPr>
        <w:t>HMICFRS) in 2022</w:t>
      </w:r>
      <w:commentRangeEnd w:id="1"/>
      <w:r w:rsidRPr="00854BF2">
        <w:rPr>
          <w:rStyle w:val="CommentReference"/>
          <w:rFonts w:ascii="Arial" w:hAnsi="Arial" w:cs="Arial"/>
          <w:sz w:val="22"/>
          <w:szCs w:val="22"/>
        </w:rPr>
        <w:commentReference w:id="1"/>
      </w:r>
      <w:r w:rsidRPr="00854BF2">
        <w:rPr>
          <w:rFonts w:ascii="Arial" w:hAnsi="Arial" w:cs="Arial"/>
        </w:rPr>
        <w:t>. The report graded 9 areas of policing within South Wales Police force, with 5 of the 9 areas being rated good, which included preventing crime, investigating crime and responding to the public. The lowest graded area was that of protecting vulnerable people which the report stated it required improvement (</w:t>
      </w:r>
      <w:commentRangeStart w:id="2"/>
      <w:r w:rsidRPr="00854BF2">
        <w:rPr>
          <w:rFonts w:ascii="Arial" w:hAnsi="Arial" w:cs="Arial"/>
        </w:rPr>
        <w:t>HMICFRS, 2022</w:t>
      </w:r>
      <w:commentRangeEnd w:id="2"/>
      <w:r w:rsidRPr="00854BF2">
        <w:rPr>
          <w:rStyle w:val="CommentReference"/>
          <w:rFonts w:ascii="Arial" w:hAnsi="Arial" w:cs="Arial"/>
          <w:sz w:val="22"/>
          <w:szCs w:val="22"/>
        </w:rPr>
        <w:commentReference w:id="2"/>
      </w:r>
      <w:r w:rsidRPr="00854BF2">
        <w:rPr>
          <w:rFonts w:ascii="Arial" w:hAnsi="Arial" w:cs="Arial"/>
        </w:rPr>
        <w:t xml:space="preserve">). After the report was published, South Wales Police used their recommendations to help write the </w:t>
      </w:r>
      <w:commentRangeStart w:id="3"/>
      <w:r w:rsidRPr="00854BF2">
        <w:rPr>
          <w:rFonts w:ascii="Arial" w:hAnsi="Arial" w:cs="Arial"/>
        </w:rPr>
        <w:t>South Wales Police &amp; Crime Plan 2023-2027</w:t>
      </w:r>
      <w:commentRangeEnd w:id="3"/>
      <w:r w:rsidRPr="00854BF2">
        <w:rPr>
          <w:rStyle w:val="CommentReference"/>
          <w:rFonts w:ascii="Arial" w:hAnsi="Arial" w:cs="Arial"/>
          <w:sz w:val="22"/>
          <w:szCs w:val="22"/>
        </w:rPr>
        <w:commentReference w:id="3"/>
      </w:r>
      <w:r w:rsidRPr="00854BF2">
        <w:rPr>
          <w:rFonts w:ascii="Arial" w:hAnsi="Arial" w:cs="Arial"/>
        </w:rPr>
        <w:t>.This essay will discuss this further throughout. Alongside the Crime Plan, this essay will provide the different definitions of vulnerable people, what makes an individual vulnerable and how the police service is equipped to deal with these individuals through multi agency partnerships. This essay will also discuss the difference between a vulnerable child and adult while also providing real life examples of police dealing with vulnerable victims.</w:t>
      </w:r>
    </w:p>
    <w:p w14:paraId="3F691C23" w14:textId="77777777" w:rsidR="00854BF2" w:rsidRPr="00854BF2" w:rsidRDefault="00854BF2" w:rsidP="00854BF2">
      <w:pPr>
        <w:jc w:val="both"/>
        <w:rPr>
          <w:rFonts w:ascii="Arial" w:hAnsi="Arial" w:cs="Arial"/>
        </w:rPr>
      </w:pPr>
      <w:r w:rsidRPr="00854BF2">
        <w:rPr>
          <w:rFonts w:ascii="Arial" w:hAnsi="Arial" w:cs="Arial"/>
        </w:rPr>
        <w:t>There are many different definitions of a ‘vulnerable person’ although none of them are found within a piece of legislation. In 2021, the College of Policing started to use the THRIVE definition for vulnerability (</w:t>
      </w:r>
      <w:commentRangeStart w:id="4"/>
      <w:r w:rsidRPr="00854BF2">
        <w:rPr>
          <w:rFonts w:ascii="Arial" w:hAnsi="Arial" w:cs="Arial"/>
        </w:rPr>
        <w:t>Williams, 2023</w:t>
      </w:r>
      <w:commentRangeEnd w:id="4"/>
      <w:r w:rsidRPr="00854BF2">
        <w:rPr>
          <w:rStyle w:val="CommentReference"/>
          <w:rFonts w:ascii="Arial" w:hAnsi="Arial" w:cs="Arial"/>
          <w:sz w:val="22"/>
          <w:szCs w:val="22"/>
        </w:rPr>
        <w:commentReference w:id="4"/>
      </w:r>
      <w:r w:rsidRPr="00854BF2">
        <w:rPr>
          <w:rFonts w:ascii="Arial" w:hAnsi="Arial" w:cs="Arial"/>
        </w:rPr>
        <w:t>). THRIVE stands for threat, harm, risk, vulnerability and engagement. The THRIVE model is used by police officers during the initial call to help determine the likelihood of risk while also assessing the needs of the caller, in particular, if the caller, or anyone at the scene is classed as ‘vulnerable’ (</w:t>
      </w:r>
      <w:commentRangeStart w:id="5"/>
      <w:r w:rsidRPr="00854BF2">
        <w:rPr>
          <w:rFonts w:ascii="Arial" w:hAnsi="Arial" w:cs="Arial"/>
        </w:rPr>
        <w:t>HMICFRS, 2023</w:t>
      </w:r>
      <w:commentRangeEnd w:id="5"/>
      <w:r w:rsidRPr="00854BF2">
        <w:rPr>
          <w:rStyle w:val="CommentReference"/>
          <w:rFonts w:ascii="Arial" w:hAnsi="Arial" w:cs="Arial"/>
          <w:sz w:val="22"/>
          <w:szCs w:val="22"/>
        </w:rPr>
        <w:commentReference w:id="5"/>
      </w:r>
      <w:r w:rsidRPr="00854BF2">
        <w:rPr>
          <w:rFonts w:ascii="Arial" w:hAnsi="Arial" w:cs="Arial"/>
        </w:rPr>
        <w:t xml:space="preserve">). The THRIVE model defines a person as vulnerable if </w:t>
      </w:r>
      <w:bookmarkStart w:id="6" w:name="_Hlk161065469"/>
      <w:r w:rsidRPr="00854BF2">
        <w:rPr>
          <w:rFonts w:ascii="Arial" w:hAnsi="Arial" w:cs="Arial"/>
        </w:rPr>
        <w:t>“</w:t>
      </w:r>
      <w:bookmarkStart w:id="7" w:name="_Hlk161059495"/>
      <w:r w:rsidRPr="00854BF2">
        <w:rPr>
          <w:rFonts w:ascii="Arial" w:hAnsi="Arial" w:cs="Arial"/>
        </w:rPr>
        <w:t>as a result of their situation or circumstances, they are unable to take care of or protect themselves or others from harm or exploitation</w:t>
      </w:r>
      <w:bookmarkEnd w:id="6"/>
      <w:bookmarkEnd w:id="7"/>
      <w:r w:rsidRPr="00854BF2">
        <w:rPr>
          <w:rFonts w:ascii="Arial" w:hAnsi="Arial" w:cs="Arial"/>
        </w:rPr>
        <w:t>” (</w:t>
      </w:r>
      <w:commentRangeStart w:id="8"/>
      <w:r w:rsidRPr="00854BF2">
        <w:rPr>
          <w:rFonts w:ascii="Arial" w:hAnsi="Arial" w:cs="Arial"/>
        </w:rPr>
        <w:t>College of Policing, 2021</w:t>
      </w:r>
      <w:commentRangeEnd w:id="8"/>
      <w:r w:rsidRPr="00854BF2">
        <w:rPr>
          <w:rStyle w:val="CommentReference"/>
          <w:rFonts w:ascii="Arial" w:hAnsi="Arial" w:cs="Arial"/>
          <w:sz w:val="22"/>
          <w:szCs w:val="22"/>
        </w:rPr>
        <w:commentReference w:id="8"/>
      </w:r>
      <w:r w:rsidRPr="00854BF2">
        <w:rPr>
          <w:rFonts w:ascii="Arial" w:hAnsi="Arial" w:cs="Arial"/>
        </w:rPr>
        <w:t xml:space="preserve">). The THRIVE model is something which will be discussed in further detail throughout this essay. The NHS define a vulnerable person as </w:t>
      </w:r>
      <w:bookmarkStart w:id="9" w:name="_Hlk161059662"/>
      <w:r w:rsidRPr="00854BF2">
        <w:rPr>
          <w:rFonts w:ascii="Arial" w:hAnsi="Arial" w:cs="Arial"/>
        </w:rPr>
        <w:t xml:space="preserve">any person </w:t>
      </w:r>
      <w:bookmarkStart w:id="10" w:name="_Hlk161065474"/>
      <w:r w:rsidRPr="00854BF2">
        <w:rPr>
          <w:rFonts w:ascii="Arial" w:hAnsi="Arial" w:cs="Arial"/>
        </w:rPr>
        <w:t>over 18 that is unable to take care of themselves or protect themselves from exploitation</w:t>
      </w:r>
      <w:bookmarkEnd w:id="10"/>
      <w:r w:rsidRPr="00854BF2">
        <w:rPr>
          <w:rFonts w:ascii="Arial" w:hAnsi="Arial" w:cs="Arial"/>
        </w:rPr>
        <w:t xml:space="preserve"> </w:t>
      </w:r>
      <w:bookmarkEnd w:id="9"/>
      <w:r w:rsidRPr="00854BF2">
        <w:rPr>
          <w:rFonts w:ascii="Arial" w:hAnsi="Arial" w:cs="Arial"/>
        </w:rPr>
        <w:t>(Office for Health Improvement and Disparities</w:t>
      </w:r>
      <w:commentRangeStart w:id="11"/>
      <w:r w:rsidRPr="00854BF2">
        <w:rPr>
          <w:rFonts w:ascii="Arial" w:hAnsi="Arial" w:cs="Arial"/>
        </w:rPr>
        <w:t>, 2022</w:t>
      </w:r>
      <w:commentRangeEnd w:id="11"/>
      <w:r w:rsidRPr="00854BF2">
        <w:rPr>
          <w:rStyle w:val="CommentReference"/>
          <w:rFonts w:ascii="Arial" w:hAnsi="Arial" w:cs="Arial"/>
          <w:sz w:val="22"/>
          <w:szCs w:val="22"/>
        </w:rPr>
        <w:commentReference w:id="11"/>
      </w:r>
      <w:r w:rsidRPr="00854BF2">
        <w:rPr>
          <w:rFonts w:ascii="Arial" w:hAnsi="Arial" w:cs="Arial"/>
        </w:rPr>
        <w:t>). Public Health Wales define it as “</w:t>
      </w:r>
      <w:bookmarkStart w:id="12" w:name="_Hlk161059656"/>
      <w:r w:rsidRPr="00854BF2">
        <w:rPr>
          <w:rFonts w:ascii="Arial" w:hAnsi="Arial" w:cs="Arial"/>
        </w:rPr>
        <w:t>a person who is 18 years of age or over and who is or may not be in need of community care services by reason of mental or other disability, age or illness and who is or may be unable to care for him/herself, or unable to protect him/herself against significant harm or serious exploitation</w:t>
      </w:r>
      <w:bookmarkEnd w:id="12"/>
      <w:r w:rsidRPr="00854BF2">
        <w:rPr>
          <w:rFonts w:ascii="Arial" w:hAnsi="Arial" w:cs="Arial"/>
        </w:rPr>
        <w:t>” (Safeguarding Task and Finish Group</w:t>
      </w:r>
      <w:commentRangeStart w:id="13"/>
      <w:r w:rsidRPr="00854BF2">
        <w:rPr>
          <w:rFonts w:ascii="Arial" w:hAnsi="Arial" w:cs="Arial"/>
        </w:rPr>
        <w:t>, 2011</w:t>
      </w:r>
      <w:commentRangeEnd w:id="13"/>
      <w:r w:rsidRPr="00854BF2">
        <w:rPr>
          <w:rStyle w:val="CommentReference"/>
          <w:rFonts w:ascii="Arial" w:hAnsi="Arial" w:cs="Arial"/>
          <w:sz w:val="22"/>
          <w:szCs w:val="22"/>
        </w:rPr>
        <w:commentReference w:id="13"/>
      </w:r>
      <w:r w:rsidRPr="00854BF2">
        <w:rPr>
          <w:rFonts w:ascii="Arial" w:hAnsi="Arial" w:cs="Arial"/>
        </w:rPr>
        <w:t>).</w:t>
      </w:r>
    </w:p>
    <w:p w14:paraId="3E692E27" w14:textId="77777777" w:rsidR="00854BF2" w:rsidRPr="00854BF2" w:rsidRDefault="00854BF2" w:rsidP="00854BF2">
      <w:pPr>
        <w:jc w:val="both"/>
        <w:rPr>
          <w:rFonts w:ascii="Arial" w:hAnsi="Arial" w:cs="Arial"/>
        </w:rPr>
      </w:pPr>
      <w:r w:rsidRPr="00854BF2">
        <w:rPr>
          <w:rFonts w:ascii="Arial" w:hAnsi="Arial" w:cs="Arial"/>
        </w:rPr>
        <w:t>Although these are only three definitions, they all have things in common. The first similarity that can be spotted is the NHS and Public Health Wales definition. They both state that the individual must be 18 and over, indicating it is a definition for vulnerable adults. When it comes to the THRIVE definition, it does not specify an age. The reason for this is that the police will use this definition for any vulnerable person, not just adults. A main similarity which is seen in all the definitions is that the individual is unable to care or protect themselves from harm or exploitation. Harm is defined as any physical or mental damage (</w:t>
      </w:r>
      <w:commentRangeStart w:id="14"/>
      <w:r w:rsidRPr="00854BF2">
        <w:rPr>
          <w:rFonts w:ascii="Arial" w:hAnsi="Arial" w:cs="Arial"/>
        </w:rPr>
        <w:t>Merriam-webster, n.d</w:t>
      </w:r>
      <w:commentRangeEnd w:id="14"/>
      <w:r w:rsidRPr="00854BF2">
        <w:rPr>
          <w:rStyle w:val="CommentReference"/>
          <w:rFonts w:ascii="Arial" w:hAnsi="Arial" w:cs="Arial"/>
          <w:sz w:val="22"/>
          <w:szCs w:val="22"/>
        </w:rPr>
        <w:commentReference w:id="14"/>
      </w:r>
      <w:r w:rsidRPr="00854BF2">
        <w:rPr>
          <w:rFonts w:ascii="Arial" w:hAnsi="Arial" w:cs="Arial"/>
        </w:rPr>
        <w:t>) and exploitation is defined as being “groomed, forced or coerced into doing something that you don’t want to do for someone else’s gain” (</w:t>
      </w:r>
      <w:commentRangeStart w:id="15"/>
      <w:r w:rsidRPr="00854BF2">
        <w:rPr>
          <w:rFonts w:ascii="Arial" w:hAnsi="Arial" w:cs="Arial"/>
        </w:rPr>
        <w:t>Preventing Exploitation Toolkit, n.d</w:t>
      </w:r>
      <w:commentRangeEnd w:id="15"/>
      <w:r w:rsidRPr="00854BF2">
        <w:rPr>
          <w:rStyle w:val="CommentReference"/>
          <w:rFonts w:ascii="Arial" w:hAnsi="Arial" w:cs="Arial"/>
          <w:sz w:val="22"/>
          <w:szCs w:val="22"/>
        </w:rPr>
        <w:commentReference w:id="15"/>
      </w:r>
      <w:r w:rsidRPr="00854BF2">
        <w:rPr>
          <w:rFonts w:ascii="Arial" w:hAnsi="Arial" w:cs="Arial"/>
        </w:rPr>
        <w:t xml:space="preserve">). An individual being able to protect themselves from harm and exploitation is a very important aspect in self-preservation. Not everyone has the capacity to protect themselves from harm and exploitation, whether it be mental or physical, as well as many other factors that make the individual vulnerable. </w:t>
      </w:r>
    </w:p>
    <w:p w14:paraId="641C53ED" w14:textId="77777777" w:rsidR="00854BF2" w:rsidRPr="00854BF2" w:rsidRDefault="00854BF2" w:rsidP="00854BF2">
      <w:pPr>
        <w:jc w:val="both"/>
        <w:rPr>
          <w:rFonts w:ascii="Arial" w:hAnsi="Arial" w:cs="Arial"/>
        </w:rPr>
      </w:pPr>
      <w:r w:rsidRPr="00854BF2">
        <w:rPr>
          <w:rFonts w:ascii="Arial" w:hAnsi="Arial" w:cs="Arial"/>
        </w:rPr>
        <w:t xml:space="preserve">There are many different aspects as to what can make someone vulnerable. These factors will come under two sections: intrinsic factors and extrinsic factors. Intrinsic, also known as personal factors, are individuals’ characteristics, identity or status </w:t>
      </w:r>
      <w:commentRangeStart w:id="16"/>
      <w:r w:rsidRPr="00854BF2">
        <w:rPr>
          <w:rFonts w:ascii="Arial" w:hAnsi="Arial" w:cs="Arial"/>
        </w:rPr>
        <w:t>(Innes, 2013</w:t>
      </w:r>
      <w:commentRangeEnd w:id="16"/>
      <w:r w:rsidRPr="00854BF2">
        <w:rPr>
          <w:rStyle w:val="CommentReference"/>
          <w:rFonts w:ascii="Arial" w:hAnsi="Arial" w:cs="Arial"/>
          <w:sz w:val="22"/>
          <w:szCs w:val="22"/>
        </w:rPr>
        <w:commentReference w:id="16"/>
      </w:r>
      <w:r w:rsidRPr="00854BF2">
        <w:rPr>
          <w:rFonts w:ascii="Arial" w:hAnsi="Arial" w:cs="Arial"/>
        </w:rPr>
        <w:t xml:space="preserve">). An individual’s personal factors are most likely to be permanent as they are things that the </w:t>
      </w:r>
      <w:r w:rsidRPr="00854BF2">
        <w:rPr>
          <w:rFonts w:ascii="Arial" w:hAnsi="Arial" w:cs="Arial"/>
        </w:rPr>
        <w:lastRenderedPageBreak/>
        <w:t>individual usually cannot change. Some of these factors includes age, ethnicity, gender, learning and physical disability, mental health issues, religion, sexual orientation and the lifestyle choices of the individual (</w:t>
      </w:r>
      <w:commentRangeStart w:id="17"/>
      <w:r w:rsidRPr="00854BF2">
        <w:rPr>
          <w:rFonts w:ascii="Arial" w:hAnsi="Arial" w:cs="Arial"/>
        </w:rPr>
        <w:t>Williams, 2023</w:t>
      </w:r>
      <w:commentRangeEnd w:id="17"/>
      <w:r w:rsidRPr="00854BF2">
        <w:rPr>
          <w:rStyle w:val="CommentReference"/>
          <w:rFonts w:ascii="Arial" w:hAnsi="Arial" w:cs="Arial"/>
          <w:sz w:val="22"/>
          <w:szCs w:val="22"/>
        </w:rPr>
        <w:commentReference w:id="17"/>
      </w:r>
      <w:r w:rsidRPr="00854BF2">
        <w:rPr>
          <w:rFonts w:ascii="Arial" w:hAnsi="Arial" w:cs="Arial"/>
        </w:rPr>
        <w:t xml:space="preserve">). Most of those factors are protected characteristics, which is where under the </w:t>
      </w:r>
      <w:commentRangeStart w:id="18"/>
      <w:r w:rsidRPr="00854BF2">
        <w:rPr>
          <w:rFonts w:ascii="Arial" w:hAnsi="Arial" w:cs="Arial"/>
        </w:rPr>
        <w:t>Equality Act 2010</w:t>
      </w:r>
      <w:commentRangeEnd w:id="18"/>
      <w:r w:rsidRPr="00854BF2">
        <w:rPr>
          <w:rStyle w:val="CommentReference"/>
          <w:rFonts w:ascii="Arial" w:hAnsi="Arial" w:cs="Arial"/>
          <w:sz w:val="22"/>
          <w:szCs w:val="22"/>
        </w:rPr>
        <w:commentReference w:id="18"/>
      </w:r>
      <w:r w:rsidRPr="00854BF2">
        <w:rPr>
          <w:rFonts w:ascii="Arial" w:hAnsi="Arial" w:cs="Arial"/>
        </w:rPr>
        <w:t xml:space="preserve">, it is illegal to discriminate or prejudice an individual based on their characteristics. The Act has 9 protected characteristics: age, disability, gender reassignment, marriage and civil partnership, pregnancy and maternity, race, religion and belief, sex and sexual orientation. The factors previously mentioned along with the 9 protected characteristics are not exclusively the only personal factors that an individual can have, it can be anything that the individual feels are their characteristic, identity or status. Personal factors on their </w:t>
      </w:r>
      <w:proofErr w:type="spellStart"/>
      <w:r w:rsidRPr="00854BF2">
        <w:rPr>
          <w:rFonts w:ascii="Arial" w:hAnsi="Arial" w:cs="Arial"/>
        </w:rPr>
        <w:t>on</w:t>
      </w:r>
      <w:proofErr w:type="spellEnd"/>
      <w:r w:rsidRPr="00854BF2">
        <w:rPr>
          <w:rFonts w:ascii="Arial" w:hAnsi="Arial" w:cs="Arial"/>
        </w:rPr>
        <w:t xml:space="preserve"> can make an individual vulnerable, although when mixed with the individual’s extrinsic factor, there is usually a greater risk of harm.</w:t>
      </w:r>
    </w:p>
    <w:p w14:paraId="2DCC890F" w14:textId="77777777" w:rsidR="00854BF2" w:rsidRPr="00854BF2" w:rsidRDefault="00854BF2" w:rsidP="00854BF2">
      <w:pPr>
        <w:jc w:val="both"/>
        <w:rPr>
          <w:rFonts w:ascii="Arial" w:hAnsi="Arial" w:cs="Arial"/>
        </w:rPr>
      </w:pPr>
      <w:r w:rsidRPr="00854BF2">
        <w:rPr>
          <w:rFonts w:ascii="Arial" w:hAnsi="Arial" w:cs="Arial"/>
        </w:rPr>
        <w:t xml:space="preserve">Extrinsic factors are any factors related to the environment or situation surrounding an individual. There are two types of extrinsic factors: situational and incidental. Situational factors include those where the likelihood of harm is increased because of where the crime took place, for example, deprived areas or high crime areas. Incidental factors include those where the crime is likely to cause the individual harmful effects, for example, if they believe they are being personally targeted (Innes and Innes, 2013). There are thousands of extrinsic factors that can affect vulnerable people. Some extrinsic factors include adverse cultural influences, grooming, lack of support, poverty and the presence of an abuser (Williams, 2023). One main factor that is commonly seen in vulnerable people is that of adverse childhood experiences (ACE). </w:t>
      </w:r>
    </w:p>
    <w:p w14:paraId="1AB2D5C0" w14:textId="77777777" w:rsidR="00854BF2" w:rsidRPr="00854BF2" w:rsidRDefault="00854BF2" w:rsidP="00854BF2">
      <w:pPr>
        <w:jc w:val="both"/>
        <w:rPr>
          <w:rFonts w:ascii="Arial" w:hAnsi="Arial" w:cs="Arial"/>
        </w:rPr>
      </w:pPr>
      <w:r w:rsidRPr="00854BF2">
        <w:rPr>
          <w:rFonts w:ascii="Arial" w:hAnsi="Arial" w:cs="Arial"/>
        </w:rPr>
        <w:t>ACEs are traumatic events which can occur at any stage of childhood through to adulthood which could have negative and long-lasting effects on the individual’s health and well-being (</w:t>
      </w:r>
      <w:commentRangeStart w:id="19"/>
      <w:r w:rsidRPr="00854BF2">
        <w:rPr>
          <w:rFonts w:ascii="Arial" w:hAnsi="Arial" w:cs="Arial"/>
        </w:rPr>
        <w:t>O’Neil, 2021</w:t>
      </w:r>
      <w:commentRangeEnd w:id="19"/>
      <w:r w:rsidRPr="00854BF2">
        <w:rPr>
          <w:rStyle w:val="CommentReference"/>
          <w:rFonts w:ascii="Arial" w:hAnsi="Arial" w:cs="Arial"/>
          <w:sz w:val="22"/>
          <w:szCs w:val="22"/>
        </w:rPr>
        <w:commentReference w:id="19"/>
      </w:r>
      <w:r w:rsidRPr="00854BF2">
        <w:rPr>
          <w:rFonts w:ascii="Arial" w:hAnsi="Arial" w:cs="Arial"/>
        </w:rPr>
        <w:t>). There are three overarching types of ACE, depending on the type of trauma and 10 categories spread out throughout the three. The first type is abuse, with their being three categories of physical abuse, emotional abuse and sexual abuse. The second type is neglect, which covers the physical neglect and emotional neglect categories. The final type is household dysfunction, where there are five categories of ACE: mental illness, incarcerated relative, mother treated violently, substance abuse and divorce (</w:t>
      </w:r>
      <w:commentRangeStart w:id="20"/>
      <w:r w:rsidRPr="00854BF2">
        <w:rPr>
          <w:rFonts w:ascii="Arial" w:hAnsi="Arial" w:cs="Arial"/>
        </w:rPr>
        <w:t>Centre for Disease Control and Prevention, 2021</w:t>
      </w:r>
      <w:commentRangeEnd w:id="20"/>
      <w:r w:rsidRPr="00854BF2">
        <w:rPr>
          <w:rStyle w:val="CommentReference"/>
          <w:rFonts w:ascii="Arial" w:hAnsi="Arial" w:cs="Arial"/>
          <w:sz w:val="22"/>
          <w:szCs w:val="22"/>
        </w:rPr>
        <w:commentReference w:id="20"/>
      </w:r>
      <w:r w:rsidRPr="00854BF2">
        <w:rPr>
          <w:rFonts w:ascii="Arial" w:hAnsi="Arial" w:cs="Arial"/>
        </w:rPr>
        <w:t xml:space="preserve">). A study carried out </w:t>
      </w:r>
      <w:commentRangeStart w:id="21"/>
      <w:r w:rsidRPr="00854BF2">
        <w:rPr>
          <w:rFonts w:ascii="Arial" w:hAnsi="Arial" w:cs="Arial"/>
        </w:rPr>
        <w:t>Felitti et al  in 1998</w:t>
      </w:r>
      <w:commentRangeEnd w:id="21"/>
      <w:r w:rsidRPr="00854BF2">
        <w:rPr>
          <w:rStyle w:val="CommentReference"/>
          <w:rFonts w:ascii="Arial" w:hAnsi="Arial" w:cs="Arial"/>
          <w:sz w:val="22"/>
          <w:szCs w:val="22"/>
        </w:rPr>
        <w:commentReference w:id="21"/>
      </w:r>
      <w:r w:rsidRPr="00854BF2">
        <w:rPr>
          <w:rFonts w:ascii="Arial" w:hAnsi="Arial" w:cs="Arial"/>
        </w:rPr>
        <w:t xml:space="preserve"> in San Diego found that out of  9,508 eligible participants, 52% of them had experienced 1 category of ACE whereas 6.2% reported more than 4 exposures to different categories. Based on their results, they concluded that individuals who experienced more than 4 ACE exposures had a higher amount of health risks compared to individuals who had experienced no ACE. Although this study does not link to vulnerability, it does go to show that ACE do have impacts later on in life, and in the case of vulnerable people, this could be the cause of their intrinsic factors, which in turn, makes them vulnerable. A persons ACEs could be hindered by adverse community environments. This could hinder the individual’s development alongside the ACE as well as potentially take them down the wrong life path. Examples of adverse community environments include areas of poverty, poor housing conditions and lack of work opportunities (Williams, 2023).</w:t>
      </w:r>
    </w:p>
    <w:p w14:paraId="59BEDD4C" w14:textId="77777777" w:rsidR="00854BF2" w:rsidRPr="00854BF2" w:rsidRDefault="00854BF2" w:rsidP="00854BF2">
      <w:pPr>
        <w:jc w:val="both"/>
        <w:rPr>
          <w:rFonts w:ascii="Arial" w:hAnsi="Arial" w:cs="Arial"/>
        </w:rPr>
      </w:pPr>
      <w:r w:rsidRPr="00854BF2">
        <w:rPr>
          <w:rFonts w:ascii="Arial" w:hAnsi="Arial" w:cs="Arial"/>
        </w:rPr>
        <w:t xml:space="preserve">Children can be vulnerable, even if they haven’t experienced ACEs. Under </w:t>
      </w:r>
      <w:commentRangeStart w:id="22"/>
      <w:r w:rsidRPr="00854BF2">
        <w:rPr>
          <w:rFonts w:ascii="Arial" w:hAnsi="Arial" w:cs="Arial"/>
        </w:rPr>
        <w:t>Section 105 of the Children’s Act 1989</w:t>
      </w:r>
      <w:commentRangeEnd w:id="22"/>
      <w:r w:rsidRPr="00854BF2">
        <w:rPr>
          <w:rStyle w:val="CommentReference"/>
          <w:rFonts w:ascii="Arial" w:hAnsi="Arial" w:cs="Arial"/>
          <w:sz w:val="22"/>
          <w:szCs w:val="22"/>
        </w:rPr>
        <w:commentReference w:id="22"/>
      </w:r>
      <w:r w:rsidRPr="00854BF2">
        <w:rPr>
          <w:rFonts w:ascii="Arial" w:hAnsi="Arial" w:cs="Arial"/>
        </w:rPr>
        <w:t>, a child is defined as a person under the age of 18. Based on the definitions of a vulnerable person at the start of this essay, only the police’s definition covered a child. Like vulnerable adults, there is no legal definition for a vulnerable child</w:t>
      </w:r>
      <w:commentRangeStart w:id="23"/>
      <w:r w:rsidRPr="00854BF2">
        <w:rPr>
          <w:rFonts w:ascii="Arial" w:hAnsi="Arial" w:cs="Arial"/>
        </w:rPr>
        <w:t xml:space="preserve">. Public Health England in 2020 </w:t>
      </w:r>
      <w:commentRangeEnd w:id="23"/>
      <w:r w:rsidRPr="00854BF2">
        <w:rPr>
          <w:rStyle w:val="CommentReference"/>
          <w:rFonts w:ascii="Arial" w:hAnsi="Arial" w:cs="Arial"/>
          <w:sz w:val="22"/>
          <w:szCs w:val="22"/>
        </w:rPr>
        <w:commentReference w:id="23"/>
      </w:r>
      <w:r w:rsidRPr="00854BF2">
        <w:rPr>
          <w:rFonts w:ascii="Arial" w:hAnsi="Arial" w:cs="Arial"/>
        </w:rPr>
        <w:t xml:space="preserve">state that a child can be vulnerable to risk of harm as well as poor outcomes because of several different factors: the child’s physical, emotional, health and educational needs as well as the capability of the child’s carers, the absence of supportive relationships in the child’s life, taking into consideration the wider community area as well as if they have experienced or at risk of experiencing an ACE. Based on these factors, Public Health England </w:t>
      </w:r>
      <w:r w:rsidRPr="00854BF2">
        <w:rPr>
          <w:rFonts w:ascii="Arial" w:hAnsi="Arial" w:cs="Arial"/>
        </w:rPr>
        <w:lastRenderedPageBreak/>
        <w:t>(2020) define vulnerable children as “any children at greater risk of experiencing physical or emotional harm and/or experiencing poor outcomes because of one or more factors in their lives”.</w:t>
      </w:r>
    </w:p>
    <w:p w14:paraId="0A3C8F72" w14:textId="77777777" w:rsidR="00854BF2" w:rsidRPr="00854BF2" w:rsidRDefault="00854BF2" w:rsidP="00854BF2">
      <w:pPr>
        <w:jc w:val="both"/>
        <w:rPr>
          <w:rFonts w:ascii="Arial" w:hAnsi="Arial" w:cs="Arial"/>
        </w:rPr>
      </w:pPr>
      <w:r w:rsidRPr="00854BF2">
        <w:rPr>
          <w:rFonts w:ascii="Arial" w:hAnsi="Arial" w:cs="Arial"/>
        </w:rPr>
        <w:t xml:space="preserve">Police must treat cases of vulnerable children different to vulnerable adults. The police have a statutory obligation to safeguard children under </w:t>
      </w:r>
      <w:commentRangeStart w:id="24"/>
      <w:commentRangeStart w:id="25"/>
      <w:r w:rsidRPr="00854BF2">
        <w:rPr>
          <w:rFonts w:ascii="Arial" w:hAnsi="Arial" w:cs="Arial"/>
        </w:rPr>
        <w:t>Section 11 of the Children Act 2004</w:t>
      </w:r>
      <w:commentRangeEnd w:id="24"/>
      <w:r w:rsidRPr="00854BF2">
        <w:rPr>
          <w:rStyle w:val="CommentReference"/>
          <w:rFonts w:ascii="Arial" w:hAnsi="Arial" w:cs="Arial"/>
          <w:sz w:val="22"/>
          <w:szCs w:val="22"/>
        </w:rPr>
        <w:commentReference w:id="24"/>
      </w:r>
      <w:commentRangeEnd w:id="25"/>
      <w:r w:rsidRPr="00854BF2">
        <w:rPr>
          <w:rStyle w:val="CommentReference"/>
          <w:rFonts w:ascii="Arial" w:hAnsi="Arial" w:cs="Arial"/>
          <w:sz w:val="22"/>
          <w:szCs w:val="22"/>
        </w:rPr>
        <w:commentReference w:id="25"/>
      </w:r>
      <w:r w:rsidRPr="00854BF2">
        <w:rPr>
          <w:rFonts w:ascii="Arial" w:hAnsi="Arial" w:cs="Arial"/>
        </w:rPr>
        <w:t xml:space="preserve">. Under Section 47 of the Children Act 1989, it states that if officers have a suspicion that a child is suffering, or might be likely to suffer, any significant harm, then the local authority must make enquiries so they can then decide whether any action should be taken to protect the welfare of the child (College of Policing, n.d). Because they are dealing with children, the police need to work with other agencies to ensure they get what is best for the child. Any information to police has on children who are suffering or the individuals who cause the harm must be passed to other agencies. This is known as a multi-agency approach. This is not only used in cases of vulnerable children, but also vulnerable adults as well as other areas of policing. Within local levels of policing, the police will be a partner in a local safeguarding children’s board (LSCB) which was set out under the Children Act 2004. The LSCB will also include local authorities, health organisations and social services amongst others with the aim to co-ordinate member agencies in protecting and promoting the welfare of children </w:t>
      </w:r>
      <w:commentRangeStart w:id="26"/>
      <w:r w:rsidRPr="00854BF2">
        <w:rPr>
          <w:rFonts w:ascii="Arial" w:hAnsi="Arial" w:cs="Arial"/>
        </w:rPr>
        <w:t>(Home Office, 2016</w:t>
      </w:r>
      <w:commentRangeEnd w:id="26"/>
      <w:r w:rsidRPr="00854BF2">
        <w:rPr>
          <w:rStyle w:val="CommentReference"/>
          <w:rFonts w:ascii="Arial" w:hAnsi="Arial" w:cs="Arial"/>
          <w:sz w:val="22"/>
          <w:szCs w:val="22"/>
        </w:rPr>
        <w:commentReference w:id="26"/>
      </w:r>
      <w:r w:rsidRPr="00854BF2">
        <w:rPr>
          <w:rFonts w:ascii="Arial" w:hAnsi="Arial" w:cs="Arial"/>
        </w:rPr>
        <w:t>).</w:t>
      </w:r>
    </w:p>
    <w:p w14:paraId="5057ABEE" w14:textId="77777777" w:rsidR="00854BF2" w:rsidRPr="00854BF2" w:rsidRDefault="00854BF2" w:rsidP="00854BF2">
      <w:pPr>
        <w:jc w:val="both"/>
        <w:rPr>
          <w:rFonts w:ascii="Arial" w:hAnsi="Arial" w:cs="Arial"/>
        </w:rPr>
      </w:pPr>
      <w:r w:rsidRPr="00854BF2">
        <w:rPr>
          <w:rFonts w:ascii="Arial" w:hAnsi="Arial" w:cs="Arial"/>
        </w:rPr>
        <w:t>If a vulnerable child gets in trouble with the law, there are certain procedures that the police must follow. Under the United Nations Convention on the Rights of the Child (UNCRC), children are classed as a protected group with specific vulnerabilities. Because of that, they need to be treated a certain way to reduce discrimination and prejudice. Upon arrest and detention, officers must carry out risk assessments to ensure they are aware of not only the general factors which pose a risk to their safety, but also any individual and specific risk factors, such as in the case of vulnerable children.  Officers must take into account any physical or mental health problems as well as any medication needed. The reason for this is not only for the child’s sake, but also for others, especially if the child could suggest they are a risk to others (</w:t>
      </w:r>
      <w:commentRangeStart w:id="27"/>
      <w:r w:rsidRPr="00854BF2">
        <w:rPr>
          <w:rFonts w:ascii="Arial" w:hAnsi="Arial" w:cs="Arial"/>
        </w:rPr>
        <w:t>College of Policing, 2023</w:t>
      </w:r>
      <w:commentRangeEnd w:id="27"/>
      <w:r w:rsidRPr="00854BF2">
        <w:rPr>
          <w:rStyle w:val="CommentReference"/>
          <w:rFonts w:ascii="Arial" w:hAnsi="Arial" w:cs="Arial"/>
          <w:sz w:val="22"/>
          <w:szCs w:val="22"/>
        </w:rPr>
        <w:commentReference w:id="27"/>
      </w:r>
      <w:r w:rsidRPr="00854BF2">
        <w:rPr>
          <w:rFonts w:ascii="Arial" w:hAnsi="Arial" w:cs="Arial"/>
        </w:rPr>
        <w:t xml:space="preserve">). </w:t>
      </w:r>
    </w:p>
    <w:p w14:paraId="4E6BA70C" w14:textId="77777777" w:rsidR="00854BF2" w:rsidRPr="00854BF2" w:rsidRDefault="00854BF2" w:rsidP="00854BF2">
      <w:pPr>
        <w:jc w:val="both"/>
        <w:rPr>
          <w:rFonts w:ascii="Arial" w:hAnsi="Arial" w:cs="Arial"/>
        </w:rPr>
      </w:pPr>
      <w:r w:rsidRPr="00854BF2">
        <w:rPr>
          <w:rFonts w:ascii="Arial" w:hAnsi="Arial" w:cs="Arial"/>
        </w:rPr>
        <w:t>To help aid both police investigation and the child, an appropriate adult must be used. An appropriate adult is an individual who is aged 18 or over and supports children and vulnerable adults that are detained in the police station or being interviewed by the police (</w:t>
      </w:r>
      <w:commentRangeStart w:id="28"/>
      <w:r w:rsidRPr="00854BF2">
        <w:rPr>
          <w:rFonts w:ascii="Arial" w:hAnsi="Arial" w:cs="Arial"/>
        </w:rPr>
        <w:t>Youth Justice Legal Centre, n.d)</w:t>
      </w:r>
      <w:commentRangeEnd w:id="28"/>
      <w:r w:rsidRPr="00854BF2">
        <w:rPr>
          <w:rStyle w:val="CommentReference"/>
          <w:rFonts w:ascii="Arial" w:hAnsi="Arial" w:cs="Arial"/>
          <w:sz w:val="22"/>
          <w:szCs w:val="22"/>
        </w:rPr>
        <w:commentReference w:id="28"/>
      </w:r>
      <w:r w:rsidRPr="00854BF2">
        <w:rPr>
          <w:rFonts w:ascii="Arial" w:hAnsi="Arial" w:cs="Arial"/>
        </w:rPr>
        <w:t>. The definition in recent years has been broadened to include any suspect who, because of mental health condition or mental disorder, among other illnesses, have difficulty in understanding the full implications for themselves in relation to their arrest, interviewing or detainment. It also includes if the individual is prone to becoming confused or unclear about their situation (</w:t>
      </w:r>
      <w:commentRangeStart w:id="29"/>
      <w:r w:rsidRPr="00854BF2">
        <w:rPr>
          <w:rFonts w:ascii="Arial" w:hAnsi="Arial" w:cs="Arial"/>
        </w:rPr>
        <w:t>Bryant, 2021</w:t>
      </w:r>
      <w:commentRangeEnd w:id="29"/>
      <w:r w:rsidRPr="00854BF2">
        <w:rPr>
          <w:rStyle w:val="CommentReference"/>
          <w:rFonts w:ascii="Arial" w:hAnsi="Arial" w:cs="Arial"/>
          <w:sz w:val="22"/>
          <w:szCs w:val="22"/>
        </w:rPr>
        <w:commentReference w:id="29"/>
      </w:r>
      <w:r w:rsidRPr="00854BF2">
        <w:rPr>
          <w:rFonts w:ascii="Arial" w:hAnsi="Arial" w:cs="Arial"/>
        </w:rPr>
        <w:t>). Appropriate adults must ensure that the child or vulnerable adult understand what is being told to them and to ensure they are being treated fairly. It is not their job to provide legal advice. It is the responsibility of the local Youth Offending Team to provide appropriate adults to children and vulnerable adults</w:t>
      </w:r>
      <w:commentRangeStart w:id="30"/>
      <w:r w:rsidRPr="00854BF2">
        <w:rPr>
          <w:rFonts w:ascii="Arial" w:hAnsi="Arial" w:cs="Arial"/>
        </w:rPr>
        <w:t>. Under Police and Criminal Evidence Act Code C Notes for Guidance I</w:t>
      </w:r>
      <w:commentRangeEnd w:id="30"/>
      <w:r w:rsidRPr="00854BF2">
        <w:rPr>
          <w:rStyle w:val="CommentReference"/>
          <w:rFonts w:ascii="Arial" w:hAnsi="Arial" w:cs="Arial"/>
          <w:sz w:val="22"/>
          <w:szCs w:val="22"/>
        </w:rPr>
        <w:commentReference w:id="30"/>
      </w:r>
      <w:r w:rsidRPr="00854BF2">
        <w:rPr>
          <w:rFonts w:ascii="Arial" w:hAnsi="Arial" w:cs="Arial"/>
        </w:rPr>
        <w:t>D, it states that in the cases of mentally disordered or are otherwise mentally vulnerable, it is advised that an appropriate adult with experience or training in the conditions to be used. It also states that the detainee can elect to use a relative instead of an appointed appropriate adult. This ensures that the vulnerable child gets treated fairly and receives the best support. This is also the case in vulnerable adult cases. Their role stays the same as well as the guidance to use someone trained in the mental defect. Although a vulnerable adult receives the same support during the interview process, they are treated differently in other aspects of policing.</w:t>
      </w:r>
    </w:p>
    <w:p w14:paraId="12F44C2E" w14:textId="77777777" w:rsidR="00854BF2" w:rsidRPr="00854BF2" w:rsidRDefault="00854BF2" w:rsidP="00854BF2">
      <w:pPr>
        <w:jc w:val="both"/>
        <w:rPr>
          <w:rFonts w:ascii="Arial" w:hAnsi="Arial" w:cs="Arial"/>
        </w:rPr>
      </w:pPr>
      <w:r w:rsidRPr="00854BF2">
        <w:rPr>
          <w:rFonts w:ascii="Arial" w:hAnsi="Arial" w:cs="Arial"/>
        </w:rPr>
        <w:lastRenderedPageBreak/>
        <w:t>At the beginning of this essay, the THRIVE model was briefly discussed was now it will be looked at in more detail. The THRIVE model has 4 steps that need to be applied. The first is to identify the individuals’ vulnerabilities, followed by understanding how the vulnerabilities interact with their current situation which then allows call handlers to see the likelihood of harm or risk of harm. The final step is to take appropriate and proportionate action is it is required, which may involve using partner agencies (</w:t>
      </w:r>
      <w:commentRangeStart w:id="31"/>
      <w:r w:rsidRPr="00854BF2">
        <w:rPr>
          <w:rFonts w:ascii="Arial" w:hAnsi="Arial" w:cs="Arial"/>
        </w:rPr>
        <w:t>College of Policing, n.d</w:t>
      </w:r>
      <w:commentRangeEnd w:id="31"/>
      <w:r w:rsidRPr="00854BF2">
        <w:rPr>
          <w:rStyle w:val="CommentReference"/>
          <w:rFonts w:ascii="Arial" w:hAnsi="Arial" w:cs="Arial"/>
          <w:sz w:val="22"/>
          <w:szCs w:val="22"/>
        </w:rPr>
        <w:commentReference w:id="31"/>
      </w:r>
      <w:r w:rsidRPr="00854BF2">
        <w:rPr>
          <w:rFonts w:ascii="Arial" w:hAnsi="Arial" w:cs="Arial"/>
        </w:rPr>
        <w:t>). The THRIVE model works alongside the Code of Ethics and the National Decision Model to ensure all decisions made through the THRIVE model are up to standards of the police and that the decision is made correctly (</w:t>
      </w:r>
      <w:commentRangeStart w:id="32"/>
      <w:r w:rsidRPr="00854BF2">
        <w:rPr>
          <w:rFonts w:ascii="Arial" w:hAnsi="Arial" w:cs="Arial"/>
        </w:rPr>
        <w:t>West Midlands Police, 2022</w:t>
      </w:r>
      <w:commentRangeEnd w:id="32"/>
      <w:r w:rsidRPr="00854BF2">
        <w:rPr>
          <w:rStyle w:val="CommentReference"/>
          <w:rFonts w:ascii="Arial" w:hAnsi="Arial" w:cs="Arial"/>
          <w:sz w:val="22"/>
          <w:szCs w:val="22"/>
        </w:rPr>
        <w:commentReference w:id="32"/>
      </w:r>
      <w:r w:rsidRPr="00854BF2">
        <w:rPr>
          <w:rFonts w:ascii="Arial" w:hAnsi="Arial" w:cs="Arial"/>
        </w:rPr>
        <w:t xml:space="preserve">). The College of Policing (n.d) does bring to light that it has started to see officers become reliant on the THRIVE model checklist of what to ask. The website explains without professional judgement, the model will not work on its own and vulnerable adults could be missed. This was the case of Fiona Pilkington. </w:t>
      </w:r>
    </w:p>
    <w:p w14:paraId="411B4BDD" w14:textId="77777777" w:rsidR="00854BF2" w:rsidRPr="00854BF2" w:rsidRDefault="00854BF2" w:rsidP="00854BF2">
      <w:pPr>
        <w:jc w:val="both"/>
        <w:rPr>
          <w:rFonts w:ascii="Arial" w:hAnsi="Arial" w:cs="Arial"/>
        </w:rPr>
      </w:pPr>
      <w:r w:rsidRPr="00854BF2">
        <w:rPr>
          <w:rFonts w:ascii="Arial" w:hAnsi="Arial" w:cs="Arial"/>
        </w:rPr>
        <w:t>In October 2007, Fiona Pilkington and her disabled daughter, Francecca Hardwick, died after Fiona set fire to their car after a failing by police to help with incessant anti-social behaviour (ASB). Between November 1997 and October 2007, Fiona reported at least 33 incidents of ASB towards her and her property (Hussain, 2011). Francecca was an 18-year-old woman who had an undiagnosed learning difficulty, which left her with the mental age of a young child (</w:t>
      </w:r>
      <w:commentRangeStart w:id="33"/>
      <w:r w:rsidRPr="00854BF2">
        <w:rPr>
          <w:rFonts w:ascii="Arial" w:hAnsi="Arial" w:cs="Arial"/>
        </w:rPr>
        <w:t>Guardian</w:t>
      </w:r>
      <w:commentRangeEnd w:id="33"/>
      <w:r w:rsidRPr="00854BF2">
        <w:rPr>
          <w:rStyle w:val="CommentReference"/>
          <w:rFonts w:ascii="Arial" w:hAnsi="Arial" w:cs="Arial"/>
          <w:sz w:val="22"/>
          <w:szCs w:val="22"/>
        </w:rPr>
        <w:commentReference w:id="33"/>
      </w:r>
      <w:r w:rsidRPr="00854BF2">
        <w:rPr>
          <w:rFonts w:ascii="Arial" w:hAnsi="Arial" w:cs="Arial"/>
        </w:rPr>
        <w:t xml:space="preserve">). Francecca was receiving support from Leicestershire Social Services and was in the process of changing from children’s services to adult services as she was due to leave school in July 2008 </w:t>
      </w:r>
      <w:commentRangeStart w:id="34"/>
      <w:r w:rsidRPr="00854BF2">
        <w:rPr>
          <w:rFonts w:ascii="Arial" w:hAnsi="Arial" w:cs="Arial"/>
        </w:rPr>
        <w:t>(IPCC, 2009</w:t>
      </w:r>
      <w:commentRangeEnd w:id="34"/>
      <w:r w:rsidRPr="00854BF2">
        <w:rPr>
          <w:rStyle w:val="CommentReference"/>
          <w:rFonts w:ascii="Arial" w:hAnsi="Arial" w:cs="Arial"/>
          <w:sz w:val="22"/>
          <w:szCs w:val="22"/>
        </w:rPr>
        <w:commentReference w:id="34"/>
      </w:r>
      <w:r w:rsidRPr="00854BF2">
        <w:rPr>
          <w:rFonts w:ascii="Arial" w:hAnsi="Arial" w:cs="Arial"/>
        </w:rPr>
        <w:t>). This is important to note, as there was a lack of communication between Leicestershire Police and the social services, despite actively being involved with Francecca. No referrals were made to social services in 2007, despite Fiona reporting 13 incidents of ASB (Samuel, 2009). The Police, along with social services, failed to consider the Pilkington family as vulnerable, despite both Francecca and Fiona’s son being severely disabled. Despite the number of ASB incidents that Fiona reported, the police failed to look at the previous reports, instead dealing with each report separately. It was because of this that the police failed to see that the family were repeat victims and were being targeted by individuals. Just from this itself should have indicated they were vulnerable. Another consequence of not looking at the whole picture, the police also failed to identify that the separate ASB incidents were actually a much hate crime incidents, discriminating against the Pilkington because of Fiona’s children’s disability (</w:t>
      </w:r>
      <w:commentRangeStart w:id="35"/>
      <w:r w:rsidRPr="00854BF2">
        <w:rPr>
          <w:rFonts w:ascii="Arial" w:hAnsi="Arial" w:cs="Arial"/>
        </w:rPr>
        <w:t>Hussain, 2011</w:t>
      </w:r>
      <w:commentRangeEnd w:id="35"/>
      <w:r w:rsidRPr="00854BF2">
        <w:rPr>
          <w:rStyle w:val="CommentReference"/>
          <w:rFonts w:ascii="Arial" w:hAnsi="Arial" w:cs="Arial"/>
          <w:sz w:val="22"/>
          <w:szCs w:val="22"/>
        </w:rPr>
        <w:commentReference w:id="35"/>
      </w:r>
      <w:r w:rsidRPr="00854BF2">
        <w:rPr>
          <w:rFonts w:ascii="Arial" w:hAnsi="Arial" w:cs="Arial"/>
        </w:rPr>
        <w:t xml:space="preserve">). This is a case which had an extreme and unfortunate ending, with Fiona feeling that she had </w:t>
      </w:r>
      <w:proofErr w:type="spellStart"/>
      <w:r w:rsidRPr="00854BF2">
        <w:rPr>
          <w:rFonts w:ascii="Arial" w:hAnsi="Arial" w:cs="Arial"/>
        </w:rPr>
        <w:t>no where</w:t>
      </w:r>
      <w:proofErr w:type="spellEnd"/>
      <w:r w:rsidRPr="00854BF2">
        <w:rPr>
          <w:rFonts w:ascii="Arial" w:hAnsi="Arial" w:cs="Arial"/>
        </w:rPr>
        <w:t xml:space="preserve"> else to turn as her multiple attempts to help were ignored not only by police, but also by social services and her local MP. </w:t>
      </w:r>
    </w:p>
    <w:p w14:paraId="4F3A3E3E" w14:textId="223A80AA" w:rsidR="00854BF2" w:rsidRPr="00854BF2" w:rsidRDefault="00854BF2" w:rsidP="00854BF2">
      <w:pPr>
        <w:jc w:val="both"/>
        <w:rPr>
          <w:rFonts w:ascii="Arial" w:hAnsi="Arial" w:cs="Arial"/>
        </w:rPr>
      </w:pPr>
      <w:r w:rsidRPr="00854BF2">
        <w:rPr>
          <w:rFonts w:ascii="Arial" w:hAnsi="Arial" w:cs="Arial"/>
        </w:rPr>
        <w:t>Like with cases of vulnerable children, a multi-agency approach is also used in cases of vulnerable adults. In the case of Fiona Pilkington, the multi-agency approach failed horrible, with not only the police failing in their job, but also social services among other agencies. The police have an important role to play not only in identifying vulnerable people, but supporting and safeguarding them. The Care Act 2014 provides the police with a statutory framework for working in partnership when there are cases that have at risk adults which need support. Section 43 of the Care Act requires every local authority in England and Wales to create a Safeguarding Adults Board (SAB). Similar to a LSCB, a SAB work together to help protect adults from abuse and neglect. They do this by co-ordinating and reviewing a multi-agency approach that all partners participate in (</w:t>
      </w:r>
      <w:r>
        <w:rPr>
          <w:rFonts w:ascii="Arial" w:hAnsi="Arial" w:cs="Arial"/>
        </w:rPr>
        <w:t>Social Services and Wellbeing Act 2014)</w:t>
      </w:r>
      <w:r w:rsidRPr="00854BF2">
        <w:rPr>
          <w:rFonts w:ascii="Arial" w:hAnsi="Arial" w:cs="Arial"/>
        </w:rPr>
        <w:t>. A responsibility for a SAB is to carry out Safeguarding Adults Review (SAR). These are reviews conducted with individuals with the goal of seeing what relevant agencies could have done differently that would either prevent harm or a death taking place (</w:t>
      </w:r>
      <w:commentRangeStart w:id="36"/>
      <w:r w:rsidRPr="00854BF2">
        <w:rPr>
          <w:rFonts w:ascii="Arial" w:hAnsi="Arial" w:cs="Arial"/>
        </w:rPr>
        <w:t>Newham London, n.d</w:t>
      </w:r>
      <w:commentRangeEnd w:id="36"/>
      <w:r w:rsidRPr="00854BF2">
        <w:rPr>
          <w:rStyle w:val="CommentReference"/>
          <w:rFonts w:ascii="Arial" w:hAnsi="Arial" w:cs="Arial"/>
          <w:sz w:val="22"/>
          <w:szCs w:val="22"/>
        </w:rPr>
        <w:commentReference w:id="36"/>
      </w:r>
      <w:r w:rsidRPr="00854BF2">
        <w:rPr>
          <w:rFonts w:ascii="Arial" w:hAnsi="Arial" w:cs="Arial"/>
        </w:rPr>
        <w:t>). A benefit of SABs conducting SARs provides agencies feedback, both positive and critical, on how they can better their support for vulnerable people (</w:t>
      </w:r>
      <w:commentRangeStart w:id="37"/>
      <w:r w:rsidRPr="00854BF2">
        <w:rPr>
          <w:rFonts w:ascii="Arial" w:hAnsi="Arial" w:cs="Arial"/>
        </w:rPr>
        <w:t>Plymouth.gov.uk, n.d</w:t>
      </w:r>
      <w:commentRangeEnd w:id="37"/>
      <w:r w:rsidRPr="00854BF2">
        <w:rPr>
          <w:rStyle w:val="CommentReference"/>
          <w:rFonts w:ascii="Arial" w:hAnsi="Arial" w:cs="Arial"/>
          <w:sz w:val="22"/>
          <w:szCs w:val="22"/>
        </w:rPr>
        <w:commentReference w:id="37"/>
      </w:r>
      <w:r w:rsidRPr="00854BF2">
        <w:rPr>
          <w:rFonts w:ascii="Arial" w:hAnsi="Arial" w:cs="Arial"/>
        </w:rPr>
        <w:t xml:space="preserve">). </w:t>
      </w:r>
    </w:p>
    <w:p w14:paraId="0872AC04" w14:textId="77777777" w:rsidR="00854BF2" w:rsidRPr="00854BF2" w:rsidRDefault="00854BF2" w:rsidP="00854BF2">
      <w:pPr>
        <w:jc w:val="both"/>
        <w:rPr>
          <w:rFonts w:ascii="Arial" w:hAnsi="Arial" w:cs="Arial"/>
        </w:rPr>
      </w:pPr>
      <w:r w:rsidRPr="00854BF2">
        <w:rPr>
          <w:rFonts w:ascii="Arial" w:hAnsi="Arial" w:cs="Arial"/>
        </w:rPr>
        <w:lastRenderedPageBreak/>
        <w:t xml:space="preserve">In training, officers are taught how to handle and deal with vulnerable people although sometimes extra training is needed. Because of this, the </w:t>
      </w:r>
      <w:commentRangeStart w:id="38"/>
      <w:r w:rsidRPr="00854BF2">
        <w:rPr>
          <w:rFonts w:ascii="Arial" w:hAnsi="Arial" w:cs="Arial"/>
        </w:rPr>
        <w:t>College of Policing (n.d</w:t>
      </w:r>
      <w:commentRangeEnd w:id="38"/>
      <w:r w:rsidRPr="00854BF2">
        <w:rPr>
          <w:rStyle w:val="CommentReference"/>
          <w:rFonts w:ascii="Arial" w:hAnsi="Arial" w:cs="Arial"/>
          <w:sz w:val="22"/>
          <w:szCs w:val="22"/>
        </w:rPr>
        <w:commentReference w:id="38"/>
      </w:r>
      <w:r w:rsidRPr="00854BF2">
        <w:rPr>
          <w:rFonts w:ascii="Arial" w:hAnsi="Arial" w:cs="Arial"/>
        </w:rPr>
        <w:t xml:space="preserve">) have created extra courses, such as one-day vulnerability training packages to help frontline officers look beyond the obvious and to use their professional curiosity when dealing with vulnerable people. </w:t>
      </w:r>
    </w:p>
    <w:p w14:paraId="323DC09D" w14:textId="77777777" w:rsidR="00854BF2" w:rsidRPr="00854BF2" w:rsidRDefault="00854BF2" w:rsidP="00854BF2">
      <w:pPr>
        <w:jc w:val="both"/>
        <w:rPr>
          <w:rFonts w:ascii="Arial" w:hAnsi="Arial" w:cs="Arial"/>
        </w:rPr>
      </w:pPr>
      <w:r w:rsidRPr="00854BF2">
        <w:rPr>
          <w:rFonts w:ascii="Arial" w:hAnsi="Arial" w:cs="Arial"/>
        </w:rPr>
        <w:t>The Home Office estimates that 20% of the cases that the police deal with is related to vulnerable people (</w:t>
      </w:r>
      <w:commentRangeStart w:id="39"/>
      <w:r w:rsidRPr="00854BF2">
        <w:rPr>
          <w:rFonts w:ascii="Arial" w:hAnsi="Arial" w:cs="Arial"/>
        </w:rPr>
        <w:t>A London Councils Meeting briefing, 2013</w:t>
      </w:r>
      <w:commentRangeEnd w:id="39"/>
      <w:r w:rsidRPr="00854BF2">
        <w:rPr>
          <w:rStyle w:val="CommentReference"/>
          <w:rFonts w:ascii="Arial" w:hAnsi="Arial" w:cs="Arial"/>
          <w:sz w:val="22"/>
          <w:szCs w:val="22"/>
        </w:rPr>
        <w:commentReference w:id="39"/>
      </w:r>
      <w:r w:rsidRPr="00854BF2">
        <w:rPr>
          <w:rFonts w:ascii="Arial" w:hAnsi="Arial" w:cs="Arial"/>
        </w:rPr>
        <w:t xml:space="preserve">). Because of the high number of cases that the police need to attend, they need to ensure that they have the relevant training. Both in training and in everyday policing, officers are encouraged to use a multi-agency approach. By collating with other agencies, police can ensure that vulnerable individuals receive the best quality of care, especially if </w:t>
      </w:r>
      <w:proofErr w:type="spellStart"/>
      <w:r w:rsidRPr="00854BF2">
        <w:rPr>
          <w:rFonts w:ascii="Arial" w:hAnsi="Arial" w:cs="Arial"/>
        </w:rPr>
        <w:t>its</w:t>
      </w:r>
      <w:proofErr w:type="spellEnd"/>
      <w:r w:rsidRPr="00854BF2">
        <w:rPr>
          <w:rFonts w:ascii="Arial" w:hAnsi="Arial" w:cs="Arial"/>
        </w:rPr>
        <w:t xml:space="preserve"> not something the police can handle (</w:t>
      </w:r>
      <w:commentRangeStart w:id="40"/>
      <w:r w:rsidRPr="00854BF2">
        <w:rPr>
          <w:rFonts w:ascii="Arial" w:hAnsi="Arial" w:cs="Arial"/>
        </w:rPr>
        <w:t>Home Office, n.d</w:t>
      </w:r>
      <w:commentRangeEnd w:id="40"/>
      <w:r w:rsidRPr="00854BF2">
        <w:rPr>
          <w:rStyle w:val="CommentReference"/>
          <w:rFonts w:ascii="Arial" w:hAnsi="Arial" w:cs="Arial"/>
          <w:sz w:val="22"/>
          <w:szCs w:val="22"/>
        </w:rPr>
        <w:commentReference w:id="40"/>
      </w:r>
      <w:r w:rsidRPr="00854BF2">
        <w:rPr>
          <w:rFonts w:ascii="Arial" w:hAnsi="Arial" w:cs="Arial"/>
        </w:rPr>
        <w:t xml:space="preserve">). </w:t>
      </w:r>
    </w:p>
    <w:p w14:paraId="0397C6CF" w14:textId="5A88A614" w:rsidR="00854BF2" w:rsidRPr="00854BF2" w:rsidRDefault="00854BF2" w:rsidP="00854BF2">
      <w:pPr>
        <w:jc w:val="both"/>
        <w:rPr>
          <w:rFonts w:ascii="Arial" w:hAnsi="Arial" w:cs="Arial"/>
        </w:rPr>
      </w:pPr>
      <w:r w:rsidRPr="00854BF2">
        <w:rPr>
          <w:rFonts w:ascii="Arial" w:hAnsi="Arial" w:cs="Arial"/>
        </w:rPr>
        <w:t xml:space="preserve">The </w:t>
      </w:r>
      <w:commentRangeStart w:id="41"/>
      <w:r w:rsidRPr="00854BF2">
        <w:rPr>
          <w:rFonts w:ascii="Arial" w:hAnsi="Arial" w:cs="Arial"/>
        </w:rPr>
        <w:t xml:space="preserve">South Wales Police &amp; Crime Plan 2023 – 27 </w:t>
      </w:r>
      <w:commentRangeEnd w:id="41"/>
      <w:r w:rsidRPr="00854BF2">
        <w:rPr>
          <w:rStyle w:val="CommentReference"/>
          <w:rFonts w:ascii="Arial" w:hAnsi="Arial" w:cs="Arial"/>
          <w:sz w:val="22"/>
          <w:szCs w:val="22"/>
        </w:rPr>
        <w:commentReference w:id="41"/>
      </w:r>
      <w:r w:rsidRPr="00854BF2">
        <w:rPr>
          <w:rFonts w:ascii="Arial" w:hAnsi="Arial" w:cs="Arial"/>
        </w:rPr>
        <w:t xml:space="preserve">highlights their plans for the next 4 years. Within that plan, it emphasises the need to use wider partners, such as Early Action Together, to tackle the root issues of ACEs. It is believed that by catching the issue at the root cause, it will prevent them from any future vulnerability. The plan also believes that by taking action during childhood, it will also reduce levels of further crimes later on in life, such as recued drug use and not going to prison. It’s from this information that it is now a priority of South Wales Police to work harder to protect vulnerable people in the communities they cover, in particular by viewing crime data of hate crimes to ensure the vulnerable people are getting the help they deserve. They are also encouraging victims of hate crime to report any incidents so that  they can receive the appropriate help. Could this plan be learning from the case of Fiona Pilkington, as all the recommendations within the priority seems to address some of the failings from the police in that case. Within the same priority, it also once again encourages multi-agency approaches, by recommending officers to use partners such as Get Safe Online and Media Academy Cymru who help protect vulnerable people from online crime such as scams and fraud.  </w:t>
      </w:r>
    </w:p>
    <w:p w14:paraId="5C398002" w14:textId="77777777" w:rsidR="00854BF2" w:rsidRPr="00854BF2" w:rsidRDefault="00854BF2" w:rsidP="00854BF2">
      <w:pPr>
        <w:jc w:val="both"/>
        <w:rPr>
          <w:rFonts w:ascii="Arial" w:hAnsi="Arial" w:cs="Arial"/>
        </w:rPr>
      </w:pPr>
      <w:r w:rsidRPr="00854BF2">
        <w:rPr>
          <w:rFonts w:ascii="Arial" w:hAnsi="Arial" w:cs="Arial"/>
        </w:rPr>
        <w:t xml:space="preserve">In conclusion, it can be seen that the police do have to deal with vulnerable people, and without the help from other agencies, the police cannot carry out their job efficiency, especially since there are so many different factors behind an individual’s vulnerability. The police ensure that all vulnerable people are dealt with in line with the law, although there are cases which highlight the lack of communication between the police and other agencies, as seen in the case of Fiona Pilkington. </w:t>
      </w:r>
    </w:p>
    <w:p w14:paraId="6F011E61" w14:textId="18F769E6" w:rsidR="00854BF2" w:rsidRPr="00854BF2" w:rsidRDefault="00854BF2">
      <w:pPr>
        <w:rPr>
          <w:rFonts w:ascii="Arial" w:hAnsi="Arial" w:cs="Arial"/>
        </w:rPr>
      </w:pPr>
      <w:r w:rsidRPr="00854BF2">
        <w:rPr>
          <w:rFonts w:ascii="Arial" w:hAnsi="Arial" w:cs="Arial"/>
        </w:rPr>
        <w:br w:type="page"/>
      </w:r>
    </w:p>
    <w:p w14:paraId="66A65D5E" w14:textId="76D40A12" w:rsidR="00854BF2" w:rsidRPr="00854BF2" w:rsidRDefault="00854BF2" w:rsidP="00854BF2">
      <w:pPr>
        <w:rPr>
          <w:rFonts w:ascii="Arial" w:hAnsi="Arial" w:cs="Arial"/>
          <w:b/>
          <w:bCs/>
          <w:i/>
          <w:iCs/>
          <w:u w:val="single"/>
        </w:rPr>
      </w:pPr>
      <w:r w:rsidRPr="00854BF2">
        <w:rPr>
          <w:rFonts w:ascii="Arial" w:hAnsi="Arial" w:cs="Arial"/>
          <w:b/>
          <w:bCs/>
          <w:i/>
          <w:iCs/>
          <w:u w:val="single"/>
        </w:rPr>
        <w:lastRenderedPageBreak/>
        <w:t>Bibliography</w:t>
      </w:r>
    </w:p>
    <w:p w14:paraId="2DF568D6" w14:textId="490BFC15" w:rsidR="00854BF2" w:rsidRPr="00854BF2" w:rsidRDefault="00854BF2" w:rsidP="00854BF2">
      <w:pPr>
        <w:rPr>
          <w:rFonts w:ascii="Arial" w:hAnsi="Arial" w:cs="Arial"/>
        </w:rPr>
      </w:pPr>
      <w:r w:rsidRPr="00854BF2">
        <w:rPr>
          <w:rFonts w:ascii="Arial" w:hAnsi="Arial" w:cs="Arial"/>
        </w:rPr>
        <w:t xml:space="preserve">A London Councils Member briefing (2013) </w:t>
      </w:r>
      <w:r w:rsidRPr="00854BF2">
        <w:rPr>
          <w:rFonts w:ascii="Arial" w:hAnsi="Arial" w:cs="Arial"/>
          <w:i/>
          <w:iCs/>
        </w:rPr>
        <w:t xml:space="preserve">Independent Commission on Mental Health and Policing. </w:t>
      </w:r>
      <w:r w:rsidRPr="00854BF2">
        <w:rPr>
          <w:rFonts w:ascii="Arial" w:hAnsi="Arial" w:cs="Arial"/>
        </w:rPr>
        <w:t>Available at:</w:t>
      </w:r>
      <w:r w:rsidR="001364CF">
        <w:rPr>
          <w:rFonts w:ascii="Arial" w:hAnsi="Arial" w:cs="Arial"/>
        </w:rPr>
        <w:t xml:space="preserve">  </w:t>
      </w:r>
      <w:r w:rsidR="001364CF" w:rsidRPr="001364CF">
        <w:rPr>
          <w:rFonts w:ascii="Arial" w:hAnsi="Arial" w:cs="Arial"/>
        </w:rPr>
        <w:t>https://www.londoncouncils.gov.uk/node/1530</w:t>
      </w:r>
      <w:r w:rsidR="001364CF" w:rsidRPr="001364CF">
        <w:rPr>
          <w:rFonts w:ascii="Arial" w:hAnsi="Arial" w:cs="Arial"/>
        </w:rPr>
        <w:t xml:space="preserve"> </w:t>
      </w:r>
      <w:r w:rsidR="001364CF">
        <w:rPr>
          <w:rFonts w:ascii="Arial" w:hAnsi="Arial" w:cs="Arial"/>
        </w:rPr>
        <w:t xml:space="preserve"> </w:t>
      </w:r>
      <w:r w:rsidRPr="00854BF2">
        <w:rPr>
          <w:rFonts w:ascii="Arial" w:hAnsi="Arial" w:cs="Arial"/>
        </w:rPr>
        <w:t>(Accessed: 08/032024)</w:t>
      </w:r>
    </w:p>
    <w:p w14:paraId="3AC39CBB" w14:textId="77777777" w:rsidR="00854BF2" w:rsidRPr="00854BF2" w:rsidRDefault="00854BF2" w:rsidP="00854BF2">
      <w:pPr>
        <w:rPr>
          <w:rStyle w:val="cf11"/>
          <w:rFonts w:ascii="Arial" w:hAnsi="Arial" w:cs="Arial"/>
          <w:sz w:val="22"/>
          <w:szCs w:val="22"/>
        </w:rPr>
      </w:pPr>
      <w:r w:rsidRPr="00854BF2">
        <w:rPr>
          <w:rStyle w:val="cf01"/>
          <w:rFonts w:ascii="Arial" w:hAnsi="Arial" w:cs="Arial"/>
          <w:sz w:val="22"/>
          <w:szCs w:val="22"/>
        </w:rPr>
        <w:t xml:space="preserve">Bryant, R. and Bryant, S. (2011) </w:t>
      </w:r>
      <w:r w:rsidRPr="00854BF2">
        <w:rPr>
          <w:rStyle w:val="cf11"/>
          <w:rFonts w:ascii="Arial" w:hAnsi="Arial" w:cs="Arial"/>
          <w:sz w:val="22"/>
          <w:szCs w:val="22"/>
        </w:rPr>
        <w:t>Blackstone’s Handbook for Policing Students 2021.</w:t>
      </w:r>
    </w:p>
    <w:p w14:paraId="7D60743E" w14:textId="77777777" w:rsidR="00854BF2" w:rsidRPr="00854BF2" w:rsidRDefault="00854BF2" w:rsidP="00854BF2">
      <w:pPr>
        <w:rPr>
          <w:rFonts w:ascii="Arial" w:hAnsi="Arial" w:cs="Arial"/>
        </w:rPr>
      </w:pPr>
      <w:r w:rsidRPr="00854BF2">
        <w:rPr>
          <w:rFonts w:ascii="Arial" w:hAnsi="Arial" w:cs="Arial"/>
        </w:rPr>
        <w:t xml:space="preserve">Centre for Disease Control and Prevention  2021) </w:t>
      </w:r>
      <w:r w:rsidRPr="00854BF2">
        <w:rPr>
          <w:rFonts w:ascii="Arial" w:hAnsi="Arial" w:cs="Arial"/>
          <w:i/>
          <w:iCs/>
        </w:rPr>
        <w:t>CDC-Kaiser ACE Study.</w:t>
      </w:r>
      <w:r w:rsidRPr="00854BF2">
        <w:rPr>
          <w:rFonts w:ascii="Arial" w:hAnsi="Arial" w:cs="Arial"/>
        </w:rPr>
        <w:t xml:space="preserve"> Available at: </w:t>
      </w:r>
      <w:hyperlink r:id="rId11" w:history="1">
        <w:r w:rsidRPr="00854BF2">
          <w:rPr>
            <w:rStyle w:val="Hyperlink"/>
            <w:rFonts w:ascii="Arial" w:hAnsi="Arial" w:cs="Arial"/>
          </w:rPr>
          <w:t>https://www.cdc.gov/violenceprevention/aces/about.html</w:t>
        </w:r>
      </w:hyperlink>
      <w:r w:rsidRPr="00854BF2">
        <w:rPr>
          <w:rFonts w:ascii="Arial" w:hAnsi="Arial" w:cs="Arial"/>
        </w:rPr>
        <w:t xml:space="preserve"> (Accessed: 07/03/2024)</w:t>
      </w:r>
    </w:p>
    <w:p w14:paraId="78586535" w14:textId="77777777" w:rsidR="00854BF2" w:rsidRPr="00854BF2" w:rsidRDefault="00854BF2" w:rsidP="00854BF2">
      <w:pPr>
        <w:rPr>
          <w:rFonts w:ascii="Arial" w:hAnsi="Arial" w:cs="Arial"/>
        </w:rPr>
      </w:pPr>
      <w:r w:rsidRPr="00854BF2">
        <w:rPr>
          <w:rFonts w:ascii="Arial" w:hAnsi="Arial" w:cs="Arial"/>
          <w:i/>
          <w:iCs/>
        </w:rPr>
        <w:t xml:space="preserve">Children Act 1989, c.41. </w:t>
      </w:r>
      <w:r w:rsidRPr="00854BF2">
        <w:rPr>
          <w:rFonts w:ascii="Arial" w:hAnsi="Arial" w:cs="Arial"/>
        </w:rPr>
        <w:t xml:space="preserve">Available at: </w:t>
      </w:r>
      <w:hyperlink r:id="rId12" w:history="1">
        <w:r w:rsidRPr="00854BF2">
          <w:rPr>
            <w:rStyle w:val="Hyperlink"/>
            <w:rFonts w:ascii="Arial" w:hAnsi="Arial" w:cs="Arial"/>
          </w:rPr>
          <w:t>https://www.legislation.gov.uk/ukpga/1989/41/section/105</w:t>
        </w:r>
      </w:hyperlink>
      <w:r w:rsidRPr="00854BF2">
        <w:rPr>
          <w:rFonts w:ascii="Arial" w:hAnsi="Arial" w:cs="Arial"/>
        </w:rPr>
        <w:t xml:space="preserve"> (Accessed: 07/03/2024)</w:t>
      </w:r>
    </w:p>
    <w:p w14:paraId="722F97AA" w14:textId="77777777" w:rsidR="00854BF2" w:rsidRPr="00854BF2" w:rsidRDefault="00854BF2" w:rsidP="00854BF2">
      <w:pPr>
        <w:rPr>
          <w:rFonts w:ascii="Arial" w:hAnsi="Arial" w:cs="Arial"/>
        </w:rPr>
      </w:pPr>
      <w:r w:rsidRPr="00854BF2">
        <w:rPr>
          <w:rFonts w:ascii="Arial" w:hAnsi="Arial" w:cs="Arial"/>
        </w:rPr>
        <w:t xml:space="preserve">College of Policing (2021) </w:t>
      </w:r>
      <w:r w:rsidRPr="00854BF2">
        <w:rPr>
          <w:rFonts w:ascii="Arial" w:hAnsi="Arial" w:cs="Arial"/>
          <w:i/>
          <w:iCs/>
        </w:rPr>
        <w:t xml:space="preserve">Introduction to vulnerability-related risk. </w:t>
      </w:r>
      <w:r w:rsidRPr="00854BF2">
        <w:rPr>
          <w:rFonts w:ascii="Arial" w:hAnsi="Arial" w:cs="Arial"/>
        </w:rPr>
        <w:t xml:space="preserve">Available at: </w:t>
      </w:r>
      <w:hyperlink r:id="rId13" w:history="1">
        <w:r w:rsidRPr="00854BF2">
          <w:rPr>
            <w:rStyle w:val="cf01"/>
            <w:rFonts w:ascii="Arial" w:hAnsi="Arial" w:cs="Arial"/>
            <w:color w:val="0000FF"/>
            <w:sz w:val="22"/>
            <w:szCs w:val="22"/>
          </w:rPr>
          <w:t>https://www.college.police.uk/guidance/vulnerability-related-risks/introduction-vulnerability-related-risk</w:t>
        </w:r>
      </w:hyperlink>
      <w:r w:rsidRPr="00854BF2">
        <w:rPr>
          <w:rFonts w:ascii="Arial" w:hAnsi="Arial" w:cs="Arial"/>
        </w:rPr>
        <w:t xml:space="preserve"> (Accessed: 04/03/2024)</w:t>
      </w:r>
    </w:p>
    <w:p w14:paraId="26DA46E0" w14:textId="77777777" w:rsidR="00854BF2" w:rsidRPr="00854BF2" w:rsidRDefault="00854BF2" w:rsidP="00854BF2">
      <w:pPr>
        <w:rPr>
          <w:rFonts w:ascii="Arial" w:hAnsi="Arial" w:cs="Arial"/>
        </w:rPr>
      </w:pPr>
      <w:r w:rsidRPr="00854BF2">
        <w:rPr>
          <w:rFonts w:ascii="Arial" w:hAnsi="Arial" w:cs="Arial"/>
        </w:rPr>
        <w:t xml:space="preserve">College of Policing (2023) </w:t>
      </w:r>
      <w:r w:rsidRPr="00854BF2">
        <w:rPr>
          <w:rFonts w:ascii="Arial" w:hAnsi="Arial" w:cs="Arial"/>
          <w:i/>
          <w:iCs/>
        </w:rPr>
        <w:t xml:space="preserve">Children and young persons. </w:t>
      </w:r>
      <w:r w:rsidRPr="00854BF2">
        <w:rPr>
          <w:rFonts w:ascii="Arial" w:hAnsi="Arial" w:cs="Arial"/>
        </w:rPr>
        <w:t xml:space="preserve">Available at: </w:t>
      </w:r>
      <w:hyperlink r:id="rId14" w:history="1">
        <w:r w:rsidRPr="00854BF2">
          <w:rPr>
            <w:rStyle w:val="Hyperlink"/>
            <w:rFonts w:ascii="Arial" w:hAnsi="Arial" w:cs="Arial"/>
          </w:rPr>
          <w:t>https://www.college.police.uk/app/detention-and-custody/detainee-care/children-and-young-persons</w:t>
        </w:r>
      </w:hyperlink>
      <w:r w:rsidRPr="00854BF2">
        <w:rPr>
          <w:rFonts w:ascii="Arial" w:hAnsi="Arial" w:cs="Arial"/>
        </w:rPr>
        <w:t xml:space="preserve"> (Accessed: 07/03/2024)</w:t>
      </w:r>
    </w:p>
    <w:p w14:paraId="1EDDCB6E" w14:textId="77777777" w:rsidR="00854BF2" w:rsidRPr="00854BF2" w:rsidRDefault="00854BF2" w:rsidP="00854BF2">
      <w:pPr>
        <w:rPr>
          <w:rFonts w:ascii="Arial" w:hAnsi="Arial" w:cs="Arial"/>
        </w:rPr>
      </w:pPr>
      <w:r w:rsidRPr="00854BF2">
        <w:rPr>
          <w:rFonts w:ascii="Arial" w:hAnsi="Arial" w:cs="Arial"/>
        </w:rPr>
        <w:t xml:space="preserve">College of Policing (n.d) </w:t>
      </w:r>
      <w:r w:rsidRPr="00854BF2">
        <w:rPr>
          <w:rFonts w:ascii="Arial" w:hAnsi="Arial" w:cs="Arial"/>
          <w:i/>
          <w:iCs/>
        </w:rPr>
        <w:t>Investigating child abuse and safeguarding children.</w:t>
      </w:r>
      <w:r w:rsidRPr="00854BF2">
        <w:rPr>
          <w:rFonts w:ascii="Arial" w:hAnsi="Arial" w:cs="Arial"/>
        </w:rPr>
        <w:t xml:space="preserve"> Available at: </w:t>
      </w:r>
      <w:hyperlink r:id="rId15" w:history="1">
        <w:r w:rsidRPr="00854BF2">
          <w:rPr>
            <w:rStyle w:val="Hyperlink"/>
            <w:rFonts w:ascii="Arial" w:hAnsi="Arial" w:cs="Arial"/>
          </w:rPr>
          <w:t>https://www.college.police.uk/app/major-investigation-and-public-protection/investigating-child-abuse-and-safeguarding-children</w:t>
        </w:r>
      </w:hyperlink>
      <w:r w:rsidRPr="00854BF2">
        <w:rPr>
          <w:rFonts w:ascii="Arial" w:hAnsi="Arial" w:cs="Arial"/>
        </w:rPr>
        <w:t xml:space="preserve"> (Accessed: 07/03/2024)</w:t>
      </w:r>
    </w:p>
    <w:p w14:paraId="3DD1FC73" w14:textId="77777777" w:rsidR="00854BF2" w:rsidRPr="00854BF2" w:rsidRDefault="00854BF2" w:rsidP="00854BF2">
      <w:pPr>
        <w:rPr>
          <w:rFonts w:ascii="Arial" w:hAnsi="Arial" w:cs="Arial"/>
        </w:rPr>
      </w:pPr>
      <w:r w:rsidRPr="00854BF2">
        <w:rPr>
          <w:rFonts w:ascii="Arial" w:hAnsi="Arial" w:cs="Arial"/>
          <w:i/>
          <w:iCs/>
        </w:rPr>
        <w:t>Equality Act 2010, c.15</w:t>
      </w:r>
      <w:r w:rsidRPr="00854BF2">
        <w:rPr>
          <w:rFonts w:ascii="Arial" w:hAnsi="Arial" w:cs="Arial"/>
        </w:rPr>
        <w:t xml:space="preserve">. Available at: </w:t>
      </w:r>
      <w:hyperlink r:id="rId16" w:history="1">
        <w:r w:rsidRPr="00854BF2">
          <w:rPr>
            <w:rStyle w:val="Hyperlink"/>
            <w:rFonts w:ascii="Arial" w:hAnsi="Arial" w:cs="Arial"/>
          </w:rPr>
          <w:t>https://www.legislation.gov.uk/ukpga/2010/15/part/2/chapter/1</w:t>
        </w:r>
      </w:hyperlink>
      <w:r w:rsidRPr="00854BF2">
        <w:rPr>
          <w:rFonts w:ascii="Arial" w:hAnsi="Arial" w:cs="Arial"/>
        </w:rPr>
        <w:t xml:space="preserve"> (Accessed: 07/03/2024)</w:t>
      </w:r>
    </w:p>
    <w:p w14:paraId="3BCE982D" w14:textId="77777777" w:rsidR="00854BF2" w:rsidRPr="00854BF2" w:rsidRDefault="00854BF2" w:rsidP="00854BF2">
      <w:pPr>
        <w:rPr>
          <w:rFonts w:ascii="Arial" w:hAnsi="Arial" w:cs="Arial"/>
        </w:rPr>
      </w:pPr>
      <w:r w:rsidRPr="00854BF2">
        <w:rPr>
          <w:rFonts w:ascii="Arial" w:hAnsi="Arial" w:cs="Arial"/>
        </w:rPr>
        <w:t xml:space="preserve">Felitti, V et al ( 1998) </w:t>
      </w:r>
      <w:r w:rsidRPr="00854BF2">
        <w:rPr>
          <w:rFonts w:ascii="Arial" w:hAnsi="Arial" w:cs="Arial"/>
          <w:i/>
          <w:iCs/>
        </w:rPr>
        <w:t xml:space="preserve">Relationship of Childhood Abuse and Household Dysfunction to Many of the Leading Causes of Death in Adults. </w:t>
      </w:r>
      <w:r w:rsidRPr="00854BF2">
        <w:rPr>
          <w:rFonts w:ascii="Arial" w:hAnsi="Arial" w:cs="Arial"/>
        </w:rPr>
        <w:t xml:space="preserve">Available at: </w:t>
      </w:r>
      <w:hyperlink r:id="rId17" w:history="1">
        <w:r w:rsidRPr="00854BF2">
          <w:rPr>
            <w:rStyle w:val="Hyperlink"/>
            <w:rFonts w:ascii="Arial" w:hAnsi="Arial" w:cs="Arial"/>
          </w:rPr>
          <w:t>https://www.ajpmonline.org/article/S0749-3797(98)00017-8/fulltext</w:t>
        </w:r>
      </w:hyperlink>
      <w:r w:rsidRPr="00854BF2">
        <w:rPr>
          <w:rFonts w:ascii="Arial" w:hAnsi="Arial" w:cs="Arial"/>
        </w:rPr>
        <w:t xml:space="preserve"> (Accessed: 07/03/2024)</w:t>
      </w:r>
    </w:p>
    <w:p w14:paraId="7FB0CC5D" w14:textId="77777777" w:rsidR="00854BF2" w:rsidRPr="00854BF2" w:rsidRDefault="00854BF2" w:rsidP="00854BF2">
      <w:pPr>
        <w:rPr>
          <w:rFonts w:ascii="Arial" w:hAnsi="Arial" w:cs="Arial"/>
        </w:rPr>
      </w:pPr>
      <w:r w:rsidRPr="00854BF2">
        <w:rPr>
          <w:rFonts w:ascii="Arial" w:hAnsi="Arial" w:cs="Arial"/>
        </w:rPr>
        <w:t xml:space="preserve">HMICFRS (2022) </w:t>
      </w:r>
      <w:r w:rsidRPr="00854BF2">
        <w:rPr>
          <w:rFonts w:ascii="Arial" w:hAnsi="Arial" w:cs="Arial"/>
          <w:i/>
          <w:iCs/>
        </w:rPr>
        <w:t>South Wales PEEL Assessments 2021/2022.</w:t>
      </w:r>
      <w:r w:rsidRPr="00854BF2">
        <w:rPr>
          <w:rFonts w:ascii="Arial" w:hAnsi="Arial" w:cs="Arial"/>
        </w:rPr>
        <w:t xml:space="preserve"> Available at: </w:t>
      </w:r>
      <w:hyperlink r:id="rId18" w:history="1">
        <w:r w:rsidRPr="00854BF2">
          <w:rPr>
            <w:rStyle w:val="Hyperlink"/>
            <w:rFonts w:ascii="Arial" w:hAnsi="Arial" w:cs="Arial"/>
          </w:rPr>
          <w:t>https://hmicfrs.justiceinspectorates.gov.uk/peel-assessments/peel-assessments-2021-22/south-wales/</w:t>
        </w:r>
      </w:hyperlink>
      <w:r w:rsidRPr="00854BF2">
        <w:rPr>
          <w:rFonts w:ascii="Arial" w:hAnsi="Arial" w:cs="Arial"/>
        </w:rPr>
        <w:t xml:space="preserve"> (Accessed: 03/03/2024)</w:t>
      </w:r>
    </w:p>
    <w:p w14:paraId="3C9CF9B5" w14:textId="77777777" w:rsidR="00854BF2" w:rsidRPr="00854BF2" w:rsidRDefault="00854BF2" w:rsidP="00854BF2">
      <w:pPr>
        <w:rPr>
          <w:rStyle w:val="cf01"/>
          <w:rFonts w:ascii="Arial" w:hAnsi="Arial" w:cs="Arial"/>
          <w:sz w:val="22"/>
          <w:szCs w:val="22"/>
        </w:rPr>
      </w:pPr>
      <w:r w:rsidRPr="00854BF2">
        <w:rPr>
          <w:rStyle w:val="cf01"/>
          <w:rFonts w:ascii="Arial" w:hAnsi="Arial" w:cs="Arial"/>
          <w:sz w:val="22"/>
          <w:szCs w:val="22"/>
        </w:rPr>
        <w:t xml:space="preserve">HMICFRS (2023) </w:t>
      </w:r>
      <w:r w:rsidRPr="00854BF2">
        <w:rPr>
          <w:rStyle w:val="cf01"/>
          <w:rFonts w:ascii="Arial" w:hAnsi="Arial" w:cs="Arial"/>
          <w:i/>
          <w:iCs/>
          <w:sz w:val="22"/>
          <w:szCs w:val="22"/>
        </w:rPr>
        <w:t xml:space="preserve">Threat, harm, risk, investigation, vulnerability and engagement (THRIVE) model. </w:t>
      </w:r>
      <w:r w:rsidRPr="00854BF2">
        <w:rPr>
          <w:rStyle w:val="cf01"/>
          <w:rFonts w:ascii="Arial" w:hAnsi="Arial" w:cs="Arial"/>
          <w:sz w:val="22"/>
          <w:szCs w:val="22"/>
        </w:rPr>
        <w:t xml:space="preserve">Available at: </w:t>
      </w:r>
      <w:hyperlink r:id="rId19" w:history="1">
        <w:r w:rsidRPr="00854BF2">
          <w:rPr>
            <w:rStyle w:val="Hyperlink"/>
            <w:rFonts w:ascii="Arial" w:hAnsi="Arial" w:cs="Arial"/>
          </w:rPr>
          <w:t>https://hmicfrs.justiceinspectorates.gov.uk/glossary/threat-harm-risk-investigation/</w:t>
        </w:r>
      </w:hyperlink>
      <w:r w:rsidRPr="00854BF2">
        <w:rPr>
          <w:rStyle w:val="cf01"/>
          <w:rFonts w:ascii="Arial" w:hAnsi="Arial" w:cs="Arial"/>
          <w:sz w:val="22"/>
          <w:szCs w:val="22"/>
        </w:rPr>
        <w:t xml:space="preserve"> (Accessed: 04/03/2024)</w:t>
      </w:r>
    </w:p>
    <w:p w14:paraId="6D245A36" w14:textId="77777777" w:rsidR="00854BF2" w:rsidRPr="00854BF2" w:rsidRDefault="00854BF2" w:rsidP="00854BF2">
      <w:pPr>
        <w:rPr>
          <w:rFonts w:ascii="Arial" w:hAnsi="Arial" w:cs="Arial"/>
        </w:rPr>
      </w:pPr>
      <w:r w:rsidRPr="00854BF2">
        <w:rPr>
          <w:rFonts w:ascii="Arial" w:hAnsi="Arial" w:cs="Arial"/>
        </w:rPr>
        <w:t xml:space="preserve">Home Office (2016) </w:t>
      </w:r>
      <w:r w:rsidRPr="00854BF2">
        <w:rPr>
          <w:rFonts w:ascii="Arial" w:hAnsi="Arial" w:cs="Arial"/>
          <w:i/>
          <w:iCs/>
        </w:rPr>
        <w:t xml:space="preserve">Safeguarding children and vulnerable adults. </w:t>
      </w:r>
      <w:r w:rsidRPr="00854BF2">
        <w:rPr>
          <w:rFonts w:ascii="Arial" w:hAnsi="Arial" w:cs="Arial"/>
        </w:rPr>
        <w:t xml:space="preserve">Available at: </w:t>
      </w:r>
      <w:hyperlink r:id="rId20" w:history="1">
        <w:r w:rsidRPr="00854BF2">
          <w:rPr>
            <w:rStyle w:val="Hyperlink"/>
            <w:rFonts w:ascii="Arial" w:hAnsi="Arial" w:cs="Arial"/>
          </w:rPr>
          <w:t>https://assets.publishing.service.gov.uk/media/5a800adfed915d74e622c21c/safeguarding-childrenarchive.pdf</w:t>
        </w:r>
      </w:hyperlink>
      <w:r w:rsidRPr="00854BF2">
        <w:rPr>
          <w:rFonts w:ascii="Arial" w:hAnsi="Arial" w:cs="Arial"/>
        </w:rPr>
        <w:t xml:space="preserve"> (Accessed: 07/03/2024)</w:t>
      </w:r>
    </w:p>
    <w:p w14:paraId="26A5B212" w14:textId="77777777" w:rsidR="00854BF2" w:rsidRPr="00854BF2" w:rsidRDefault="00854BF2" w:rsidP="00854BF2">
      <w:pPr>
        <w:rPr>
          <w:rFonts w:ascii="Arial" w:hAnsi="Arial" w:cs="Arial"/>
        </w:rPr>
      </w:pPr>
      <w:r w:rsidRPr="00854BF2">
        <w:rPr>
          <w:rFonts w:ascii="Arial" w:hAnsi="Arial" w:cs="Arial"/>
        </w:rPr>
        <w:t xml:space="preserve">Hussain, D. (2011) </w:t>
      </w:r>
      <w:r w:rsidRPr="00854BF2">
        <w:rPr>
          <w:rFonts w:ascii="Arial" w:hAnsi="Arial" w:cs="Arial"/>
          <w:i/>
          <w:iCs/>
        </w:rPr>
        <w:t xml:space="preserve">IPCC investigation finds alarming failings in Pilkington case. </w:t>
      </w:r>
      <w:r w:rsidRPr="00854BF2">
        <w:rPr>
          <w:rFonts w:ascii="Arial" w:hAnsi="Arial" w:cs="Arial"/>
        </w:rPr>
        <w:t xml:space="preserve">Available at: </w:t>
      </w:r>
      <w:hyperlink r:id="rId21" w:history="1">
        <w:r w:rsidRPr="00854BF2">
          <w:rPr>
            <w:rStyle w:val="Hyperlink"/>
            <w:rFonts w:ascii="Arial" w:hAnsi="Arial" w:cs="Arial"/>
          </w:rPr>
          <w:t>https://policeprofessional.com/news/ipcc-investigation-finds-%C2%91alarming-failings%C2%92-in-pilkington-case/</w:t>
        </w:r>
      </w:hyperlink>
      <w:r w:rsidRPr="00854BF2">
        <w:rPr>
          <w:rFonts w:ascii="Arial" w:hAnsi="Arial" w:cs="Arial"/>
        </w:rPr>
        <w:t xml:space="preserve"> (Accessed: 08/03/2024)</w:t>
      </w:r>
    </w:p>
    <w:p w14:paraId="3DAD181C" w14:textId="77777777" w:rsidR="00854BF2" w:rsidRPr="00854BF2" w:rsidRDefault="00854BF2" w:rsidP="00854BF2">
      <w:pPr>
        <w:rPr>
          <w:rFonts w:ascii="Arial" w:hAnsi="Arial" w:cs="Arial"/>
        </w:rPr>
      </w:pPr>
      <w:r w:rsidRPr="00854BF2">
        <w:rPr>
          <w:rFonts w:ascii="Arial" w:hAnsi="Arial" w:cs="Arial"/>
        </w:rPr>
        <w:t xml:space="preserve">Innes, H and Innes, M. (2013) </w:t>
      </w:r>
      <w:r w:rsidRPr="00854BF2">
        <w:rPr>
          <w:rFonts w:ascii="Arial" w:hAnsi="Arial" w:cs="Arial"/>
          <w:i/>
          <w:iCs/>
        </w:rPr>
        <w:t xml:space="preserve"> Personal, Situational and Incidental Vulnerabilities to ASB Harm: a follow up study. </w:t>
      </w:r>
      <w:r w:rsidRPr="00854BF2">
        <w:rPr>
          <w:rFonts w:ascii="Arial" w:hAnsi="Arial" w:cs="Arial"/>
        </w:rPr>
        <w:t xml:space="preserve">Available at: </w:t>
      </w:r>
      <w:hyperlink r:id="rId22" w:history="1">
        <w:r w:rsidRPr="00854BF2">
          <w:rPr>
            <w:rStyle w:val="Hyperlink"/>
            <w:rFonts w:ascii="Arial" w:hAnsi="Arial" w:cs="Arial"/>
          </w:rPr>
          <w:t>https://orca.cardiff.ac.uk/i</w:t>
        </w:r>
        <w:r w:rsidRPr="00854BF2">
          <w:rPr>
            <w:rStyle w:val="Hyperlink"/>
            <w:rFonts w:ascii="Arial" w:hAnsi="Arial" w:cs="Arial"/>
          </w:rPr>
          <w:t>d</w:t>
        </w:r>
        <w:r w:rsidRPr="00854BF2">
          <w:rPr>
            <w:rStyle w:val="Hyperlink"/>
            <w:rFonts w:ascii="Arial" w:hAnsi="Arial" w:cs="Arial"/>
          </w:rPr>
          <w:t>/eprint/52681/1/personal-situational-and-incidental-vulnerabilities-to-anti-social-behaviour-harm-a-follow-up-study.pdf</w:t>
        </w:r>
      </w:hyperlink>
      <w:r w:rsidRPr="00854BF2">
        <w:rPr>
          <w:rFonts w:ascii="Arial" w:hAnsi="Arial" w:cs="Arial"/>
        </w:rPr>
        <w:t xml:space="preserve"> (Accessed: 07/03/2024)</w:t>
      </w:r>
    </w:p>
    <w:p w14:paraId="3482AD29" w14:textId="77777777" w:rsidR="00854BF2" w:rsidRPr="00854BF2" w:rsidRDefault="00854BF2" w:rsidP="00854BF2">
      <w:pPr>
        <w:rPr>
          <w:rFonts w:ascii="Arial" w:hAnsi="Arial" w:cs="Arial"/>
        </w:rPr>
      </w:pPr>
      <w:r w:rsidRPr="00854BF2">
        <w:rPr>
          <w:rFonts w:ascii="Arial" w:hAnsi="Arial" w:cs="Arial"/>
        </w:rPr>
        <w:t xml:space="preserve">IPCC (2009) </w:t>
      </w:r>
      <w:r w:rsidRPr="00854BF2">
        <w:rPr>
          <w:rFonts w:ascii="Arial" w:hAnsi="Arial" w:cs="Arial"/>
          <w:i/>
          <w:iCs/>
        </w:rPr>
        <w:t xml:space="preserve">IPCC report into the contact between Fiona Pilkington and Leicestershire Constabulary 2004-2007. </w:t>
      </w:r>
      <w:r w:rsidRPr="00854BF2">
        <w:rPr>
          <w:rFonts w:ascii="Arial" w:hAnsi="Arial" w:cs="Arial"/>
        </w:rPr>
        <w:t xml:space="preserve">Available at: </w:t>
      </w:r>
      <w:hyperlink r:id="rId23" w:history="1">
        <w:r w:rsidRPr="00854BF2">
          <w:rPr>
            <w:rStyle w:val="Hyperlink"/>
            <w:rFonts w:ascii="Arial" w:hAnsi="Arial" w:cs="Arial"/>
          </w:rPr>
          <w:t>https://www.hampshiresab.org.uk/wp-content/uploads/2009-Fiona-Pilkington-Leicestershire.pdf</w:t>
        </w:r>
      </w:hyperlink>
      <w:r w:rsidRPr="00854BF2">
        <w:rPr>
          <w:rFonts w:ascii="Arial" w:hAnsi="Arial" w:cs="Arial"/>
        </w:rPr>
        <w:t xml:space="preserve"> (Accessed: 08/03/2024)</w:t>
      </w:r>
    </w:p>
    <w:p w14:paraId="1439C036" w14:textId="77777777" w:rsidR="00854BF2" w:rsidRPr="00854BF2" w:rsidRDefault="00854BF2" w:rsidP="00854BF2">
      <w:pPr>
        <w:rPr>
          <w:rFonts w:ascii="Arial" w:hAnsi="Arial" w:cs="Arial"/>
        </w:rPr>
      </w:pPr>
      <w:r w:rsidRPr="00854BF2">
        <w:rPr>
          <w:rFonts w:ascii="Arial" w:hAnsi="Arial" w:cs="Arial"/>
        </w:rPr>
        <w:lastRenderedPageBreak/>
        <w:t xml:space="preserve">Merriam-Webster (2024) </w:t>
      </w:r>
      <w:r w:rsidRPr="00854BF2">
        <w:rPr>
          <w:rFonts w:ascii="Arial" w:hAnsi="Arial" w:cs="Arial"/>
          <w:i/>
          <w:iCs/>
        </w:rPr>
        <w:t xml:space="preserve">harm. </w:t>
      </w:r>
      <w:r w:rsidRPr="00854BF2">
        <w:rPr>
          <w:rFonts w:ascii="Arial" w:hAnsi="Arial" w:cs="Arial"/>
        </w:rPr>
        <w:t xml:space="preserve">Available at: </w:t>
      </w:r>
      <w:hyperlink r:id="rId24" w:history="1">
        <w:r w:rsidRPr="00854BF2">
          <w:rPr>
            <w:rStyle w:val="Hyperlink"/>
            <w:rFonts w:ascii="Arial" w:hAnsi="Arial" w:cs="Arial"/>
          </w:rPr>
          <w:t>https://www.merriam-webster.com/dictionary/harm</w:t>
        </w:r>
      </w:hyperlink>
      <w:r w:rsidRPr="00854BF2">
        <w:rPr>
          <w:rFonts w:ascii="Arial" w:hAnsi="Arial" w:cs="Arial"/>
        </w:rPr>
        <w:t xml:space="preserve"> (Accessed: 05/03/2024)</w:t>
      </w:r>
    </w:p>
    <w:p w14:paraId="068F8195" w14:textId="77777777" w:rsidR="00854BF2" w:rsidRPr="00854BF2" w:rsidRDefault="00854BF2" w:rsidP="00854BF2">
      <w:pPr>
        <w:rPr>
          <w:rFonts w:ascii="Arial" w:hAnsi="Arial" w:cs="Arial"/>
        </w:rPr>
      </w:pPr>
      <w:r w:rsidRPr="00854BF2">
        <w:rPr>
          <w:rFonts w:ascii="Arial" w:hAnsi="Arial" w:cs="Arial"/>
        </w:rPr>
        <w:t xml:space="preserve">Newham London (no date) </w:t>
      </w:r>
      <w:r w:rsidRPr="00854BF2">
        <w:rPr>
          <w:rFonts w:ascii="Arial" w:hAnsi="Arial" w:cs="Arial"/>
          <w:i/>
          <w:iCs/>
        </w:rPr>
        <w:t xml:space="preserve">Safeguarding Adults Board. </w:t>
      </w:r>
      <w:r w:rsidRPr="00854BF2">
        <w:rPr>
          <w:rFonts w:ascii="Arial" w:hAnsi="Arial" w:cs="Arial"/>
        </w:rPr>
        <w:t xml:space="preserve">Available at: </w:t>
      </w:r>
      <w:hyperlink r:id="rId25" w:history="1">
        <w:r w:rsidRPr="00854BF2">
          <w:rPr>
            <w:rStyle w:val="Hyperlink"/>
            <w:rFonts w:ascii="Arial" w:hAnsi="Arial" w:cs="Arial"/>
          </w:rPr>
          <w:t>https://www.newham.gov.uk/health-adult-social-care/safeguarding/3</w:t>
        </w:r>
      </w:hyperlink>
      <w:r w:rsidRPr="00854BF2">
        <w:rPr>
          <w:rFonts w:ascii="Arial" w:hAnsi="Arial" w:cs="Arial"/>
        </w:rPr>
        <w:t xml:space="preserve"> (Accessed: 08/03/2024)</w:t>
      </w:r>
    </w:p>
    <w:p w14:paraId="4A6AD9D1" w14:textId="77777777" w:rsidR="00854BF2" w:rsidRPr="00854BF2" w:rsidRDefault="00854BF2" w:rsidP="00854BF2">
      <w:pPr>
        <w:rPr>
          <w:rFonts w:ascii="Arial" w:hAnsi="Arial" w:cs="Arial"/>
        </w:rPr>
      </w:pPr>
      <w:proofErr w:type="spellStart"/>
      <w:r w:rsidRPr="00854BF2">
        <w:rPr>
          <w:rFonts w:ascii="Arial" w:hAnsi="Arial" w:cs="Arial"/>
        </w:rPr>
        <w:t>O,Neil</w:t>
      </w:r>
      <w:proofErr w:type="spellEnd"/>
      <w:r w:rsidRPr="00854BF2">
        <w:rPr>
          <w:rFonts w:ascii="Arial" w:hAnsi="Arial" w:cs="Arial"/>
        </w:rPr>
        <w:t xml:space="preserve">, R ( 2021) </w:t>
      </w:r>
      <w:r w:rsidRPr="00854BF2">
        <w:rPr>
          <w:rFonts w:ascii="Arial" w:hAnsi="Arial" w:cs="Arial"/>
          <w:i/>
          <w:iCs/>
        </w:rPr>
        <w:t>Adverse childhood experiences.</w:t>
      </w:r>
      <w:r w:rsidRPr="00854BF2">
        <w:rPr>
          <w:rFonts w:ascii="Arial" w:hAnsi="Arial" w:cs="Arial"/>
        </w:rPr>
        <w:t xml:space="preserve"> Available at: </w:t>
      </w:r>
      <w:hyperlink r:id="rId26" w:history="1">
        <w:r w:rsidRPr="00854BF2">
          <w:rPr>
            <w:rStyle w:val="Hyperlink"/>
            <w:rFonts w:ascii="Arial" w:hAnsi="Arial" w:cs="Arial"/>
          </w:rPr>
          <w:t>https://www.researchgate.net/profile/Mitch-Blair/publication/353321292_Adverse_childhood_experiences/links/643578f7ad9b6d17dc4ee138/Adverse-childhood-experiences.pdf</w:t>
        </w:r>
      </w:hyperlink>
      <w:r w:rsidRPr="00854BF2">
        <w:rPr>
          <w:rFonts w:ascii="Arial" w:hAnsi="Arial" w:cs="Arial"/>
        </w:rPr>
        <w:t xml:space="preserve"> (Accessed: 07/03/2024)</w:t>
      </w:r>
    </w:p>
    <w:p w14:paraId="0032F29C" w14:textId="77777777" w:rsidR="00854BF2" w:rsidRPr="00854BF2" w:rsidRDefault="00854BF2" w:rsidP="00854BF2">
      <w:pPr>
        <w:rPr>
          <w:rFonts w:ascii="Arial" w:hAnsi="Arial" w:cs="Arial"/>
        </w:rPr>
      </w:pPr>
      <w:r w:rsidRPr="00854BF2">
        <w:rPr>
          <w:rFonts w:ascii="Arial" w:hAnsi="Arial" w:cs="Arial"/>
        </w:rPr>
        <w:t xml:space="preserve">Office for Health Improvement &amp; Disparities (2022) </w:t>
      </w:r>
      <w:r w:rsidRPr="00854BF2">
        <w:rPr>
          <w:rFonts w:ascii="Arial" w:hAnsi="Arial" w:cs="Arial"/>
          <w:i/>
          <w:iCs/>
        </w:rPr>
        <w:t xml:space="preserve">Vulnerabilities: applying All Our Health. </w:t>
      </w:r>
      <w:r w:rsidRPr="00854BF2">
        <w:rPr>
          <w:rFonts w:ascii="Arial" w:hAnsi="Arial" w:cs="Arial"/>
        </w:rPr>
        <w:t xml:space="preserve">Available at: </w:t>
      </w:r>
      <w:hyperlink r:id="rId27" w:history="1">
        <w:r w:rsidRPr="00854BF2">
          <w:rPr>
            <w:rStyle w:val="cf01"/>
            <w:rFonts w:ascii="Arial" w:hAnsi="Arial" w:cs="Arial"/>
            <w:color w:val="0000FF"/>
            <w:sz w:val="22"/>
            <w:szCs w:val="22"/>
          </w:rPr>
          <w:t>https://www.gov.uk/government/publications/vulnerabilities-applying-all-our-health/vulnerabilities-applying-all-our-health</w:t>
        </w:r>
      </w:hyperlink>
      <w:r w:rsidRPr="00854BF2">
        <w:rPr>
          <w:rFonts w:ascii="Arial" w:hAnsi="Arial" w:cs="Arial"/>
        </w:rPr>
        <w:t xml:space="preserve"> (Accessed: 05/03/2024)</w:t>
      </w:r>
    </w:p>
    <w:p w14:paraId="3D91E951" w14:textId="77777777" w:rsidR="00854BF2" w:rsidRPr="00854BF2" w:rsidRDefault="00854BF2" w:rsidP="00854BF2">
      <w:pPr>
        <w:rPr>
          <w:rFonts w:ascii="Arial" w:hAnsi="Arial" w:cs="Arial"/>
        </w:rPr>
      </w:pPr>
      <w:r w:rsidRPr="00854BF2">
        <w:rPr>
          <w:rFonts w:ascii="Arial" w:hAnsi="Arial" w:cs="Arial"/>
        </w:rPr>
        <w:t xml:space="preserve">Plymouth.gov.uk (no date) </w:t>
      </w:r>
      <w:r w:rsidRPr="00854BF2">
        <w:rPr>
          <w:rFonts w:ascii="Arial" w:hAnsi="Arial" w:cs="Arial"/>
          <w:i/>
          <w:iCs/>
        </w:rPr>
        <w:t xml:space="preserve">Learning from Safeguarding Adult Reviews 2021 to 2022. </w:t>
      </w:r>
      <w:r w:rsidRPr="00854BF2">
        <w:rPr>
          <w:rFonts w:ascii="Arial" w:hAnsi="Arial" w:cs="Arial"/>
        </w:rPr>
        <w:t xml:space="preserve">Available at: </w:t>
      </w:r>
      <w:hyperlink r:id="rId28" w:history="1">
        <w:r w:rsidRPr="00854BF2">
          <w:rPr>
            <w:rStyle w:val="Hyperlink"/>
            <w:rFonts w:ascii="Arial" w:hAnsi="Arial" w:cs="Arial"/>
          </w:rPr>
          <w:t>https://www.plymouth.gov.uk/learning-safeguarding-adult-reviews-2021-2022</w:t>
        </w:r>
      </w:hyperlink>
      <w:r w:rsidRPr="00854BF2">
        <w:rPr>
          <w:rFonts w:ascii="Arial" w:hAnsi="Arial" w:cs="Arial"/>
        </w:rPr>
        <w:t xml:space="preserve"> (Accessed: 08/03/2024)</w:t>
      </w:r>
    </w:p>
    <w:p w14:paraId="21B0AD6F" w14:textId="77777777" w:rsidR="00854BF2" w:rsidRPr="00854BF2" w:rsidRDefault="00854BF2" w:rsidP="00854BF2">
      <w:pPr>
        <w:rPr>
          <w:rFonts w:ascii="Arial" w:hAnsi="Arial" w:cs="Arial"/>
        </w:rPr>
      </w:pPr>
      <w:r w:rsidRPr="00854BF2">
        <w:rPr>
          <w:rFonts w:ascii="Arial" w:hAnsi="Arial" w:cs="Arial"/>
        </w:rPr>
        <w:t xml:space="preserve">Preventing Exploitation Toolkit (n.d) </w:t>
      </w:r>
      <w:r w:rsidRPr="00854BF2">
        <w:rPr>
          <w:rFonts w:ascii="Arial" w:hAnsi="Arial" w:cs="Arial"/>
          <w:i/>
          <w:iCs/>
        </w:rPr>
        <w:t xml:space="preserve">What is exploitation? </w:t>
      </w:r>
      <w:r w:rsidRPr="00854BF2">
        <w:rPr>
          <w:rFonts w:ascii="Arial" w:hAnsi="Arial" w:cs="Arial"/>
        </w:rPr>
        <w:t xml:space="preserve">Available at: </w:t>
      </w:r>
      <w:hyperlink r:id="rId29" w:history="1">
        <w:r w:rsidRPr="00854BF2">
          <w:rPr>
            <w:rStyle w:val="Hyperlink"/>
            <w:rFonts w:ascii="Arial" w:hAnsi="Arial" w:cs="Arial"/>
          </w:rPr>
          <w:t>https://www.preventingexploitationtoolkit.org.uk/home/what-is-exploitation/</w:t>
        </w:r>
      </w:hyperlink>
      <w:r w:rsidRPr="00854BF2">
        <w:rPr>
          <w:rFonts w:ascii="Arial" w:hAnsi="Arial" w:cs="Arial"/>
        </w:rPr>
        <w:t xml:space="preserve"> (Accessed: 06/03/2024)</w:t>
      </w:r>
    </w:p>
    <w:p w14:paraId="11FA377F" w14:textId="77777777" w:rsidR="00854BF2" w:rsidRPr="00854BF2" w:rsidRDefault="00854BF2" w:rsidP="00854BF2">
      <w:pPr>
        <w:rPr>
          <w:rFonts w:ascii="Arial" w:hAnsi="Arial" w:cs="Arial"/>
        </w:rPr>
      </w:pPr>
      <w:r w:rsidRPr="00854BF2">
        <w:rPr>
          <w:rFonts w:ascii="Arial" w:hAnsi="Arial" w:cs="Arial"/>
        </w:rPr>
        <w:t xml:space="preserve">Public Health England (2020) </w:t>
      </w:r>
      <w:r w:rsidRPr="00854BF2">
        <w:rPr>
          <w:rFonts w:ascii="Arial" w:hAnsi="Arial" w:cs="Arial"/>
          <w:i/>
          <w:iCs/>
        </w:rPr>
        <w:t xml:space="preserve">No child left behind. </w:t>
      </w:r>
      <w:r w:rsidRPr="00854BF2">
        <w:rPr>
          <w:rFonts w:ascii="Arial" w:hAnsi="Arial" w:cs="Arial"/>
        </w:rPr>
        <w:t xml:space="preserve">Available at: </w:t>
      </w:r>
      <w:hyperlink r:id="rId30" w:history="1">
        <w:r w:rsidRPr="00854BF2">
          <w:rPr>
            <w:rStyle w:val="Hyperlink"/>
            <w:rFonts w:ascii="Arial" w:hAnsi="Arial" w:cs="Arial"/>
          </w:rPr>
          <w:t>https://assets.publishing.service.gov.uk/media/5f4f72c68fa8f523f4c3c0ed/Understanding_and_quantifying_vulnerability_in_childhood.pdf</w:t>
        </w:r>
      </w:hyperlink>
      <w:r w:rsidRPr="00854BF2">
        <w:rPr>
          <w:rFonts w:ascii="Arial" w:hAnsi="Arial" w:cs="Arial"/>
        </w:rPr>
        <w:t xml:space="preserve"> (Accessed: 07/03/2024)</w:t>
      </w:r>
    </w:p>
    <w:p w14:paraId="472FB125" w14:textId="77777777" w:rsidR="00854BF2" w:rsidRPr="00854BF2" w:rsidRDefault="00854BF2" w:rsidP="00854BF2">
      <w:pPr>
        <w:rPr>
          <w:rFonts w:ascii="Arial" w:hAnsi="Arial" w:cs="Arial"/>
        </w:rPr>
      </w:pPr>
      <w:r w:rsidRPr="00854BF2">
        <w:rPr>
          <w:rFonts w:ascii="Arial" w:hAnsi="Arial" w:cs="Arial"/>
        </w:rPr>
        <w:t xml:space="preserve">Safeguarding Task and Finish Group (2011) </w:t>
      </w:r>
      <w:r w:rsidRPr="00854BF2">
        <w:rPr>
          <w:rFonts w:ascii="Arial" w:hAnsi="Arial" w:cs="Arial"/>
          <w:i/>
          <w:iCs/>
        </w:rPr>
        <w:t>Guidance for Safeguarding Children &amp; Vulnerable Adults in General Dental Practice.</w:t>
      </w:r>
      <w:r w:rsidRPr="00854BF2">
        <w:rPr>
          <w:rFonts w:ascii="Arial" w:hAnsi="Arial" w:cs="Arial"/>
        </w:rPr>
        <w:t xml:space="preserve"> Available at: </w:t>
      </w:r>
      <w:hyperlink r:id="rId31" w:history="1">
        <w:r w:rsidRPr="00854BF2">
          <w:rPr>
            <w:rStyle w:val="Hyperlink"/>
            <w:rFonts w:ascii="Arial" w:hAnsi="Arial" w:cs="Arial"/>
          </w:rPr>
          <w:t>https://www2.nphs.wales.nhs.uk/ChildProDocs.nsf/815f97434d281f8b80257508003d3986/b68c1a65ccef8aa980257964005a3987/$FILE/Microsoft%20Word%20-%20Guidance%20for%20Safeguarding%20Children%20%20Vulnerable%20Adults%20in%20General%20Dental%20Practice%201st%20July%202011.pdf</w:t>
        </w:r>
      </w:hyperlink>
      <w:r w:rsidRPr="00854BF2">
        <w:rPr>
          <w:rFonts w:ascii="Arial" w:hAnsi="Arial" w:cs="Arial"/>
        </w:rPr>
        <w:t xml:space="preserve"> (Accessed: 05/03/2024)</w:t>
      </w:r>
    </w:p>
    <w:p w14:paraId="0BABA027" w14:textId="77777777" w:rsidR="00854BF2" w:rsidRPr="00854BF2" w:rsidRDefault="00854BF2" w:rsidP="00854BF2">
      <w:pPr>
        <w:rPr>
          <w:rFonts w:ascii="Arial" w:hAnsi="Arial" w:cs="Arial"/>
        </w:rPr>
      </w:pPr>
      <w:r w:rsidRPr="00854BF2">
        <w:rPr>
          <w:rFonts w:ascii="Arial" w:hAnsi="Arial" w:cs="Arial"/>
        </w:rPr>
        <w:t xml:space="preserve">Samuel, M. (2009) </w:t>
      </w:r>
      <w:r w:rsidRPr="00854BF2">
        <w:rPr>
          <w:rFonts w:ascii="Arial" w:hAnsi="Arial" w:cs="Arial"/>
          <w:i/>
          <w:iCs/>
        </w:rPr>
        <w:t xml:space="preserve">Fiona Pilkington SCR questions safeguarding adults policy. </w:t>
      </w:r>
      <w:r w:rsidRPr="00854BF2">
        <w:rPr>
          <w:rFonts w:ascii="Arial" w:hAnsi="Arial" w:cs="Arial"/>
        </w:rPr>
        <w:t xml:space="preserve">Available at: </w:t>
      </w:r>
      <w:hyperlink r:id="rId32" w:history="1">
        <w:r w:rsidRPr="00854BF2">
          <w:rPr>
            <w:rStyle w:val="Hyperlink"/>
            <w:rFonts w:ascii="Arial" w:hAnsi="Arial" w:cs="Arial"/>
          </w:rPr>
          <w:t>https://www.communitycare.co.uk/2009/09/30/fiona-pilkington-scr-questions-safeguarding-adults-policy/</w:t>
        </w:r>
      </w:hyperlink>
      <w:r w:rsidRPr="00854BF2">
        <w:rPr>
          <w:rFonts w:ascii="Arial" w:hAnsi="Arial" w:cs="Arial"/>
        </w:rPr>
        <w:t xml:space="preserve"> (Accessed: 08/03/2024)</w:t>
      </w:r>
    </w:p>
    <w:p w14:paraId="522BA520" w14:textId="77777777" w:rsidR="00854BF2" w:rsidRPr="00854BF2" w:rsidRDefault="00854BF2" w:rsidP="00854BF2">
      <w:pPr>
        <w:rPr>
          <w:rFonts w:ascii="Arial" w:hAnsi="Arial" w:cs="Arial"/>
        </w:rPr>
      </w:pPr>
      <w:r w:rsidRPr="00854BF2">
        <w:rPr>
          <w:rFonts w:ascii="Arial" w:hAnsi="Arial" w:cs="Arial"/>
          <w:i/>
          <w:iCs/>
        </w:rPr>
        <w:t>Social Services and Wellbeing Act 2014.</w:t>
      </w:r>
      <w:r w:rsidRPr="00854BF2">
        <w:rPr>
          <w:rFonts w:ascii="Arial" w:hAnsi="Arial" w:cs="Arial"/>
        </w:rPr>
        <w:t xml:space="preserve"> Available at: </w:t>
      </w:r>
      <w:hyperlink r:id="rId33" w:history="1">
        <w:r w:rsidRPr="00854BF2">
          <w:rPr>
            <w:rStyle w:val="Hyperlink"/>
            <w:rFonts w:ascii="Arial" w:hAnsi="Arial" w:cs="Arial"/>
          </w:rPr>
          <w:t>https://www.legislation.gov.uk/anaw/2014/4/contents</w:t>
        </w:r>
      </w:hyperlink>
      <w:r w:rsidRPr="00854BF2">
        <w:rPr>
          <w:rFonts w:ascii="Arial" w:hAnsi="Arial" w:cs="Arial"/>
        </w:rPr>
        <w:t xml:space="preserve"> (Accessed: 08/03/2024)</w:t>
      </w:r>
    </w:p>
    <w:p w14:paraId="6F6A95DD" w14:textId="77777777" w:rsidR="00854BF2" w:rsidRPr="00854BF2" w:rsidRDefault="00854BF2" w:rsidP="00854BF2">
      <w:pPr>
        <w:rPr>
          <w:rFonts w:ascii="Arial" w:hAnsi="Arial" w:cs="Arial"/>
        </w:rPr>
      </w:pPr>
      <w:r w:rsidRPr="00854BF2">
        <w:rPr>
          <w:rFonts w:ascii="Arial" w:hAnsi="Arial" w:cs="Arial"/>
        </w:rPr>
        <w:t xml:space="preserve">South Wales Police and Crime Commissioner (no date) </w:t>
      </w:r>
      <w:r w:rsidRPr="00854BF2">
        <w:rPr>
          <w:rFonts w:ascii="Arial" w:hAnsi="Arial" w:cs="Arial"/>
          <w:i/>
          <w:iCs/>
        </w:rPr>
        <w:t xml:space="preserve">South Wales Police &amp; Crime Plan 2023-27. </w:t>
      </w:r>
      <w:r w:rsidRPr="00854BF2">
        <w:rPr>
          <w:rFonts w:ascii="Arial" w:hAnsi="Arial" w:cs="Arial"/>
        </w:rPr>
        <w:t xml:space="preserve">Available at: </w:t>
      </w:r>
      <w:hyperlink r:id="rId34" w:history="1">
        <w:r w:rsidRPr="00854BF2">
          <w:rPr>
            <w:rStyle w:val="Hyperlink"/>
            <w:rFonts w:ascii="Arial" w:hAnsi="Arial" w:cs="Arial"/>
          </w:rPr>
          <w:t>https://commissioner.south-wales.police.uk/media/2745/crp005-crime-plan-202327-final.pdf</w:t>
        </w:r>
      </w:hyperlink>
      <w:r w:rsidRPr="00854BF2">
        <w:rPr>
          <w:rFonts w:ascii="Arial" w:hAnsi="Arial" w:cs="Arial"/>
        </w:rPr>
        <w:t xml:space="preserve"> (Accessed: 03/03/2024)</w:t>
      </w:r>
    </w:p>
    <w:p w14:paraId="670425EF" w14:textId="77777777" w:rsidR="00854BF2" w:rsidRPr="00854BF2" w:rsidRDefault="00854BF2" w:rsidP="00854BF2">
      <w:pPr>
        <w:rPr>
          <w:rFonts w:ascii="Arial" w:hAnsi="Arial" w:cs="Arial"/>
        </w:rPr>
      </w:pPr>
      <w:r w:rsidRPr="00854BF2">
        <w:rPr>
          <w:rFonts w:ascii="Arial" w:hAnsi="Arial" w:cs="Arial"/>
        </w:rPr>
        <w:t xml:space="preserve">Vaughan, J. (2022) </w:t>
      </w:r>
      <w:r w:rsidRPr="00854BF2">
        <w:rPr>
          <w:rFonts w:ascii="Arial" w:hAnsi="Arial" w:cs="Arial"/>
          <w:i/>
          <w:iCs/>
        </w:rPr>
        <w:t>South Wales Police response to HMICFRS PEEL inspection.</w:t>
      </w:r>
      <w:r w:rsidRPr="00854BF2">
        <w:rPr>
          <w:rFonts w:ascii="Arial" w:hAnsi="Arial" w:cs="Arial"/>
        </w:rPr>
        <w:t xml:space="preserve"> Available at: </w:t>
      </w:r>
      <w:hyperlink r:id="rId35" w:history="1">
        <w:r w:rsidRPr="00854BF2">
          <w:rPr>
            <w:rStyle w:val="Hyperlink"/>
            <w:rFonts w:ascii="Arial" w:hAnsi="Arial" w:cs="Arial"/>
          </w:rPr>
          <w:t>https://www.south-wales.police.uk/news/south-wales/news/2022/aws-aug/south-wales-police-response-to-hmicfrs-peel-inspection/</w:t>
        </w:r>
      </w:hyperlink>
      <w:r w:rsidRPr="00854BF2">
        <w:rPr>
          <w:rFonts w:ascii="Arial" w:hAnsi="Arial" w:cs="Arial"/>
        </w:rPr>
        <w:t xml:space="preserve"> (Accessed: 03/03/2024)</w:t>
      </w:r>
    </w:p>
    <w:p w14:paraId="25303C55" w14:textId="77777777" w:rsidR="00854BF2" w:rsidRPr="00854BF2" w:rsidRDefault="00854BF2" w:rsidP="00854BF2">
      <w:pPr>
        <w:rPr>
          <w:rFonts w:ascii="Arial" w:hAnsi="Arial" w:cs="Arial"/>
        </w:rPr>
      </w:pPr>
      <w:r w:rsidRPr="00854BF2">
        <w:rPr>
          <w:rFonts w:ascii="Arial" w:hAnsi="Arial" w:cs="Arial"/>
        </w:rPr>
        <w:t xml:space="preserve">Walker, P. (2009) </w:t>
      </w:r>
      <w:r w:rsidRPr="00854BF2">
        <w:rPr>
          <w:rFonts w:ascii="Arial" w:hAnsi="Arial" w:cs="Arial"/>
          <w:i/>
          <w:iCs/>
        </w:rPr>
        <w:t xml:space="preserve">Francecca Hardwick: portrait of a victim. </w:t>
      </w:r>
      <w:r w:rsidRPr="00854BF2">
        <w:rPr>
          <w:rFonts w:ascii="Arial" w:hAnsi="Arial" w:cs="Arial"/>
        </w:rPr>
        <w:t xml:space="preserve">Available at: </w:t>
      </w:r>
      <w:hyperlink r:id="rId36" w:history="1">
        <w:r w:rsidRPr="00854BF2">
          <w:rPr>
            <w:rStyle w:val="Hyperlink"/>
            <w:rFonts w:ascii="Arial" w:hAnsi="Arial" w:cs="Arial"/>
          </w:rPr>
          <w:t>https://www.theguardian.com/uk/2009/sep/28/pilkington-inquest-victim-hardwick</w:t>
        </w:r>
      </w:hyperlink>
      <w:r w:rsidRPr="00854BF2">
        <w:rPr>
          <w:rFonts w:ascii="Arial" w:hAnsi="Arial" w:cs="Arial"/>
        </w:rPr>
        <w:t xml:space="preserve"> (Accessed: 08/03/2024)</w:t>
      </w:r>
    </w:p>
    <w:p w14:paraId="4687620B" w14:textId="77777777" w:rsidR="00854BF2" w:rsidRPr="00854BF2" w:rsidRDefault="00854BF2" w:rsidP="00854BF2">
      <w:pPr>
        <w:rPr>
          <w:rFonts w:ascii="Arial" w:hAnsi="Arial" w:cs="Arial"/>
        </w:rPr>
      </w:pPr>
      <w:r w:rsidRPr="00854BF2">
        <w:rPr>
          <w:rFonts w:ascii="Arial" w:hAnsi="Arial" w:cs="Arial"/>
        </w:rPr>
        <w:t xml:space="preserve">West Midlands Police (2022) </w:t>
      </w:r>
      <w:r w:rsidRPr="00854BF2">
        <w:rPr>
          <w:rFonts w:ascii="Arial" w:hAnsi="Arial" w:cs="Arial"/>
          <w:i/>
          <w:iCs/>
        </w:rPr>
        <w:t xml:space="preserve">THRIVE. </w:t>
      </w:r>
      <w:r w:rsidRPr="00854BF2">
        <w:rPr>
          <w:rFonts w:ascii="Arial" w:hAnsi="Arial" w:cs="Arial"/>
        </w:rPr>
        <w:t xml:space="preserve">Available at: </w:t>
      </w:r>
      <w:hyperlink r:id="rId37" w:history="1">
        <w:r w:rsidRPr="00854BF2">
          <w:rPr>
            <w:rStyle w:val="Hyperlink"/>
            <w:rFonts w:ascii="Arial" w:hAnsi="Arial" w:cs="Arial"/>
          </w:rPr>
          <w:t>https://foi.west-midlands.police.uk/wp-content/uploads/2021/01/THRIVE.pdf</w:t>
        </w:r>
      </w:hyperlink>
      <w:r w:rsidRPr="00854BF2">
        <w:rPr>
          <w:rFonts w:ascii="Arial" w:hAnsi="Arial" w:cs="Arial"/>
        </w:rPr>
        <w:t xml:space="preserve"> (Accessed: 08/03/2024)</w:t>
      </w:r>
    </w:p>
    <w:p w14:paraId="52C91FAE" w14:textId="77777777" w:rsidR="00854BF2" w:rsidRPr="00854BF2" w:rsidRDefault="00854BF2" w:rsidP="00854BF2">
      <w:pPr>
        <w:rPr>
          <w:rStyle w:val="cf01"/>
          <w:rFonts w:ascii="Arial" w:hAnsi="Arial" w:cs="Arial"/>
          <w:sz w:val="22"/>
          <w:szCs w:val="22"/>
        </w:rPr>
      </w:pPr>
      <w:r w:rsidRPr="00854BF2">
        <w:rPr>
          <w:rStyle w:val="cf01"/>
          <w:rFonts w:ascii="Arial" w:hAnsi="Arial" w:cs="Arial"/>
          <w:sz w:val="22"/>
          <w:szCs w:val="22"/>
        </w:rPr>
        <w:lastRenderedPageBreak/>
        <w:t xml:space="preserve">Williams, B. (2023) </w:t>
      </w:r>
      <w:r w:rsidRPr="00854BF2">
        <w:rPr>
          <w:rStyle w:val="cf11"/>
          <w:rFonts w:ascii="Arial" w:hAnsi="Arial" w:cs="Arial"/>
          <w:sz w:val="22"/>
          <w:szCs w:val="22"/>
        </w:rPr>
        <w:t>Policing Mental Health, Vulnerability and Risk.</w:t>
      </w:r>
      <w:r w:rsidRPr="00854BF2">
        <w:rPr>
          <w:rStyle w:val="cf01"/>
          <w:rFonts w:ascii="Arial" w:hAnsi="Arial" w:cs="Arial"/>
          <w:sz w:val="22"/>
          <w:szCs w:val="22"/>
        </w:rPr>
        <w:t xml:space="preserve"> 1</w:t>
      </w:r>
      <w:r w:rsidRPr="00854BF2">
        <w:rPr>
          <w:rStyle w:val="cf21"/>
          <w:rFonts w:ascii="Arial" w:hAnsi="Arial" w:cs="Arial"/>
          <w:sz w:val="22"/>
          <w:szCs w:val="22"/>
        </w:rPr>
        <w:t>st</w:t>
      </w:r>
      <w:r w:rsidRPr="00854BF2">
        <w:rPr>
          <w:rStyle w:val="cf01"/>
          <w:rFonts w:ascii="Arial" w:hAnsi="Arial" w:cs="Arial"/>
          <w:sz w:val="22"/>
          <w:szCs w:val="22"/>
        </w:rPr>
        <w:t xml:space="preserve"> edition. Critical Publishing: St Albans.</w:t>
      </w:r>
    </w:p>
    <w:p w14:paraId="08D12E55" w14:textId="77777777" w:rsidR="00854BF2" w:rsidRPr="00854BF2" w:rsidRDefault="00854BF2" w:rsidP="00854BF2">
      <w:pPr>
        <w:rPr>
          <w:rFonts w:ascii="Arial" w:hAnsi="Arial" w:cs="Arial"/>
        </w:rPr>
      </w:pPr>
      <w:r w:rsidRPr="00854BF2">
        <w:rPr>
          <w:rFonts w:ascii="Arial" w:hAnsi="Arial" w:cs="Arial"/>
        </w:rPr>
        <w:t xml:space="preserve">Youth Justice Legal Centre (no date) </w:t>
      </w:r>
      <w:r w:rsidRPr="00854BF2">
        <w:rPr>
          <w:rFonts w:ascii="Arial" w:hAnsi="Arial" w:cs="Arial"/>
          <w:i/>
          <w:iCs/>
        </w:rPr>
        <w:t xml:space="preserve">Appropriate Adult. </w:t>
      </w:r>
      <w:r w:rsidRPr="00854BF2">
        <w:rPr>
          <w:rFonts w:ascii="Arial" w:hAnsi="Arial" w:cs="Arial"/>
        </w:rPr>
        <w:t xml:space="preserve">Available at: </w:t>
      </w:r>
      <w:hyperlink r:id="rId38" w:history="1">
        <w:r w:rsidRPr="00854BF2">
          <w:rPr>
            <w:rStyle w:val="Hyperlink"/>
            <w:rFonts w:ascii="Arial" w:hAnsi="Arial" w:cs="Arial"/>
          </w:rPr>
          <w:t>https://yjlc.uk/resources/legal-terms-z/appropriate-adult</w:t>
        </w:r>
      </w:hyperlink>
      <w:r w:rsidRPr="00854BF2">
        <w:rPr>
          <w:rFonts w:ascii="Arial" w:hAnsi="Arial" w:cs="Arial"/>
        </w:rPr>
        <w:t xml:space="preserve"> (Accessed: 08/03/2024)</w:t>
      </w:r>
    </w:p>
    <w:p w14:paraId="10D95DC6" w14:textId="77777777" w:rsidR="00854BF2" w:rsidRPr="00854BF2" w:rsidRDefault="00854BF2" w:rsidP="00854BF2">
      <w:pPr>
        <w:rPr>
          <w:rFonts w:ascii="Arial" w:hAnsi="Arial" w:cs="Arial"/>
        </w:rPr>
      </w:pPr>
    </w:p>
    <w:sectPr w:rsidR="00854BF2" w:rsidRPr="00854BF2">
      <w:headerReference w:type="default" r:id="rId3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Caitlin Harris (2103809)" w:date="2024-02-21T23:43:00Z" w:initials="CH">
    <w:p w14:paraId="24B91BE1" w14:textId="77777777" w:rsidR="00854BF2" w:rsidRDefault="00854BF2" w:rsidP="00854BF2">
      <w:pPr>
        <w:pStyle w:val="CommentText"/>
      </w:pPr>
      <w:r>
        <w:rPr>
          <w:rStyle w:val="CommentReference"/>
        </w:rPr>
        <w:annotationRef/>
      </w:r>
      <w:hyperlink r:id="rId1" w:history="1">
        <w:r w:rsidRPr="00F06A91">
          <w:rPr>
            <w:rStyle w:val="Hyperlink"/>
          </w:rPr>
          <w:t>https://www.south-wales.police.uk/news/south-wales/news/2022/aws-aug/south-wales-police-response-to-hmicfrs-peel-inspection/</w:t>
        </w:r>
      </w:hyperlink>
    </w:p>
  </w:comment>
  <w:comment w:id="1" w:author="Caitlin Harris (2103809)" w:date="2024-02-21T23:43:00Z" w:initials="CH">
    <w:p w14:paraId="6C6F51BD" w14:textId="77777777" w:rsidR="00854BF2" w:rsidRDefault="00854BF2" w:rsidP="00854BF2">
      <w:pPr>
        <w:pStyle w:val="CommentText"/>
      </w:pPr>
      <w:r>
        <w:rPr>
          <w:rStyle w:val="CommentReference"/>
        </w:rPr>
        <w:annotationRef/>
      </w:r>
      <w:hyperlink r:id="rId2" w:history="1">
        <w:r w:rsidRPr="00C72D14">
          <w:rPr>
            <w:rStyle w:val="Hyperlink"/>
          </w:rPr>
          <w:t>https://hmicfrs.justiceinspectorates.gov.uk/peel-assessments/peel-assessments-2021-22/south-wales/</w:t>
        </w:r>
      </w:hyperlink>
    </w:p>
  </w:comment>
  <w:comment w:id="2" w:author="Caitlin Harris (2103809)" w:date="2024-02-21T23:43:00Z" w:initials="CH">
    <w:p w14:paraId="059FB90C" w14:textId="77777777" w:rsidR="00854BF2" w:rsidRDefault="00854BF2" w:rsidP="00854BF2">
      <w:pPr>
        <w:pStyle w:val="CommentText"/>
      </w:pPr>
      <w:r>
        <w:rPr>
          <w:rStyle w:val="CommentReference"/>
        </w:rPr>
        <w:annotationRef/>
      </w:r>
      <w:hyperlink r:id="rId3" w:history="1">
        <w:r w:rsidRPr="00B30D68">
          <w:rPr>
            <w:rStyle w:val="Hyperlink"/>
          </w:rPr>
          <w:t>https://hmicfrs.justiceinspectorates.gov.uk/peel-assessments/peel-assessments-2021-22/south-wales/</w:t>
        </w:r>
      </w:hyperlink>
    </w:p>
  </w:comment>
  <w:comment w:id="3" w:author="Caitlin Harris (2103809)" w:date="2024-02-21T23:44:00Z" w:initials="CH">
    <w:p w14:paraId="5B8ABEB9" w14:textId="77777777" w:rsidR="00854BF2" w:rsidRDefault="00854BF2" w:rsidP="00854BF2">
      <w:pPr>
        <w:pStyle w:val="CommentText"/>
      </w:pPr>
      <w:r>
        <w:rPr>
          <w:rStyle w:val="CommentReference"/>
        </w:rPr>
        <w:annotationRef/>
      </w:r>
      <w:hyperlink r:id="rId4" w:history="1">
        <w:r w:rsidRPr="00895C7E">
          <w:rPr>
            <w:rStyle w:val="Hyperlink"/>
          </w:rPr>
          <w:t>https://commissioner.south-wales.police.uk/media/2745/crp005-crime-plan-202327-final.pdf</w:t>
        </w:r>
      </w:hyperlink>
    </w:p>
  </w:comment>
  <w:comment w:id="4" w:author="Caitlin Harris (2103809)" w:date="2024-02-21T23:44:00Z" w:initials="CH">
    <w:p w14:paraId="74C3B657" w14:textId="77777777" w:rsidR="00854BF2" w:rsidRDefault="00854BF2" w:rsidP="00854BF2">
      <w:pPr>
        <w:pStyle w:val="CommentText"/>
      </w:pPr>
      <w:r>
        <w:rPr>
          <w:rStyle w:val="CommentReference"/>
        </w:rPr>
        <w:annotationRef/>
      </w:r>
      <w:r>
        <w:t xml:space="preserve">Williams, B. (2023) </w:t>
      </w:r>
      <w:r>
        <w:rPr>
          <w:i/>
          <w:iCs/>
        </w:rPr>
        <w:t>Policing Mental Health, Vulnerability and Risk.</w:t>
      </w:r>
      <w:r>
        <w:t xml:space="preserve"> 1</w:t>
      </w:r>
      <w:r>
        <w:rPr>
          <w:vertAlign w:val="superscript"/>
        </w:rPr>
        <w:t>st</w:t>
      </w:r>
      <w:r>
        <w:t xml:space="preserve"> edition. Critical Publishing: St Albans.</w:t>
      </w:r>
    </w:p>
  </w:comment>
  <w:comment w:id="5" w:author="Caitlin Harris (2103809)" w:date="2024-02-21T23:44:00Z" w:initials="CH">
    <w:p w14:paraId="13372078" w14:textId="77777777" w:rsidR="00854BF2" w:rsidRDefault="00854BF2" w:rsidP="00854BF2">
      <w:pPr>
        <w:pStyle w:val="CommentText"/>
      </w:pPr>
      <w:r>
        <w:rPr>
          <w:rStyle w:val="CommentReference"/>
        </w:rPr>
        <w:annotationRef/>
      </w:r>
      <w:r>
        <w:t>https://hmicfrs.justiceinspectorates.gov.uk/glossary/threat-harm-risk-investigation</w:t>
      </w:r>
    </w:p>
  </w:comment>
  <w:comment w:id="8" w:author="Caitlin Harris (2103809)" w:date="2024-02-21T23:53:00Z" w:initials="CH">
    <w:p w14:paraId="44E54E9F" w14:textId="77777777" w:rsidR="00854BF2" w:rsidRDefault="00854BF2" w:rsidP="00854BF2">
      <w:pPr>
        <w:pStyle w:val="CommentText"/>
      </w:pPr>
      <w:r>
        <w:rPr>
          <w:rStyle w:val="CommentReference"/>
        </w:rPr>
        <w:annotationRef/>
      </w:r>
      <w:hyperlink r:id="rId5" w:history="1">
        <w:r w:rsidRPr="00F21E4B">
          <w:rPr>
            <w:rStyle w:val="Hyperlink"/>
          </w:rPr>
          <w:t>https://www.college.police.uk/guidance/vulnerability-related-risks/introduction-vulnerability-related-risk</w:t>
        </w:r>
      </w:hyperlink>
    </w:p>
  </w:comment>
  <w:comment w:id="11" w:author="Caitlin Harris" w:date="2024-03-11T14:19:00Z" w:initials="CH">
    <w:p w14:paraId="2C05F7FD" w14:textId="77777777" w:rsidR="00854BF2" w:rsidRDefault="00854BF2" w:rsidP="00854BF2">
      <w:pPr>
        <w:pStyle w:val="CommentText"/>
      </w:pPr>
      <w:r>
        <w:rPr>
          <w:rStyle w:val="CommentReference"/>
        </w:rPr>
        <w:annotationRef/>
      </w:r>
      <w:hyperlink r:id="rId6" w:history="1">
        <w:r w:rsidRPr="00055361">
          <w:rPr>
            <w:rStyle w:val="Hyperlink"/>
          </w:rPr>
          <w:t>https://www.gov.uk/government/publications/vulnerabilities-applying-all-our-health/vulnerabilities-applying-all-our-health</w:t>
        </w:r>
      </w:hyperlink>
    </w:p>
  </w:comment>
  <w:comment w:id="13" w:author="Caitlin Harris" w:date="2024-03-11T14:09:00Z" w:initials="CH">
    <w:p w14:paraId="7C0770A9" w14:textId="77777777" w:rsidR="00854BF2" w:rsidRDefault="00854BF2" w:rsidP="00854BF2">
      <w:pPr>
        <w:pStyle w:val="CommentText"/>
      </w:pPr>
      <w:r>
        <w:rPr>
          <w:rStyle w:val="CommentReference"/>
        </w:rPr>
        <w:annotationRef/>
      </w:r>
      <w:hyperlink r:id="rId7" w:history="1">
        <w:r w:rsidRPr="00CB3753">
          <w:rPr>
            <w:rStyle w:val="Hyperlink"/>
          </w:rPr>
          <w:t>https://www2.nphs.wales.nhs.uk/ChildProDocs.nsf/815f97434d281f8b80257508003d3986/b68c1a65ccef8aa980257964005a3987/$FILE/Microsoft%20Word%20-%20Guidance%20for%20Safeguarding%20Children%20%20Vulnerable%20Adults%20in%20General%20Dental%20Practice%201st%20July%202011.pdf</w:t>
        </w:r>
      </w:hyperlink>
    </w:p>
  </w:comment>
  <w:comment w:id="14" w:author="Caitlin Harris" w:date="2024-03-11T16:10:00Z" w:initials="CH">
    <w:p w14:paraId="4479F5BC" w14:textId="77777777" w:rsidR="00854BF2" w:rsidRDefault="00854BF2" w:rsidP="00854BF2">
      <w:pPr>
        <w:pStyle w:val="CommentText"/>
      </w:pPr>
      <w:r>
        <w:rPr>
          <w:rStyle w:val="CommentReference"/>
        </w:rPr>
        <w:annotationRef/>
      </w:r>
      <w:hyperlink r:id="rId8" w:history="1">
        <w:r w:rsidRPr="00EF27A1">
          <w:rPr>
            <w:rStyle w:val="Hyperlink"/>
          </w:rPr>
          <w:t>https://www.merriam-webster.com/dictionary/harm</w:t>
        </w:r>
      </w:hyperlink>
    </w:p>
  </w:comment>
  <w:comment w:id="15" w:author="Caitlin Harris" w:date="2024-03-11T16:11:00Z" w:initials="CH">
    <w:p w14:paraId="15D50E55" w14:textId="77777777" w:rsidR="00854BF2" w:rsidRDefault="00854BF2" w:rsidP="00854BF2">
      <w:pPr>
        <w:pStyle w:val="CommentText"/>
      </w:pPr>
      <w:r>
        <w:rPr>
          <w:rStyle w:val="CommentReference"/>
        </w:rPr>
        <w:annotationRef/>
      </w:r>
      <w:hyperlink r:id="rId9" w:history="1">
        <w:r w:rsidRPr="002912F9">
          <w:rPr>
            <w:rStyle w:val="Hyperlink"/>
          </w:rPr>
          <w:t>https://www.preventingexploitationtoolkit.org.uk/home/what-is-exploitation/</w:t>
        </w:r>
      </w:hyperlink>
    </w:p>
  </w:comment>
  <w:comment w:id="16" w:author="Caitlin Harris" w:date="2024-03-11T16:36:00Z" w:initials="CH">
    <w:p w14:paraId="29938EF9" w14:textId="77777777" w:rsidR="00854BF2" w:rsidRDefault="00854BF2" w:rsidP="00854BF2">
      <w:pPr>
        <w:pStyle w:val="CommentText"/>
      </w:pPr>
      <w:r>
        <w:rPr>
          <w:rStyle w:val="CommentReference"/>
        </w:rPr>
        <w:annotationRef/>
      </w:r>
      <w:hyperlink r:id="rId10" w:history="1">
        <w:r w:rsidRPr="008E40BD">
          <w:rPr>
            <w:rStyle w:val="Hyperlink"/>
          </w:rPr>
          <w:t>https://orca.cardiff.ac.uk/id/eprint/52681/1/personal-situational-and-incidental-vulnerabilities-to-anti-social-behaviour-harm-a-follow-up-study.pdf</w:t>
        </w:r>
      </w:hyperlink>
    </w:p>
  </w:comment>
  <w:comment w:id="17" w:author="Caitlin Harris" w:date="2024-03-11T16:35:00Z" w:initials="CH">
    <w:p w14:paraId="1CE0B3DC" w14:textId="77777777" w:rsidR="00854BF2" w:rsidRDefault="00854BF2" w:rsidP="00854BF2">
      <w:pPr>
        <w:pStyle w:val="CommentText"/>
      </w:pPr>
      <w:r>
        <w:rPr>
          <w:rStyle w:val="CommentReference"/>
        </w:rPr>
        <w:annotationRef/>
      </w:r>
      <w:r>
        <w:t xml:space="preserve">Williams, B. (2023) </w:t>
      </w:r>
      <w:r>
        <w:rPr>
          <w:i/>
          <w:iCs/>
        </w:rPr>
        <w:t>Policing Mental Health, Vulnerability and Risk.</w:t>
      </w:r>
      <w:r>
        <w:t xml:space="preserve"> 1</w:t>
      </w:r>
      <w:r>
        <w:rPr>
          <w:vertAlign w:val="superscript"/>
        </w:rPr>
        <w:t>st</w:t>
      </w:r>
      <w:r>
        <w:t xml:space="preserve"> edition. Critical Publishing: St Albans.</w:t>
      </w:r>
    </w:p>
  </w:comment>
  <w:comment w:id="18" w:author="Caitlin Harris" w:date="2024-03-11T16:43:00Z" w:initials="CH">
    <w:p w14:paraId="7360CABF" w14:textId="77777777" w:rsidR="00854BF2" w:rsidRDefault="00854BF2" w:rsidP="00854BF2">
      <w:pPr>
        <w:pStyle w:val="CommentText"/>
      </w:pPr>
      <w:r>
        <w:rPr>
          <w:rStyle w:val="CommentReference"/>
        </w:rPr>
        <w:annotationRef/>
      </w:r>
      <w:hyperlink r:id="rId11" w:history="1">
        <w:r w:rsidRPr="00FC2AF5">
          <w:rPr>
            <w:rStyle w:val="Hyperlink"/>
          </w:rPr>
          <w:t>https://www.legislation.gov.uk/ukpga/2010/15/part/2/chapter/1</w:t>
        </w:r>
      </w:hyperlink>
    </w:p>
  </w:comment>
  <w:comment w:id="19" w:author="Caitlin Harris" w:date="2024-03-11T18:36:00Z" w:initials="CH">
    <w:p w14:paraId="634EFAB2" w14:textId="77777777" w:rsidR="00854BF2" w:rsidRDefault="00854BF2" w:rsidP="00854BF2">
      <w:pPr>
        <w:pStyle w:val="CommentText"/>
      </w:pPr>
      <w:r>
        <w:rPr>
          <w:rStyle w:val="CommentReference"/>
        </w:rPr>
        <w:annotationRef/>
      </w:r>
      <w:hyperlink r:id="rId12" w:history="1">
        <w:r w:rsidRPr="002E74C7">
          <w:rPr>
            <w:rStyle w:val="Hyperlink"/>
          </w:rPr>
          <w:t>https://www.researchgate.net/profile/Mitch-Blair/publication/353321292_Adverse_childhood_experiences/links/643578f7ad9b6d17dc4ee138/Adverse-childhood-experiences.pdf</w:t>
        </w:r>
      </w:hyperlink>
    </w:p>
  </w:comment>
  <w:comment w:id="20" w:author="Caitlin Harris" w:date="2024-03-11T18:45:00Z" w:initials="CH">
    <w:p w14:paraId="67F45B80" w14:textId="77777777" w:rsidR="00854BF2" w:rsidRDefault="00854BF2" w:rsidP="00854BF2">
      <w:pPr>
        <w:pStyle w:val="CommentText"/>
      </w:pPr>
      <w:r>
        <w:rPr>
          <w:rStyle w:val="CommentReference"/>
        </w:rPr>
        <w:annotationRef/>
      </w:r>
      <w:hyperlink r:id="rId13" w:history="1">
        <w:r w:rsidRPr="00D73AA0">
          <w:rPr>
            <w:rStyle w:val="Hyperlink"/>
          </w:rPr>
          <w:t>https://www.cdc.gov/violenceprevention/aces/about.html</w:t>
        </w:r>
      </w:hyperlink>
    </w:p>
  </w:comment>
  <w:comment w:id="21" w:author="Caitlin Harris" w:date="2024-03-11T18:48:00Z" w:initials="CH">
    <w:p w14:paraId="2467195D" w14:textId="77777777" w:rsidR="00854BF2" w:rsidRDefault="00854BF2" w:rsidP="00854BF2">
      <w:pPr>
        <w:pStyle w:val="CommentText"/>
      </w:pPr>
      <w:r>
        <w:rPr>
          <w:rStyle w:val="CommentReference"/>
        </w:rPr>
        <w:annotationRef/>
      </w:r>
      <w:hyperlink r:id="rId14" w:history="1">
        <w:r w:rsidRPr="000E7D95">
          <w:rPr>
            <w:rStyle w:val="Hyperlink"/>
          </w:rPr>
          <w:t>https://www.ajpmonline.org/article/S0749-3797(98)00017-8/fulltext</w:t>
        </w:r>
      </w:hyperlink>
    </w:p>
  </w:comment>
  <w:comment w:id="22" w:author="Caitlin Harris" w:date="2024-03-11T19:24:00Z" w:initials="CH">
    <w:p w14:paraId="2244D2CA" w14:textId="77777777" w:rsidR="00854BF2" w:rsidRDefault="00854BF2" w:rsidP="00854BF2">
      <w:pPr>
        <w:pStyle w:val="CommentText"/>
      </w:pPr>
      <w:r>
        <w:rPr>
          <w:rStyle w:val="CommentReference"/>
        </w:rPr>
        <w:annotationRef/>
      </w:r>
      <w:hyperlink r:id="rId15" w:history="1">
        <w:r w:rsidRPr="00FF453E">
          <w:rPr>
            <w:rStyle w:val="Hyperlink"/>
          </w:rPr>
          <w:t>https://www.legislation.gov.uk/ukpga/1989/41/section/105</w:t>
        </w:r>
      </w:hyperlink>
    </w:p>
  </w:comment>
  <w:comment w:id="23" w:author="Caitlin Harris" w:date="2024-03-11T19:23:00Z" w:initials="CH">
    <w:p w14:paraId="4557463B" w14:textId="77777777" w:rsidR="00854BF2" w:rsidRDefault="00854BF2" w:rsidP="00854BF2">
      <w:pPr>
        <w:pStyle w:val="CommentText"/>
      </w:pPr>
      <w:r>
        <w:rPr>
          <w:rStyle w:val="CommentReference"/>
        </w:rPr>
        <w:annotationRef/>
      </w:r>
      <w:hyperlink r:id="rId16" w:history="1">
        <w:r w:rsidRPr="00E3242E">
          <w:rPr>
            <w:rStyle w:val="Hyperlink"/>
          </w:rPr>
          <w:t>https://assets.publishing.service.gov.uk/media/5f4f72c68fa8f523f4c3c0ed/Understanding_and_quantifying_vulnerability_in_childhood.pdf</w:t>
        </w:r>
      </w:hyperlink>
    </w:p>
  </w:comment>
  <w:comment w:id="24" w:author="Caitlin Harris" w:date="2024-03-11T19:33:00Z" w:initials="CH">
    <w:p w14:paraId="402E1DC6" w14:textId="77777777" w:rsidR="00854BF2" w:rsidRDefault="00854BF2" w:rsidP="00854BF2">
      <w:pPr>
        <w:pStyle w:val="CommentText"/>
      </w:pPr>
      <w:r>
        <w:rPr>
          <w:rStyle w:val="CommentReference"/>
        </w:rPr>
        <w:annotationRef/>
      </w:r>
      <w:r>
        <w:t>s</w:t>
      </w:r>
    </w:p>
  </w:comment>
  <w:comment w:id="25" w:author="Caitlin Harris" w:date="2024-03-11T19:33:00Z" w:initials="CH">
    <w:p w14:paraId="443914B0" w14:textId="77777777" w:rsidR="00854BF2" w:rsidRDefault="00854BF2" w:rsidP="00854BF2">
      <w:pPr>
        <w:pStyle w:val="CommentText"/>
      </w:pPr>
      <w:r>
        <w:rPr>
          <w:rStyle w:val="CommentReference"/>
        </w:rPr>
        <w:annotationRef/>
      </w:r>
      <w:hyperlink r:id="rId17" w:history="1">
        <w:r w:rsidRPr="00042CFB">
          <w:rPr>
            <w:rStyle w:val="Hyperlink"/>
          </w:rPr>
          <w:t>https://www.college.police.uk/app/major-investigation-and-public-protection/investigating-child-abuse-and-safeguarding-children</w:t>
        </w:r>
      </w:hyperlink>
    </w:p>
  </w:comment>
  <w:comment w:id="26" w:author="Caitlin Harris" w:date="2024-03-11T19:38:00Z" w:initials="CH">
    <w:p w14:paraId="5CDB8305" w14:textId="77777777" w:rsidR="00854BF2" w:rsidRDefault="00854BF2" w:rsidP="00854BF2">
      <w:pPr>
        <w:pStyle w:val="CommentText"/>
      </w:pPr>
      <w:r>
        <w:rPr>
          <w:rStyle w:val="CommentReference"/>
        </w:rPr>
        <w:annotationRef/>
      </w:r>
      <w:hyperlink r:id="rId18" w:history="1">
        <w:r w:rsidRPr="00BF176A">
          <w:rPr>
            <w:rStyle w:val="Hyperlink"/>
          </w:rPr>
          <w:t>https://assets.publishing.service.gov.uk/media/5a800adfed915d74e622c21c/safeguarding-childrenarchive.pdf</w:t>
        </w:r>
      </w:hyperlink>
    </w:p>
  </w:comment>
  <w:comment w:id="27" w:author="Caitlin Harris" w:date="2024-03-11T19:55:00Z" w:initials="CH">
    <w:p w14:paraId="6C3E43E9" w14:textId="77777777" w:rsidR="00854BF2" w:rsidRDefault="00854BF2" w:rsidP="00854BF2">
      <w:pPr>
        <w:pStyle w:val="CommentText"/>
      </w:pPr>
      <w:r>
        <w:rPr>
          <w:rStyle w:val="CommentReference"/>
        </w:rPr>
        <w:annotationRef/>
      </w:r>
      <w:hyperlink r:id="rId19" w:history="1">
        <w:r w:rsidRPr="00652184">
          <w:rPr>
            <w:rStyle w:val="Hyperlink"/>
          </w:rPr>
          <w:t>https://www.college.police.uk/app/detention-and-custody/detainee-care/children-and-young-persons</w:t>
        </w:r>
      </w:hyperlink>
    </w:p>
  </w:comment>
  <w:comment w:id="28" w:author="Caitlin Harris" w:date="2024-03-11T19:57:00Z" w:initials="CH">
    <w:p w14:paraId="2BC02D78" w14:textId="77777777" w:rsidR="00854BF2" w:rsidRDefault="00854BF2" w:rsidP="00854BF2">
      <w:pPr>
        <w:pStyle w:val="CommentText"/>
      </w:pPr>
      <w:r>
        <w:rPr>
          <w:rStyle w:val="CommentReference"/>
        </w:rPr>
        <w:annotationRef/>
      </w:r>
      <w:hyperlink r:id="rId20" w:history="1">
        <w:r w:rsidRPr="00734D24">
          <w:rPr>
            <w:rStyle w:val="Hyperlink"/>
          </w:rPr>
          <w:t>https://yjlc.uk/resources/legal-terms-z/appropriate-adult</w:t>
        </w:r>
      </w:hyperlink>
    </w:p>
  </w:comment>
  <w:comment w:id="29" w:author="Caitlin Harris" w:date="2024-03-11T23:17:00Z" w:initials="CH">
    <w:p w14:paraId="069D16C2" w14:textId="77777777" w:rsidR="00854BF2" w:rsidRDefault="00854BF2" w:rsidP="00854BF2">
      <w:pPr>
        <w:pStyle w:val="CommentText"/>
      </w:pPr>
      <w:r>
        <w:rPr>
          <w:rStyle w:val="CommentReference"/>
        </w:rPr>
        <w:annotationRef/>
      </w:r>
      <w:r>
        <w:t xml:space="preserve">Bryant, R. and Bryant, S. (2011) </w:t>
      </w:r>
      <w:r>
        <w:rPr>
          <w:i/>
          <w:iCs/>
        </w:rPr>
        <w:t>Blackstone’s Handbook for Policing Students 2021.</w:t>
      </w:r>
      <w:r>
        <w:t xml:space="preserve"> </w:t>
      </w:r>
    </w:p>
  </w:comment>
  <w:comment w:id="30" w:author="Caitlin Harris" w:date="2024-03-11T20:01:00Z" w:initials="CH">
    <w:p w14:paraId="537ED2DD" w14:textId="77777777" w:rsidR="00854BF2" w:rsidRDefault="00854BF2" w:rsidP="00854BF2">
      <w:pPr>
        <w:pStyle w:val="CommentText"/>
      </w:pPr>
      <w:r>
        <w:rPr>
          <w:rStyle w:val="CommentReference"/>
        </w:rPr>
        <w:annotationRef/>
      </w:r>
      <w:hyperlink r:id="rId21" w:history="1">
        <w:r w:rsidRPr="00BB3796">
          <w:rPr>
            <w:rStyle w:val="Hyperlink"/>
          </w:rPr>
          <w:t>https://www.college.police.uk/app/detention-and-custody/detainee-care/children-and-young-persons</w:t>
        </w:r>
      </w:hyperlink>
    </w:p>
  </w:comment>
  <w:comment w:id="31" w:author="Caitlin Harris" w:date="2024-03-11T23:24:00Z" w:initials="CH">
    <w:p w14:paraId="436C3F94" w14:textId="77777777" w:rsidR="00854BF2" w:rsidRDefault="00854BF2" w:rsidP="00854BF2">
      <w:pPr>
        <w:pStyle w:val="CommentText"/>
      </w:pPr>
      <w:r>
        <w:rPr>
          <w:rStyle w:val="CommentReference"/>
        </w:rPr>
        <w:annotationRef/>
      </w:r>
      <w:hyperlink r:id="rId22" w:history="1">
        <w:r w:rsidRPr="001E516D">
          <w:rPr>
            <w:rStyle w:val="Hyperlink"/>
          </w:rPr>
          <w:t>https://www.college.police.uk/guidance/vulnerability-related-risks/introduction-vulnerability-related-risk</w:t>
        </w:r>
      </w:hyperlink>
    </w:p>
  </w:comment>
  <w:comment w:id="32" w:author="Caitlin Harris" w:date="2024-03-11T23:23:00Z" w:initials="CH">
    <w:p w14:paraId="2ACFDBB2" w14:textId="77777777" w:rsidR="00854BF2" w:rsidRDefault="00854BF2" w:rsidP="00854BF2">
      <w:pPr>
        <w:pStyle w:val="CommentText"/>
      </w:pPr>
      <w:r>
        <w:rPr>
          <w:rStyle w:val="CommentReference"/>
        </w:rPr>
        <w:annotationRef/>
      </w:r>
      <w:hyperlink r:id="rId23" w:history="1">
        <w:r w:rsidRPr="00A20A71">
          <w:rPr>
            <w:rStyle w:val="Hyperlink"/>
          </w:rPr>
          <w:t>https://foi.west-midlands.police.uk/wp-content/uploads/2021/01/THRIVE.pdf</w:t>
        </w:r>
      </w:hyperlink>
    </w:p>
  </w:comment>
  <w:comment w:id="33" w:author="Caitlin Harris" w:date="2024-03-11T23:32:00Z" w:initials="CH">
    <w:p w14:paraId="032C07B8" w14:textId="77777777" w:rsidR="00854BF2" w:rsidRDefault="00854BF2" w:rsidP="00854BF2">
      <w:pPr>
        <w:pStyle w:val="CommentText"/>
      </w:pPr>
      <w:r>
        <w:rPr>
          <w:rStyle w:val="CommentReference"/>
        </w:rPr>
        <w:annotationRef/>
      </w:r>
      <w:hyperlink r:id="rId24" w:history="1">
        <w:r w:rsidRPr="005C08D3">
          <w:rPr>
            <w:rStyle w:val="Hyperlink"/>
          </w:rPr>
          <w:t>https://www.theguardian.com/uk/2009/sep/28/pilkington-inquest-victim-hardwick</w:t>
        </w:r>
      </w:hyperlink>
    </w:p>
  </w:comment>
  <w:comment w:id="34" w:author="Caitlin Harris" w:date="2024-03-11T23:56:00Z" w:initials="CH">
    <w:p w14:paraId="4B30DF55" w14:textId="77777777" w:rsidR="00854BF2" w:rsidRDefault="00854BF2" w:rsidP="00854BF2">
      <w:pPr>
        <w:pStyle w:val="CommentText"/>
      </w:pPr>
      <w:r>
        <w:rPr>
          <w:rStyle w:val="CommentReference"/>
        </w:rPr>
        <w:annotationRef/>
      </w:r>
      <w:hyperlink r:id="rId25" w:history="1">
        <w:r w:rsidRPr="00300531">
          <w:rPr>
            <w:rStyle w:val="Hyperlink"/>
          </w:rPr>
          <w:t>https://www.hampshiresab.org.uk/wp-content/uploads/2009-Fiona-Pilkington-Leicestershire.pdf</w:t>
        </w:r>
      </w:hyperlink>
    </w:p>
  </w:comment>
  <w:comment w:id="35" w:author="Caitlin Harris" w:date="2024-03-11T23:55:00Z" w:initials="CH">
    <w:p w14:paraId="2CF49048" w14:textId="77777777" w:rsidR="00854BF2" w:rsidRDefault="00854BF2" w:rsidP="00854BF2">
      <w:pPr>
        <w:pStyle w:val="CommentText"/>
      </w:pPr>
      <w:r>
        <w:rPr>
          <w:rStyle w:val="CommentReference"/>
        </w:rPr>
        <w:annotationRef/>
      </w:r>
      <w:hyperlink r:id="rId26" w:history="1">
        <w:r w:rsidRPr="008530B6">
          <w:rPr>
            <w:rStyle w:val="Hyperlink"/>
          </w:rPr>
          <w:t>https://policeprofessional.com/news/ipcc-investigation-finds-%C2%91alarming-failings%C2%92-in-pilkington-case/</w:t>
        </w:r>
      </w:hyperlink>
    </w:p>
  </w:comment>
  <w:comment w:id="36" w:author="Caitlin Harris" w:date="2024-03-12T00:24:00Z" w:initials="CH">
    <w:p w14:paraId="3C70706B" w14:textId="77777777" w:rsidR="00854BF2" w:rsidRDefault="00854BF2" w:rsidP="00854BF2">
      <w:pPr>
        <w:pStyle w:val="CommentText"/>
      </w:pPr>
      <w:r>
        <w:rPr>
          <w:rStyle w:val="CommentReference"/>
        </w:rPr>
        <w:annotationRef/>
      </w:r>
      <w:hyperlink r:id="rId27" w:history="1">
        <w:r w:rsidRPr="00410BDC">
          <w:rPr>
            <w:rStyle w:val="Hyperlink"/>
          </w:rPr>
          <w:t>https://www.newham.gov.uk/health-adult-social-care/safeguarding/3</w:t>
        </w:r>
      </w:hyperlink>
    </w:p>
  </w:comment>
  <w:comment w:id="37" w:author="Caitlin Harris" w:date="2024-03-12T00:26:00Z" w:initials="CH">
    <w:p w14:paraId="40957F14" w14:textId="77777777" w:rsidR="00854BF2" w:rsidRDefault="00854BF2" w:rsidP="00854BF2">
      <w:pPr>
        <w:pStyle w:val="CommentText"/>
      </w:pPr>
      <w:r>
        <w:rPr>
          <w:rStyle w:val="CommentReference"/>
        </w:rPr>
        <w:annotationRef/>
      </w:r>
      <w:hyperlink r:id="rId28" w:history="1">
        <w:r w:rsidRPr="00184C80">
          <w:rPr>
            <w:rStyle w:val="Hyperlink"/>
          </w:rPr>
          <w:t>https://www.plymouth.gov.uk/learning-safeguarding-adult-reviews-2021-2022</w:t>
        </w:r>
      </w:hyperlink>
    </w:p>
  </w:comment>
  <w:comment w:id="38" w:author="Caitlin Harris" w:date="2024-03-13T14:46:00Z" w:initials="CH">
    <w:p w14:paraId="423903AC" w14:textId="77777777" w:rsidR="00854BF2" w:rsidRDefault="00854BF2" w:rsidP="00854BF2">
      <w:pPr>
        <w:pStyle w:val="CommentText"/>
      </w:pPr>
      <w:r>
        <w:rPr>
          <w:rStyle w:val="CommentReference"/>
        </w:rPr>
        <w:annotationRef/>
      </w:r>
      <w:hyperlink r:id="rId29" w:history="1">
        <w:r w:rsidRPr="00F6506B">
          <w:rPr>
            <w:rStyle w:val="Hyperlink"/>
          </w:rPr>
          <w:t>https://www.college.police.uk/guidance/vulnerability-related-risks/professional-development</w:t>
        </w:r>
      </w:hyperlink>
    </w:p>
  </w:comment>
  <w:comment w:id="39" w:author="Caitlin Harris" w:date="2024-03-13T14:31:00Z" w:initials="CH">
    <w:p w14:paraId="204EBC6C" w14:textId="77777777" w:rsidR="00854BF2" w:rsidRDefault="00854BF2" w:rsidP="00854BF2">
      <w:pPr>
        <w:pStyle w:val="CommentText"/>
      </w:pPr>
      <w:r>
        <w:rPr>
          <w:rStyle w:val="CommentReference"/>
        </w:rPr>
        <w:annotationRef/>
      </w:r>
      <w:hyperlink r:id="rId30" w:history="1">
        <w:r w:rsidRPr="0011536F">
          <w:rPr>
            <w:rStyle w:val="Hyperlink"/>
          </w:rPr>
          <w:t>file:///C:/Users/Caitlin/Downloads/Mentalhealthandpolicing.pdf</w:t>
        </w:r>
      </w:hyperlink>
    </w:p>
  </w:comment>
  <w:comment w:id="40" w:author="Caitlin Harris" w:date="2024-03-13T14:33:00Z" w:initials="CH">
    <w:p w14:paraId="079F3409" w14:textId="77777777" w:rsidR="00854BF2" w:rsidRDefault="00854BF2" w:rsidP="00854BF2">
      <w:pPr>
        <w:pStyle w:val="CommentText"/>
      </w:pPr>
      <w:r>
        <w:rPr>
          <w:rStyle w:val="CommentReference"/>
        </w:rPr>
        <w:annotationRef/>
      </w:r>
      <w:hyperlink r:id="rId31" w:history="1">
        <w:r w:rsidRPr="00AD3090">
          <w:rPr>
            <w:rStyle w:val="Hyperlink"/>
          </w:rPr>
          <w:t>https://assets.publishing.service.gov.uk/media/5a81597440f0b62302696d33/6.379_Supporting_guidance_web_doc_v3.pdf</w:t>
        </w:r>
      </w:hyperlink>
    </w:p>
  </w:comment>
  <w:comment w:id="41" w:author="Caitlin Harris" w:date="2024-03-13T14:37:00Z" w:initials="CH">
    <w:p w14:paraId="019BE49C" w14:textId="77777777" w:rsidR="00854BF2" w:rsidRDefault="00854BF2" w:rsidP="00854BF2">
      <w:pPr>
        <w:pStyle w:val="CommentText"/>
      </w:pPr>
      <w:r>
        <w:rPr>
          <w:rStyle w:val="CommentReference"/>
        </w:rPr>
        <w:annotationRef/>
      </w:r>
      <w:hyperlink r:id="rId32" w:history="1">
        <w:r w:rsidRPr="00CA0924">
          <w:rPr>
            <w:rStyle w:val="Hyperlink"/>
          </w:rPr>
          <w:t>https://commissioner.south-wales.police.uk/media/2745/crp005-crime-plan-202327-final.pdf</w:t>
        </w:r>
      </w:hyperlink>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4B91BE1" w15:done="0"/>
  <w15:commentEx w15:paraId="6C6F51BD" w15:done="0"/>
  <w15:commentEx w15:paraId="059FB90C" w15:done="0"/>
  <w15:commentEx w15:paraId="5B8ABEB9" w15:done="0"/>
  <w15:commentEx w15:paraId="74C3B657" w15:done="0"/>
  <w15:commentEx w15:paraId="13372078" w15:done="0"/>
  <w15:commentEx w15:paraId="44E54E9F" w15:done="0"/>
  <w15:commentEx w15:paraId="2C05F7FD" w15:done="0"/>
  <w15:commentEx w15:paraId="7C0770A9" w15:done="0"/>
  <w15:commentEx w15:paraId="4479F5BC" w15:done="0"/>
  <w15:commentEx w15:paraId="15D50E55" w15:done="0"/>
  <w15:commentEx w15:paraId="29938EF9" w15:done="0"/>
  <w15:commentEx w15:paraId="1CE0B3DC" w15:done="0"/>
  <w15:commentEx w15:paraId="7360CABF" w15:done="0"/>
  <w15:commentEx w15:paraId="634EFAB2" w15:done="0"/>
  <w15:commentEx w15:paraId="67F45B80" w15:done="0"/>
  <w15:commentEx w15:paraId="2467195D" w15:done="0"/>
  <w15:commentEx w15:paraId="2244D2CA" w15:done="0"/>
  <w15:commentEx w15:paraId="4557463B" w15:done="0"/>
  <w15:commentEx w15:paraId="402E1DC6" w15:done="0"/>
  <w15:commentEx w15:paraId="443914B0" w15:paraIdParent="402E1DC6" w15:done="0"/>
  <w15:commentEx w15:paraId="5CDB8305" w15:done="0"/>
  <w15:commentEx w15:paraId="6C3E43E9" w15:done="0"/>
  <w15:commentEx w15:paraId="2BC02D78" w15:done="0"/>
  <w15:commentEx w15:paraId="069D16C2" w15:done="0"/>
  <w15:commentEx w15:paraId="537ED2DD" w15:done="0"/>
  <w15:commentEx w15:paraId="436C3F94" w15:done="0"/>
  <w15:commentEx w15:paraId="2ACFDBB2" w15:done="0"/>
  <w15:commentEx w15:paraId="032C07B8" w15:done="0"/>
  <w15:commentEx w15:paraId="4B30DF55" w15:done="0"/>
  <w15:commentEx w15:paraId="2CF49048" w15:done="0"/>
  <w15:commentEx w15:paraId="3C70706B" w15:done="0"/>
  <w15:commentEx w15:paraId="40957F14" w15:done="0"/>
  <w15:commentEx w15:paraId="423903AC" w15:done="0"/>
  <w15:commentEx w15:paraId="204EBC6C" w15:done="0"/>
  <w15:commentEx w15:paraId="079F3409" w15:done="0"/>
  <w15:commentEx w15:paraId="019BE49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58E0B3E5" w16cex:dateUtc="2024-02-21T23:43:00Z"/>
  <w16cex:commentExtensible w16cex:durableId="615EC361" w16cex:dateUtc="2024-02-21T23:43:00Z"/>
  <w16cex:commentExtensible w16cex:durableId="3D540F4F" w16cex:dateUtc="2024-02-21T23:43:00Z"/>
  <w16cex:commentExtensible w16cex:durableId="0D3A02A6" w16cex:dateUtc="2024-02-21T23:44:00Z"/>
  <w16cex:commentExtensible w16cex:durableId="5DABCE5F" w16cex:dateUtc="2024-02-21T23:44:00Z"/>
  <w16cex:commentExtensible w16cex:durableId="08EA72A3" w16cex:dateUtc="2024-02-21T23:44:00Z"/>
  <w16cex:commentExtensible w16cex:durableId="49A0DD62" w16cex:dateUtc="2024-02-21T23:53:00Z"/>
  <w16cex:commentExtensible w16cex:durableId="7B58D380" w16cex:dateUtc="2024-03-11T14:19:00Z"/>
  <w16cex:commentExtensible w16cex:durableId="09D8A888" w16cex:dateUtc="2024-03-11T14:09:00Z"/>
  <w16cex:commentExtensible w16cex:durableId="20781C1B" w16cex:dateUtc="2024-03-11T16:10:00Z"/>
  <w16cex:commentExtensible w16cex:durableId="1B8006E9" w16cex:dateUtc="2024-03-11T16:11:00Z"/>
  <w16cex:commentExtensible w16cex:durableId="7E40D8A2" w16cex:dateUtc="2024-03-11T16:36:00Z"/>
  <w16cex:commentExtensible w16cex:durableId="26ED3F9C" w16cex:dateUtc="2024-03-11T16:35:00Z"/>
  <w16cex:commentExtensible w16cex:durableId="11419E97" w16cex:dateUtc="2024-03-11T16:43:00Z"/>
  <w16cex:commentExtensible w16cex:durableId="09C6D1B9" w16cex:dateUtc="2024-03-11T18:36:00Z"/>
  <w16cex:commentExtensible w16cex:durableId="444AB9AB" w16cex:dateUtc="2024-03-11T18:45:00Z"/>
  <w16cex:commentExtensible w16cex:durableId="56613DE8" w16cex:dateUtc="2024-03-11T18:48:00Z"/>
  <w16cex:commentExtensible w16cex:durableId="20739C02" w16cex:dateUtc="2024-03-11T19:24:00Z"/>
  <w16cex:commentExtensible w16cex:durableId="0C5F12B8" w16cex:dateUtc="2024-03-11T19:23:00Z"/>
  <w16cex:commentExtensible w16cex:durableId="710D2BE2" w16cex:dateUtc="2024-03-11T19:33:00Z"/>
  <w16cex:commentExtensible w16cex:durableId="0095D4E5" w16cex:dateUtc="2024-03-11T19:33:00Z"/>
  <w16cex:commentExtensible w16cex:durableId="4F0356F2" w16cex:dateUtc="2024-03-11T19:38:00Z"/>
  <w16cex:commentExtensible w16cex:durableId="75A03294" w16cex:dateUtc="2024-03-11T19:55:00Z"/>
  <w16cex:commentExtensible w16cex:durableId="2D844F2A" w16cex:dateUtc="2024-03-11T19:57:00Z"/>
  <w16cex:commentExtensible w16cex:durableId="10FBEFD1" w16cex:dateUtc="2024-03-11T23:17:00Z"/>
  <w16cex:commentExtensible w16cex:durableId="576E784D" w16cex:dateUtc="2024-03-11T20:01:00Z"/>
  <w16cex:commentExtensible w16cex:durableId="18FB232C" w16cex:dateUtc="2024-03-11T23:24:00Z"/>
  <w16cex:commentExtensible w16cex:durableId="4C1F6320" w16cex:dateUtc="2024-03-11T23:23:00Z"/>
  <w16cex:commentExtensible w16cex:durableId="480B6A34" w16cex:dateUtc="2024-03-11T23:32:00Z"/>
  <w16cex:commentExtensible w16cex:durableId="32753CD2" w16cex:dateUtc="2024-03-11T23:56:00Z"/>
  <w16cex:commentExtensible w16cex:durableId="735A8655" w16cex:dateUtc="2024-03-11T23:55:00Z"/>
  <w16cex:commentExtensible w16cex:durableId="50427847" w16cex:dateUtc="2024-03-12T00:24:00Z"/>
  <w16cex:commentExtensible w16cex:durableId="5AF6A210" w16cex:dateUtc="2024-03-12T00:26:00Z"/>
  <w16cex:commentExtensible w16cex:durableId="41B96C08" w16cex:dateUtc="2024-03-13T14:46:00Z"/>
  <w16cex:commentExtensible w16cex:durableId="249BC12C" w16cex:dateUtc="2024-03-13T14:31:00Z"/>
  <w16cex:commentExtensible w16cex:durableId="5320B6B8" w16cex:dateUtc="2024-03-13T14:33:00Z"/>
  <w16cex:commentExtensible w16cex:durableId="3CACF1F2" w16cex:dateUtc="2024-03-13T14:3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4B91BE1" w16cid:durableId="58E0B3E5"/>
  <w16cid:commentId w16cid:paraId="6C6F51BD" w16cid:durableId="615EC361"/>
  <w16cid:commentId w16cid:paraId="059FB90C" w16cid:durableId="3D540F4F"/>
  <w16cid:commentId w16cid:paraId="5B8ABEB9" w16cid:durableId="0D3A02A6"/>
  <w16cid:commentId w16cid:paraId="74C3B657" w16cid:durableId="5DABCE5F"/>
  <w16cid:commentId w16cid:paraId="13372078" w16cid:durableId="08EA72A3"/>
  <w16cid:commentId w16cid:paraId="44E54E9F" w16cid:durableId="49A0DD62"/>
  <w16cid:commentId w16cid:paraId="2C05F7FD" w16cid:durableId="7B58D380"/>
  <w16cid:commentId w16cid:paraId="7C0770A9" w16cid:durableId="09D8A888"/>
  <w16cid:commentId w16cid:paraId="4479F5BC" w16cid:durableId="20781C1B"/>
  <w16cid:commentId w16cid:paraId="15D50E55" w16cid:durableId="1B8006E9"/>
  <w16cid:commentId w16cid:paraId="29938EF9" w16cid:durableId="7E40D8A2"/>
  <w16cid:commentId w16cid:paraId="1CE0B3DC" w16cid:durableId="26ED3F9C"/>
  <w16cid:commentId w16cid:paraId="7360CABF" w16cid:durableId="11419E97"/>
  <w16cid:commentId w16cid:paraId="634EFAB2" w16cid:durableId="09C6D1B9"/>
  <w16cid:commentId w16cid:paraId="67F45B80" w16cid:durableId="444AB9AB"/>
  <w16cid:commentId w16cid:paraId="2467195D" w16cid:durableId="56613DE8"/>
  <w16cid:commentId w16cid:paraId="2244D2CA" w16cid:durableId="20739C02"/>
  <w16cid:commentId w16cid:paraId="4557463B" w16cid:durableId="0C5F12B8"/>
  <w16cid:commentId w16cid:paraId="402E1DC6" w16cid:durableId="710D2BE2"/>
  <w16cid:commentId w16cid:paraId="443914B0" w16cid:durableId="0095D4E5"/>
  <w16cid:commentId w16cid:paraId="5CDB8305" w16cid:durableId="4F0356F2"/>
  <w16cid:commentId w16cid:paraId="6C3E43E9" w16cid:durableId="75A03294"/>
  <w16cid:commentId w16cid:paraId="2BC02D78" w16cid:durableId="2D844F2A"/>
  <w16cid:commentId w16cid:paraId="069D16C2" w16cid:durableId="10FBEFD1"/>
  <w16cid:commentId w16cid:paraId="537ED2DD" w16cid:durableId="576E784D"/>
  <w16cid:commentId w16cid:paraId="436C3F94" w16cid:durableId="18FB232C"/>
  <w16cid:commentId w16cid:paraId="2ACFDBB2" w16cid:durableId="4C1F6320"/>
  <w16cid:commentId w16cid:paraId="032C07B8" w16cid:durableId="480B6A34"/>
  <w16cid:commentId w16cid:paraId="4B30DF55" w16cid:durableId="32753CD2"/>
  <w16cid:commentId w16cid:paraId="2CF49048" w16cid:durableId="735A8655"/>
  <w16cid:commentId w16cid:paraId="3C70706B" w16cid:durableId="50427847"/>
  <w16cid:commentId w16cid:paraId="40957F14" w16cid:durableId="5AF6A210"/>
  <w16cid:commentId w16cid:paraId="423903AC" w16cid:durableId="41B96C08"/>
  <w16cid:commentId w16cid:paraId="204EBC6C" w16cid:durableId="249BC12C"/>
  <w16cid:commentId w16cid:paraId="079F3409" w16cid:durableId="5320B6B8"/>
  <w16cid:commentId w16cid:paraId="019BE49C" w16cid:durableId="3CACF1F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1F873D" w14:textId="77777777" w:rsidR="00F9366F" w:rsidRDefault="00F9366F" w:rsidP="00854BF2">
      <w:pPr>
        <w:spacing w:after="0" w:line="240" w:lineRule="auto"/>
      </w:pPr>
      <w:r>
        <w:separator/>
      </w:r>
    </w:p>
  </w:endnote>
  <w:endnote w:type="continuationSeparator" w:id="0">
    <w:p w14:paraId="7D504E8A" w14:textId="77777777" w:rsidR="00F9366F" w:rsidRDefault="00F9366F" w:rsidP="00854B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E9E117" w14:textId="77777777" w:rsidR="00F9366F" w:rsidRDefault="00F9366F" w:rsidP="00854BF2">
      <w:pPr>
        <w:spacing w:after="0" w:line="240" w:lineRule="auto"/>
      </w:pPr>
      <w:r>
        <w:separator/>
      </w:r>
    </w:p>
  </w:footnote>
  <w:footnote w:type="continuationSeparator" w:id="0">
    <w:p w14:paraId="4C94738F" w14:textId="77777777" w:rsidR="00F9366F" w:rsidRDefault="00F9366F" w:rsidP="00854B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041EBF" w14:textId="611ED03E" w:rsidR="00854BF2" w:rsidRPr="00854BF2" w:rsidRDefault="00854BF2">
    <w:pPr>
      <w:pStyle w:val="Header"/>
      <w:rPr>
        <w:rFonts w:ascii="Arial" w:hAnsi="Arial" w:cs="Arial"/>
      </w:rPr>
    </w:pPr>
    <w:r w:rsidRPr="00854BF2">
      <w:rPr>
        <w:rFonts w:ascii="Arial" w:hAnsi="Arial" w:cs="Arial"/>
      </w:rPr>
      <w:t>Caitlin Harris</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aitlin Harris (2103809)">
    <w15:presenceInfo w15:providerId="AD" w15:userId="S::2103809@student.uwtsd.ac.uk::166fd7b0-4b54-47cc-8623-7494da08e23e"/>
  </w15:person>
  <w15:person w15:author="Caitlin Harris">
    <w15:presenceInfo w15:providerId="Windows Live" w15:userId="28fb6a485d34c6d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BF2"/>
    <w:rsid w:val="001364CF"/>
    <w:rsid w:val="005E2E69"/>
    <w:rsid w:val="00854BF2"/>
    <w:rsid w:val="00BB21C7"/>
    <w:rsid w:val="00CE3868"/>
    <w:rsid w:val="00F936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A4A5E"/>
  <w15:docId w15:val="{6A0581CC-ED71-44A5-8DC9-1CAA70810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4BF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4B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4BF2"/>
  </w:style>
  <w:style w:type="paragraph" w:styleId="Footer">
    <w:name w:val="footer"/>
    <w:basedOn w:val="Normal"/>
    <w:link w:val="FooterChar"/>
    <w:uiPriority w:val="99"/>
    <w:unhideWhenUsed/>
    <w:rsid w:val="00854B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4BF2"/>
  </w:style>
  <w:style w:type="character" w:styleId="Hyperlink">
    <w:name w:val="Hyperlink"/>
    <w:basedOn w:val="DefaultParagraphFont"/>
    <w:uiPriority w:val="99"/>
    <w:unhideWhenUsed/>
    <w:rsid w:val="00854BF2"/>
    <w:rPr>
      <w:color w:val="467886" w:themeColor="hyperlink"/>
      <w:u w:val="single"/>
    </w:rPr>
  </w:style>
  <w:style w:type="character" w:styleId="CommentReference">
    <w:name w:val="annotation reference"/>
    <w:basedOn w:val="DefaultParagraphFont"/>
    <w:uiPriority w:val="99"/>
    <w:semiHidden/>
    <w:unhideWhenUsed/>
    <w:rsid w:val="00854BF2"/>
    <w:rPr>
      <w:sz w:val="16"/>
      <w:szCs w:val="16"/>
    </w:rPr>
  </w:style>
  <w:style w:type="paragraph" w:styleId="CommentText">
    <w:name w:val="annotation text"/>
    <w:basedOn w:val="Normal"/>
    <w:link w:val="CommentTextChar"/>
    <w:uiPriority w:val="99"/>
    <w:unhideWhenUsed/>
    <w:rsid w:val="00854BF2"/>
    <w:pPr>
      <w:spacing w:line="240" w:lineRule="auto"/>
    </w:pPr>
    <w:rPr>
      <w:sz w:val="20"/>
      <w:szCs w:val="20"/>
    </w:rPr>
  </w:style>
  <w:style w:type="character" w:customStyle="1" w:styleId="CommentTextChar">
    <w:name w:val="Comment Text Char"/>
    <w:basedOn w:val="DefaultParagraphFont"/>
    <w:link w:val="CommentText"/>
    <w:uiPriority w:val="99"/>
    <w:rsid w:val="00854BF2"/>
    <w:rPr>
      <w:sz w:val="20"/>
      <w:szCs w:val="20"/>
    </w:rPr>
  </w:style>
  <w:style w:type="character" w:customStyle="1" w:styleId="cf01">
    <w:name w:val="cf01"/>
    <w:basedOn w:val="DefaultParagraphFont"/>
    <w:rsid w:val="00854BF2"/>
    <w:rPr>
      <w:rFonts w:ascii="Segoe UI" w:hAnsi="Segoe UI" w:cs="Segoe UI" w:hint="default"/>
      <w:sz w:val="18"/>
      <w:szCs w:val="18"/>
    </w:rPr>
  </w:style>
  <w:style w:type="character" w:customStyle="1" w:styleId="cf11">
    <w:name w:val="cf11"/>
    <w:basedOn w:val="DefaultParagraphFont"/>
    <w:rsid w:val="00854BF2"/>
    <w:rPr>
      <w:rFonts w:ascii="Segoe UI" w:hAnsi="Segoe UI" w:cs="Segoe UI" w:hint="default"/>
      <w:i/>
      <w:iCs/>
      <w:sz w:val="18"/>
      <w:szCs w:val="18"/>
    </w:rPr>
  </w:style>
  <w:style w:type="character" w:customStyle="1" w:styleId="cf21">
    <w:name w:val="cf21"/>
    <w:basedOn w:val="DefaultParagraphFont"/>
    <w:rsid w:val="00854BF2"/>
    <w:rPr>
      <w:rFonts w:ascii="Segoe UI" w:hAnsi="Segoe UI" w:cs="Segoe UI" w:hint="default"/>
      <w:sz w:val="18"/>
      <w:szCs w:val="18"/>
      <w:vertAlign w:val="superscript"/>
    </w:rPr>
  </w:style>
  <w:style w:type="character" w:styleId="FollowedHyperlink">
    <w:name w:val="FollowedHyperlink"/>
    <w:basedOn w:val="DefaultParagraphFont"/>
    <w:uiPriority w:val="99"/>
    <w:semiHidden/>
    <w:unhideWhenUsed/>
    <w:rsid w:val="00854BF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comments.xml.rels><?xml version="1.0" encoding="UTF-8" standalone="yes"?>
<Relationships xmlns="http://schemas.openxmlformats.org/package/2006/relationships"><Relationship Id="rId8" Type="http://schemas.openxmlformats.org/officeDocument/2006/relationships/hyperlink" Target="https://www.merriam-webster.com/dictionary/harm" TargetMode="External"/><Relationship Id="rId13" Type="http://schemas.openxmlformats.org/officeDocument/2006/relationships/hyperlink" Target="https://www.cdc.gov/violenceprevention/aces/about.html" TargetMode="External"/><Relationship Id="rId18" Type="http://schemas.openxmlformats.org/officeDocument/2006/relationships/hyperlink" Target="https://assets.publishing.service.gov.uk/media/5a800adfed915d74e622c21c/safeguarding-childrenarchive.pdf" TargetMode="External"/><Relationship Id="rId26" Type="http://schemas.openxmlformats.org/officeDocument/2006/relationships/hyperlink" Target="https://policeprofessional.com/news/ipcc-investigation-finds-%C2%91alarming-failings%C2%92-in-pilkington-case/" TargetMode="External"/><Relationship Id="rId3" Type="http://schemas.openxmlformats.org/officeDocument/2006/relationships/hyperlink" Target="https://hmicfrs.justiceinspectorates.gov.uk/peel-assessments/peel-assessments-2021-22/south-wales/" TargetMode="External"/><Relationship Id="rId21" Type="http://schemas.openxmlformats.org/officeDocument/2006/relationships/hyperlink" Target="https://www.college.police.uk/app/detention-and-custody/detainee-care/children-and-young-persons" TargetMode="External"/><Relationship Id="rId7" Type="http://schemas.openxmlformats.org/officeDocument/2006/relationships/hyperlink" Target="https://www2.nphs.wales.nhs.uk/ChildProDocs.nsf/815f97434d281f8b80257508003d3986/b68c1a65ccef8aa980257964005a3987/$FILE/Microsoft%20Word%20-%20Guidance%20for%20Safeguarding%20Children%20%20Vulnerable%20Adults%20in%20General%20Dental%20Practice%201st%20July%202011.pdf" TargetMode="External"/><Relationship Id="rId12" Type="http://schemas.openxmlformats.org/officeDocument/2006/relationships/hyperlink" Target="https://www.researchgate.net/profile/Mitch-Blair/publication/353321292_Adverse_childhood_experiences/links/643578f7ad9b6d17dc4ee138/Adverse-childhood-experiences.pdf" TargetMode="External"/><Relationship Id="rId17" Type="http://schemas.openxmlformats.org/officeDocument/2006/relationships/hyperlink" Target="https://www.college.police.uk/app/major-investigation-and-public-protection/investigating-child-abuse-and-safeguarding-children" TargetMode="External"/><Relationship Id="rId25" Type="http://schemas.openxmlformats.org/officeDocument/2006/relationships/hyperlink" Target="https://www.hampshiresab.org.uk/wp-content/uploads/2009-Fiona-Pilkington-Leicestershire.pdf" TargetMode="External"/><Relationship Id="rId2" Type="http://schemas.openxmlformats.org/officeDocument/2006/relationships/hyperlink" Target="https://hmicfrs.justiceinspectorates.gov.uk/peel-assessments/peel-assessments-2021-22/south-wales/" TargetMode="External"/><Relationship Id="rId16" Type="http://schemas.openxmlformats.org/officeDocument/2006/relationships/hyperlink" Target="https://assets.publishing.service.gov.uk/media/5f4f72c68fa8f523f4c3c0ed/Understanding_and_quantifying_vulnerability_in_childhood.pdf" TargetMode="External"/><Relationship Id="rId20" Type="http://schemas.openxmlformats.org/officeDocument/2006/relationships/hyperlink" Target="https://yjlc.uk/resources/legal-terms-z/appropriate-adult" TargetMode="External"/><Relationship Id="rId29" Type="http://schemas.openxmlformats.org/officeDocument/2006/relationships/hyperlink" Target="https://www.college.police.uk/guidance/vulnerability-related-risks/professional-development" TargetMode="External"/><Relationship Id="rId1" Type="http://schemas.openxmlformats.org/officeDocument/2006/relationships/hyperlink" Target="https://www.south-wales.police.uk/news/south-wales/news/2022/aws-aug/south-wales-police-response-to-hmicfrs-peel-inspection/" TargetMode="External"/><Relationship Id="rId6" Type="http://schemas.openxmlformats.org/officeDocument/2006/relationships/hyperlink" Target="https://www.gov.uk/government/publications/vulnerabilities-applying-all-our-health/vulnerabilities-applying-all-our-health" TargetMode="External"/><Relationship Id="rId11" Type="http://schemas.openxmlformats.org/officeDocument/2006/relationships/hyperlink" Target="https://www.legislation.gov.uk/ukpga/2010/15/part/2/chapter/1" TargetMode="External"/><Relationship Id="rId24" Type="http://schemas.openxmlformats.org/officeDocument/2006/relationships/hyperlink" Target="https://www.theguardian.com/uk/2009/sep/28/pilkington-inquest-victim-hardwick" TargetMode="External"/><Relationship Id="rId32" Type="http://schemas.openxmlformats.org/officeDocument/2006/relationships/hyperlink" Target="https://commissioner.south-wales.police.uk/media/2745/crp005-crime-plan-202327-final.pdf" TargetMode="External"/><Relationship Id="rId5" Type="http://schemas.openxmlformats.org/officeDocument/2006/relationships/hyperlink" Target="https://www.college.police.uk/guidance/vulnerability-related-risks/introduction-vulnerability-related-risk" TargetMode="External"/><Relationship Id="rId15" Type="http://schemas.openxmlformats.org/officeDocument/2006/relationships/hyperlink" Target="https://www.legislation.gov.uk/ukpga/1989/41/section/105" TargetMode="External"/><Relationship Id="rId23" Type="http://schemas.openxmlformats.org/officeDocument/2006/relationships/hyperlink" Target="https://foi.west-midlands.police.uk/wp-content/uploads/2021/01/THRIVE.pdf" TargetMode="External"/><Relationship Id="rId28" Type="http://schemas.openxmlformats.org/officeDocument/2006/relationships/hyperlink" Target="https://www.plymouth.gov.uk/learning-safeguarding-adult-reviews-2021-2022" TargetMode="External"/><Relationship Id="rId10" Type="http://schemas.openxmlformats.org/officeDocument/2006/relationships/hyperlink" Target="https://orca.cardiff.ac.uk/id/eprint/52681/1/personal-situational-and-incidental-vulnerabilities-to-anti-social-behaviour-harm-a-follow-up-study.pdf" TargetMode="External"/><Relationship Id="rId19" Type="http://schemas.openxmlformats.org/officeDocument/2006/relationships/hyperlink" Target="https://www.college.police.uk/app/detention-and-custody/detainee-care/children-and-young-persons" TargetMode="External"/><Relationship Id="rId31" Type="http://schemas.openxmlformats.org/officeDocument/2006/relationships/hyperlink" Target="https://assets.publishing.service.gov.uk/media/5a81597440f0b62302696d33/6.379_Supporting_guidance_web_doc_v3.pdf" TargetMode="External"/><Relationship Id="rId4" Type="http://schemas.openxmlformats.org/officeDocument/2006/relationships/hyperlink" Target="https://commissioner.south-wales.police.uk/media/2745/crp005-crime-plan-202327-final.pdf" TargetMode="External"/><Relationship Id="rId9" Type="http://schemas.openxmlformats.org/officeDocument/2006/relationships/hyperlink" Target="https://www.preventingexploitationtoolkit.org.uk/home/what-is-exploitation/" TargetMode="External"/><Relationship Id="rId14" Type="http://schemas.openxmlformats.org/officeDocument/2006/relationships/hyperlink" Target="https://www.ajpmonline.org/article/S0749-3797(98)00017-8/fulltext" TargetMode="External"/><Relationship Id="rId22" Type="http://schemas.openxmlformats.org/officeDocument/2006/relationships/hyperlink" Target="https://www.college.police.uk/guidance/vulnerability-related-risks/introduction-vulnerability-related-risk" TargetMode="External"/><Relationship Id="rId27" Type="http://schemas.openxmlformats.org/officeDocument/2006/relationships/hyperlink" Target="https://www.newham.gov.uk/health-adult-social-care/safeguarding/3" TargetMode="External"/><Relationship Id="rId30" Type="http://schemas.openxmlformats.org/officeDocument/2006/relationships/hyperlink" Target="file:///C:/Users/Caitlin/Downloads/Mentalhealthandpolicing.pdf" TargetMode="External"/></Relationships>
</file>

<file path=word/_rels/document.xml.rels><?xml version="1.0" encoding="UTF-8" standalone="yes"?>
<Relationships xmlns="http://schemas.openxmlformats.org/package/2006/relationships"><Relationship Id="rId13" Type="http://schemas.openxmlformats.org/officeDocument/2006/relationships/hyperlink" Target="https://www.college.police.uk/guidance/vulnerability-related-risks/introduction-vulnerability-related-risk" TargetMode="External"/><Relationship Id="rId18" Type="http://schemas.openxmlformats.org/officeDocument/2006/relationships/hyperlink" Target="https://hmicfrs.justiceinspectorates.gov.uk/peel-assessments/peel-assessments-2021-22/south-wales/" TargetMode="External"/><Relationship Id="rId26" Type="http://schemas.openxmlformats.org/officeDocument/2006/relationships/hyperlink" Target="https://www.researchgate.net/profile/Mitch-Blair/publication/353321292_Adverse_childhood_experiences/links/643578f7ad9b6d17dc4ee138/Adverse-childhood-experiences.pdf" TargetMode="External"/><Relationship Id="rId39" Type="http://schemas.openxmlformats.org/officeDocument/2006/relationships/header" Target="header1.xml"/><Relationship Id="rId21" Type="http://schemas.openxmlformats.org/officeDocument/2006/relationships/hyperlink" Target="https://policeprofessional.com/news/ipcc-investigation-finds-%C2%91alarming-failings%C2%92-in-pilkington-case/" TargetMode="External"/><Relationship Id="rId34" Type="http://schemas.openxmlformats.org/officeDocument/2006/relationships/hyperlink" Target="https://commissioner.south-wales.police.uk/media/2745/crp005-crime-plan-202327-final.pdf" TargetMode="External"/><Relationship Id="rId42" Type="http://schemas.openxmlformats.org/officeDocument/2006/relationships/theme" Target="theme/theme1.xml"/><Relationship Id="rId7" Type="http://schemas.openxmlformats.org/officeDocument/2006/relationships/comments" Target="comments.xml"/><Relationship Id="rId2" Type="http://schemas.openxmlformats.org/officeDocument/2006/relationships/styles" Target="styles.xml"/><Relationship Id="rId16" Type="http://schemas.openxmlformats.org/officeDocument/2006/relationships/hyperlink" Target="https://www.legislation.gov.uk/ukpga/2010/15/part/2/chapter/1" TargetMode="External"/><Relationship Id="rId20" Type="http://schemas.openxmlformats.org/officeDocument/2006/relationships/hyperlink" Target="https://assets.publishing.service.gov.uk/media/5a800adfed915d74e622c21c/safeguarding-childrenarchive.pdf" TargetMode="External"/><Relationship Id="rId29" Type="http://schemas.openxmlformats.org/officeDocument/2006/relationships/hyperlink" Target="https://www.preventingexploitationtoolkit.org.uk/home/what-is-exploitation/" TargetMode="External"/><Relationship Id="rId41" Type="http://schemas.microsoft.com/office/2011/relationships/people" Target="peop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dc.gov/violenceprevention/aces/about.html" TargetMode="External"/><Relationship Id="rId24" Type="http://schemas.openxmlformats.org/officeDocument/2006/relationships/hyperlink" Target="https://www.merriam-webster.com/dictionary/harm" TargetMode="External"/><Relationship Id="rId32" Type="http://schemas.openxmlformats.org/officeDocument/2006/relationships/hyperlink" Target="https://www.communitycare.co.uk/2009/09/30/fiona-pilkington-scr-questions-safeguarding-adults-policy/" TargetMode="External"/><Relationship Id="rId37" Type="http://schemas.openxmlformats.org/officeDocument/2006/relationships/hyperlink" Target="https://foi.west-midlands.police.uk/wp-content/uploads/2021/01/THRIVE.pdf"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ollege.police.uk/app/major-investigation-and-public-protection/investigating-child-abuse-and-safeguarding-children" TargetMode="External"/><Relationship Id="rId23" Type="http://schemas.openxmlformats.org/officeDocument/2006/relationships/hyperlink" Target="https://www.hampshiresab.org.uk/wp-content/uploads/2009-Fiona-Pilkington-Leicestershire.pdf" TargetMode="External"/><Relationship Id="rId28" Type="http://schemas.openxmlformats.org/officeDocument/2006/relationships/hyperlink" Target="https://www.plymouth.gov.uk/learning-safeguarding-adult-reviews-2021-2022" TargetMode="External"/><Relationship Id="rId36" Type="http://schemas.openxmlformats.org/officeDocument/2006/relationships/hyperlink" Target="https://www.theguardian.com/uk/2009/sep/28/pilkington-inquest-victim-hardwick" TargetMode="External"/><Relationship Id="rId10" Type="http://schemas.microsoft.com/office/2018/08/relationships/commentsExtensible" Target="commentsExtensible.xml"/><Relationship Id="rId19" Type="http://schemas.openxmlformats.org/officeDocument/2006/relationships/hyperlink" Target="https://hmicfrs.justiceinspectorates.gov.uk/glossary/threat-harm-risk-investigation/" TargetMode="External"/><Relationship Id="rId31" Type="http://schemas.openxmlformats.org/officeDocument/2006/relationships/hyperlink" Target="https://www2.nphs.wales.nhs.uk/ChildProDocs.nsf/815f97434d281f8b80257508003d3986/b68c1a65ccef8aa980257964005a3987/$FILE/Microsoft%20Word%20-%20Guidance%20for%20Safeguarding%20Children%20%20Vulnerable%20Adults%20in%20General%20Dental%20Practice%201st%20July%202011.pdf" TargetMode="Externa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www.college.police.uk/app/detention-and-custody/detainee-care/children-and-young-persons" TargetMode="External"/><Relationship Id="rId22" Type="http://schemas.openxmlformats.org/officeDocument/2006/relationships/hyperlink" Target="https://orca.cardiff.ac.uk/id/eprint/52681/1/personal-situational-and-incidental-vulnerabilities-to-anti-social-behaviour-harm-a-follow-up-study.pdf" TargetMode="External"/><Relationship Id="rId27" Type="http://schemas.openxmlformats.org/officeDocument/2006/relationships/hyperlink" Target="https://www.gov.uk/government/publications/vulnerabilities-applying-all-our-health/vulnerabilities-applying-all-our-health" TargetMode="External"/><Relationship Id="rId30" Type="http://schemas.openxmlformats.org/officeDocument/2006/relationships/hyperlink" Target="https://assets.publishing.service.gov.uk/media/5f4f72c68fa8f523f4c3c0ed/Understanding_and_quantifying_vulnerability_in_childhood.pdf" TargetMode="External"/><Relationship Id="rId35" Type="http://schemas.openxmlformats.org/officeDocument/2006/relationships/hyperlink" Target="https://www.south-wales.police.uk/news/south-wales/news/2022/aws-aug/south-wales-police-response-to-hmicfrs-peel-inspection/" TargetMode="External"/><Relationship Id="rId8" Type="http://schemas.microsoft.com/office/2011/relationships/commentsExtended" Target="commentsExtended.xml"/><Relationship Id="rId3" Type="http://schemas.openxmlformats.org/officeDocument/2006/relationships/settings" Target="settings.xml"/><Relationship Id="rId12" Type="http://schemas.openxmlformats.org/officeDocument/2006/relationships/hyperlink" Target="https://www.legislation.gov.uk/ukpga/1989/41/section/105" TargetMode="External"/><Relationship Id="rId17" Type="http://schemas.openxmlformats.org/officeDocument/2006/relationships/hyperlink" Target="https://www.ajpmonline.org/article/S0749-3797(98)00017-8/fulltext" TargetMode="External"/><Relationship Id="rId25" Type="http://schemas.openxmlformats.org/officeDocument/2006/relationships/hyperlink" Target="https://www.newham.gov.uk/health-adult-social-care/safeguarding/3" TargetMode="External"/><Relationship Id="rId33" Type="http://schemas.openxmlformats.org/officeDocument/2006/relationships/hyperlink" Target="https://www.legislation.gov.uk/anaw/2014/4/contents" TargetMode="External"/><Relationship Id="rId38" Type="http://schemas.openxmlformats.org/officeDocument/2006/relationships/hyperlink" Target="https://yjlc.uk/resources/legal-terms-z/appropriate-adul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83C4F6-5822-4185-97FF-343E8B153C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4384</Words>
  <Characters>24995</Characters>
  <Application>Microsoft Office Word</Application>
  <DocSecurity>0</DocSecurity>
  <Lines>208</Lines>
  <Paragraphs>58</Paragraphs>
  <ScaleCrop>false</ScaleCrop>
  <Company/>
  <LinksUpToDate>false</LinksUpToDate>
  <CharactersWithSpaces>29321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Harris</dc:creator>
  <cp:keywords/>
  <dc:description/>
  <cp:lastModifiedBy>Caitlin Harris</cp:lastModifiedBy>
  <cp:revision>2</cp:revision>
  <dcterms:created xsi:type="dcterms:W3CDTF">2024-03-13T15:25:00Z</dcterms:created>
  <dcterms:modified xsi:type="dcterms:W3CDTF">2024-03-13T15:31:00Z</dcterms:modified>
</cp:coreProperties>
</file>