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4DB4" w:rsidRDefault="00F14DB4">
      <w:pPr>
        <w:rPr>
          <w:rFonts w:ascii="Arial" w:eastAsia="Times New Roman" w:hAnsi="Arial" w:cs="Arial"/>
          <w:b/>
          <w:u w:val="single"/>
          <w:lang w:eastAsia="en-GB"/>
        </w:rPr>
      </w:pPr>
    </w:p>
    <w:p w:rsidR="00F14DB4" w:rsidRPr="00F80426" w:rsidRDefault="00F14DB4" w:rsidP="003009A5">
      <w:pPr>
        <w:jc w:val="both"/>
        <w:rPr>
          <w:rFonts w:ascii="Arial" w:eastAsia="Times New Roman" w:hAnsi="Arial" w:cs="Arial"/>
          <w:b/>
          <w:sz w:val="40"/>
          <w:szCs w:val="40"/>
          <w:u w:val="single"/>
          <w:lang w:eastAsia="en-GB"/>
        </w:rPr>
      </w:pPr>
      <w:r w:rsidRPr="00F80426">
        <w:rPr>
          <w:rFonts w:ascii="Arial" w:eastAsia="Times New Roman" w:hAnsi="Arial" w:cs="Arial"/>
          <w:b/>
          <w:sz w:val="40"/>
          <w:szCs w:val="40"/>
          <w:u w:val="single"/>
          <w:lang w:eastAsia="en-GB"/>
        </w:rPr>
        <w:t>Cover page:</w:t>
      </w:r>
    </w:p>
    <w:p w:rsidR="00F14DB4" w:rsidRPr="00F80426" w:rsidRDefault="00F14DB4" w:rsidP="003009A5">
      <w:pPr>
        <w:jc w:val="both"/>
        <w:rPr>
          <w:rFonts w:ascii="Arial" w:eastAsia="Times New Roman" w:hAnsi="Arial" w:cs="Arial"/>
          <w:b/>
          <w:sz w:val="40"/>
          <w:szCs w:val="40"/>
          <w:lang w:eastAsia="en-GB"/>
        </w:rPr>
      </w:pPr>
      <w:r w:rsidRPr="00F80426">
        <w:rPr>
          <w:rFonts w:ascii="Arial" w:eastAsia="Times New Roman" w:hAnsi="Arial" w:cs="Arial"/>
          <w:b/>
          <w:sz w:val="40"/>
          <w:szCs w:val="40"/>
          <w:lang w:eastAsia="en-GB"/>
        </w:rPr>
        <w:t>Name: Nejma Begum</w:t>
      </w:r>
    </w:p>
    <w:p w:rsidR="00F80426" w:rsidRPr="00F80426" w:rsidRDefault="00F80426" w:rsidP="003009A5">
      <w:pPr>
        <w:jc w:val="both"/>
        <w:rPr>
          <w:rFonts w:ascii="Arial" w:eastAsia="Times New Roman" w:hAnsi="Arial" w:cs="Arial"/>
          <w:b/>
          <w:sz w:val="40"/>
          <w:szCs w:val="40"/>
          <w:lang w:eastAsia="en-GB"/>
        </w:rPr>
      </w:pPr>
    </w:p>
    <w:p w:rsidR="00F14DB4" w:rsidRPr="00F80426" w:rsidRDefault="00F14DB4" w:rsidP="003009A5">
      <w:pPr>
        <w:jc w:val="both"/>
        <w:rPr>
          <w:rFonts w:ascii="Arial" w:eastAsia="Times New Roman" w:hAnsi="Arial" w:cs="Arial"/>
          <w:b/>
          <w:sz w:val="40"/>
          <w:szCs w:val="40"/>
          <w:lang w:eastAsia="en-GB"/>
        </w:rPr>
      </w:pPr>
      <w:r w:rsidRPr="00F80426">
        <w:rPr>
          <w:rFonts w:ascii="Arial" w:eastAsia="Times New Roman" w:hAnsi="Arial" w:cs="Arial"/>
          <w:b/>
          <w:sz w:val="40"/>
          <w:szCs w:val="40"/>
          <w:lang w:eastAsia="en-GB"/>
        </w:rPr>
        <w:t>Student Number: 2419975</w:t>
      </w:r>
    </w:p>
    <w:p w:rsidR="00F80426" w:rsidRPr="00F80426" w:rsidRDefault="00F80426" w:rsidP="003009A5">
      <w:pPr>
        <w:jc w:val="both"/>
        <w:rPr>
          <w:rFonts w:ascii="Arial" w:eastAsia="Times New Roman" w:hAnsi="Arial" w:cs="Arial"/>
          <w:b/>
          <w:sz w:val="40"/>
          <w:szCs w:val="40"/>
          <w:lang w:eastAsia="en-GB"/>
        </w:rPr>
      </w:pPr>
    </w:p>
    <w:p w:rsidR="00F14DB4" w:rsidRPr="00F80426" w:rsidRDefault="00F14DB4" w:rsidP="003009A5">
      <w:pPr>
        <w:jc w:val="both"/>
        <w:rPr>
          <w:rFonts w:ascii="Arial" w:eastAsia="Times New Roman" w:hAnsi="Arial" w:cs="Arial"/>
          <w:b/>
          <w:sz w:val="40"/>
          <w:szCs w:val="40"/>
          <w:lang w:eastAsia="en-GB"/>
        </w:rPr>
      </w:pPr>
      <w:r w:rsidRPr="00F80426">
        <w:rPr>
          <w:rFonts w:ascii="Arial" w:eastAsia="Times New Roman" w:hAnsi="Arial" w:cs="Arial"/>
          <w:b/>
          <w:sz w:val="40"/>
          <w:szCs w:val="40"/>
          <w:lang w:eastAsia="en-GB"/>
        </w:rPr>
        <w:t>Module Code: LCHS4010</w:t>
      </w:r>
    </w:p>
    <w:p w:rsidR="00F80426" w:rsidRPr="00F80426" w:rsidRDefault="00F80426" w:rsidP="003009A5">
      <w:pPr>
        <w:jc w:val="both"/>
        <w:rPr>
          <w:rFonts w:ascii="Arial" w:eastAsia="Times New Roman" w:hAnsi="Arial" w:cs="Arial"/>
          <w:b/>
          <w:sz w:val="40"/>
          <w:szCs w:val="40"/>
          <w:lang w:eastAsia="en-GB"/>
        </w:rPr>
      </w:pPr>
    </w:p>
    <w:p w:rsidR="00F14DB4" w:rsidRPr="00F80426" w:rsidRDefault="00F14DB4" w:rsidP="003009A5">
      <w:pPr>
        <w:jc w:val="both"/>
        <w:rPr>
          <w:rFonts w:ascii="Arial" w:eastAsia="Times New Roman" w:hAnsi="Arial" w:cs="Arial"/>
          <w:b/>
          <w:sz w:val="40"/>
          <w:szCs w:val="40"/>
          <w:lang w:eastAsia="en-GB"/>
        </w:rPr>
      </w:pPr>
      <w:r w:rsidRPr="00F80426">
        <w:rPr>
          <w:rFonts w:ascii="Arial" w:eastAsia="Times New Roman" w:hAnsi="Arial" w:cs="Arial"/>
          <w:b/>
          <w:sz w:val="40"/>
          <w:szCs w:val="40"/>
          <w:lang w:eastAsia="en-GB"/>
        </w:rPr>
        <w:t xml:space="preserve">Lecturer’s Name: </w:t>
      </w:r>
      <w:r w:rsidR="00FF6AE0">
        <w:rPr>
          <w:rFonts w:ascii="Arial" w:eastAsia="Times New Roman" w:hAnsi="Arial" w:cs="Arial"/>
          <w:b/>
          <w:sz w:val="40"/>
          <w:szCs w:val="40"/>
          <w:lang w:eastAsia="en-GB"/>
        </w:rPr>
        <w:t>Samuel Assan</w:t>
      </w:r>
    </w:p>
    <w:p w:rsidR="00F80426" w:rsidRPr="00F80426" w:rsidRDefault="00F80426" w:rsidP="003009A5">
      <w:pPr>
        <w:jc w:val="both"/>
        <w:rPr>
          <w:rFonts w:ascii="Arial" w:eastAsia="Times New Roman" w:hAnsi="Arial" w:cs="Arial"/>
          <w:b/>
          <w:sz w:val="40"/>
          <w:szCs w:val="40"/>
          <w:lang w:eastAsia="en-GB"/>
        </w:rPr>
      </w:pPr>
    </w:p>
    <w:p w:rsidR="00F14DB4" w:rsidRPr="00F80426" w:rsidRDefault="00F14DB4" w:rsidP="003009A5">
      <w:pPr>
        <w:jc w:val="both"/>
        <w:rPr>
          <w:rFonts w:ascii="Arial" w:eastAsia="Times New Roman" w:hAnsi="Arial" w:cs="Arial"/>
          <w:b/>
          <w:sz w:val="40"/>
          <w:szCs w:val="40"/>
          <w:lang w:eastAsia="en-GB"/>
        </w:rPr>
      </w:pPr>
      <w:r w:rsidRPr="00F80426">
        <w:rPr>
          <w:rFonts w:ascii="Arial" w:eastAsia="Times New Roman" w:hAnsi="Arial" w:cs="Arial"/>
          <w:b/>
          <w:sz w:val="40"/>
          <w:szCs w:val="40"/>
          <w:lang w:eastAsia="en-GB"/>
        </w:rPr>
        <w:t>Module Title: Psychology in Health and Social Care</w:t>
      </w:r>
    </w:p>
    <w:p w:rsidR="00F14DB4" w:rsidRDefault="00F14DB4">
      <w:pPr>
        <w:rPr>
          <w:rFonts w:ascii="Arial" w:eastAsia="Times New Roman" w:hAnsi="Arial" w:cs="Arial"/>
          <w:b/>
          <w:u w:val="single"/>
          <w:lang w:eastAsia="en-GB"/>
        </w:rPr>
      </w:pPr>
      <w:r>
        <w:rPr>
          <w:rFonts w:ascii="Arial" w:eastAsia="Times New Roman" w:hAnsi="Arial" w:cs="Arial"/>
          <w:b/>
          <w:u w:val="single"/>
          <w:lang w:eastAsia="en-GB"/>
        </w:rPr>
        <w:br w:type="page"/>
      </w:r>
    </w:p>
    <w:p w:rsidR="00610560" w:rsidRDefault="00F14DB4" w:rsidP="003009A5">
      <w:pPr>
        <w:jc w:val="both"/>
        <w:rPr>
          <w:rFonts w:ascii="Arial" w:eastAsia="Times New Roman" w:hAnsi="Arial" w:cs="Arial"/>
          <w:b/>
          <w:u w:val="single"/>
          <w:lang w:eastAsia="en-GB"/>
        </w:rPr>
      </w:pPr>
      <w:r>
        <w:rPr>
          <w:rFonts w:ascii="Arial" w:eastAsia="Times New Roman" w:hAnsi="Arial" w:cs="Arial"/>
          <w:b/>
          <w:u w:val="single"/>
          <w:lang w:eastAsia="en-GB"/>
        </w:rPr>
        <w:lastRenderedPageBreak/>
        <w:t>1,500 word report:</w:t>
      </w:r>
    </w:p>
    <w:p w:rsidR="003009A5" w:rsidRPr="003009A5" w:rsidRDefault="003009A5" w:rsidP="003009A5">
      <w:pPr>
        <w:jc w:val="both"/>
        <w:rPr>
          <w:rFonts w:ascii="Arial" w:eastAsia="Times New Roman" w:hAnsi="Arial" w:cs="Arial"/>
          <w:b/>
          <w:u w:val="single"/>
          <w:lang w:eastAsia="en-GB"/>
        </w:rPr>
      </w:pPr>
      <w:r>
        <w:rPr>
          <w:rFonts w:ascii="Arial" w:eastAsia="Times New Roman" w:hAnsi="Arial" w:cs="Arial"/>
          <w:b/>
          <w:u w:val="single"/>
          <w:lang w:eastAsia="en-GB"/>
        </w:rPr>
        <w:t>Introduction</w:t>
      </w:r>
    </w:p>
    <w:p w:rsidR="00903B90" w:rsidRPr="00610560" w:rsidRDefault="00903B90" w:rsidP="003009A5">
      <w:pPr>
        <w:jc w:val="both"/>
        <w:rPr>
          <w:rFonts w:ascii="Arial" w:eastAsia="Times New Roman" w:hAnsi="Arial" w:cs="Arial"/>
          <w:lang w:eastAsia="en-GB"/>
        </w:rPr>
      </w:pPr>
      <w:r w:rsidRPr="00903B90">
        <w:rPr>
          <w:rFonts w:ascii="Arial" w:eastAsia="Times New Roman" w:hAnsi="Arial" w:cs="Arial"/>
          <w:lang w:eastAsia="en-GB"/>
        </w:rPr>
        <w:t xml:space="preserve">Memory, reasoning, language, and emotional control are all severely impacted by dementia, a degenerative neurocognitive illness. It frequently results in changes in self-identity and a loss of independence (World Health Organisation [WHO], 2023). </w:t>
      </w:r>
      <w:r w:rsidR="003009A5">
        <w:rPr>
          <w:rFonts w:ascii="Arial" w:eastAsia="Times New Roman" w:hAnsi="Arial" w:cs="Arial"/>
          <w:lang w:eastAsia="en-GB"/>
        </w:rPr>
        <w:t>To</w:t>
      </w:r>
      <w:r w:rsidRPr="00903B90">
        <w:rPr>
          <w:rFonts w:ascii="Arial" w:eastAsia="Times New Roman" w:hAnsi="Arial" w:cs="Arial"/>
          <w:lang w:eastAsia="en-GB"/>
        </w:rPr>
        <w:t xml:space="preserve"> provide comprehensive, person-centred care, care home staff m</w:t>
      </w:r>
      <w:r w:rsidR="005B63C4">
        <w:rPr>
          <w:rFonts w:ascii="Arial" w:eastAsia="Times New Roman" w:hAnsi="Arial" w:cs="Arial"/>
          <w:lang w:eastAsia="en-GB"/>
        </w:rPr>
        <w:t>ust include psychological theories</w:t>
      </w:r>
      <w:r w:rsidRPr="00903B90">
        <w:rPr>
          <w:rFonts w:ascii="Arial" w:eastAsia="Times New Roman" w:hAnsi="Arial" w:cs="Arial"/>
          <w:lang w:eastAsia="en-GB"/>
        </w:rPr>
        <w:t xml:space="preserve"> into t</w:t>
      </w:r>
      <w:r w:rsidR="005B63C4">
        <w:rPr>
          <w:rFonts w:ascii="Arial" w:eastAsia="Times New Roman" w:hAnsi="Arial" w:cs="Arial"/>
          <w:lang w:eastAsia="en-GB"/>
        </w:rPr>
        <w:t>heir work as the number of elder people</w:t>
      </w:r>
      <w:r w:rsidRPr="00903B90">
        <w:rPr>
          <w:rFonts w:ascii="Arial" w:eastAsia="Times New Roman" w:hAnsi="Arial" w:cs="Arial"/>
          <w:lang w:eastAsia="en-GB"/>
        </w:rPr>
        <w:t xml:space="preserve"> with dementia rises. Employees may foster workplaces that enhance dignity, purpose, and quality of life by having an understanding of how theoretical views explain behaviour, cognition, and emotion. Maslow's Hierarchy of Needs and Erikson's Psychosocial Theory of Development are two important psychological theories that are </w:t>
      </w:r>
      <w:r w:rsidR="005B63C4" w:rsidRPr="00903B90">
        <w:rPr>
          <w:rFonts w:ascii="Arial" w:eastAsia="Times New Roman" w:hAnsi="Arial" w:cs="Arial"/>
          <w:lang w:eastAsia="en-GB"/>
        </w:rPr>
        <w:t>applicable</w:t>
      </w:r>
      <w:r w:rsidRPr="00903B90">
        <w:rPr>
          <w:rFonts w:ascii="Arial" w:eastAsia="Times New Roman" w:hAnsi="Arial" w:cs="Arial"/>
          <w:lang w:eastAsia="en-GB"/>
        </w:rPr>
        <w:t xml:space="preserve"> to dementia care, and this research</w:t>
      </w:r>
      <w:r w:rsidR="005B63C4">
        <w:rPr>
          <w:rFonts w:ascii="Arial" w:eastAsia="Times New Roman" w:hAnsi="Arial" w:cs="Arial"/>
          <w:lang w:eastAsia="en-GB"/>
        </w:rPr>
        <w:t xml:space="preserve"> report</w:t>
      </w:r>
      <w:r w:rsidRPr="00903B90">
        <w:rPr>
          <w:rFonts w:ascii="Arial" w:eastAsia="Times New Roman" w:hAnsi="Arial" w:cs="Arial"/>
          <w:lang w:eastAsia="en-GB"/>
        </w:rPr>
        <w:t xml:space="preserve"> explores how they might direct efficient practice. </w:t>
      </w:r>
      <w:r w:rsidRPr="00610560">
        <w:rPr>
          <w:rFonts w:ascii="Arial" w:eastAsia="Times New Roman" w:hAnsi="Arial" w:cs="Arial"/>
          <w:lang w:eastAsia="en-GB"/>
        </w:rPr>
        <w:t>Additionally, the study examines how nature and nurture interact in later life and offers evidence-based methods for assisting senior citizens.</w:t>
      </w: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According to Erik Erikson's 1950 theory, human development happens in eight psychosocial stages, each of which is characterised by a fundamental conflict that aids in the construction of identity. "Ego Integrity vs. Despair" is the last stage, which happens in late adulthood. At this point, people consider their lives and accomplishments. Unresolved conflict leads to hopelessness, remorse, and a fear of dying, but successfu</w:t>
      </w:r>
      <w:r w:rsidR="005B63C4">
        <w:rPr>
          <w:rFonts w:ascii="Arial" w:eastAsia="Times New Roman" w:hAnsi="Arial" w:cs="Arial"/>
          <w:lang w:eastAsia="en-GB"/>
        </w:rPr>
        <w:t xml:space="preserve">l resolution produces integrity brings </w:t>
      </w:r>
      <w:r w:rsidRPr="00903B90">
        <w:rPr>
          <w:rFonts w:ascii="Arial" w:eastAsia="Times New Roman" w:hAnsi="Arial" w:cs="Arial"/>
          <w:lang w:eastAsia="en-GB"/>
        </w:rPr>
        <w:t>a sense of wholeness and acceptance (McAdams, 2001). This viewpoint emphasises how important social connections and one's own identity are even as one ages.</w:t>
      </w:r>
    </w:p>
    <w:p w:rsidR="003009A5" w:rsidRPr="00903B90" w:rsidRDefault="003009A5" w:rsidP="003009A5">
      <w:pPr>
        <w:spacing w:after="0" w:line="240" w:lineRule="auto"/>
        <w:jc w:val="both"/>
        <w:rPr>
          <w:rFonts w:ascii="Arial" w:eastAsia="Times New Roman" w:hAnsi="Arial" w:cs="Arial"/>
          <w:lang w:eastAsia="en-GB"/>
        </w:rPr>
      </w:pP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Confusion and memory loss can make it difficult for older persons with dementia to retain a cohesive self-concept. Erikson's theory offers a framework for comprehending the emotional challenges that people may experience when they gradually lose their autonomy. Through life story work, validation therapy, and recollection therapy, carers can support ego integrity</w:t>
      </w:r>
      <w:r w:rsidR="005B63C4">
        <w:rPr>
          <w:rFonts w:ascii="Arial" w:eastAsia="Times New Roman" w:hAnsi="Arial" w:cs="Arial"/>
          <w:lang w:eastAsia="en-GB"/>
        </w:rPr>
        <w:t xml:space="preserve"> through these methods.</w:t>
      </w:r>
      <w:r w:rsidRPr="00903B90">
        <w:rPr>
          <w:rFonts w:ascii="Arial" w:eastAsia="Times New Roman" w:hAnsi="Arial" w:cs="Arial"/>
          <w:lang w:eastAsia="en-GB"/>
        </w:rPr>
        <w:t xml:space="preserve"> (Haight &amp; Webster, 1995; Woods et al., 2018). Despite cognitive deterioration, these methods enable people to perceive continuity, preserve identity, and thin</w:t>
      </w:r>
      <w:r w:rsidR="001D2FFD">
        <w:rPr>
          <w:rFonts w:ascii="Arial" w:eastAsia="Times New Roman" w:hAnsi="Arial" w:cs="Arial"/>
          <w:lang w:eastAsia="en-GB"/>
        </w:rPr>
        <w:t>k back on significant memories which will bring p</w:t>
      </w:r>
      <w:r w:rsidRPr="00903B90">
        <w:rPr>
          <w:rFonts w:ascii="Arial" w:eastAsia="Times New Roman" w:hAnsi="Arial" w:cs="Arial"/>
          <w:lang w:eastAsia="en-GB"/>
        </w:rPr>
        <w:t>ositive feelings and a sense of community can be reinforced</w:t>
      </w:r>
      <w:r w:rsidR="001D2FFD">
        <w:rPr>
          <w:rFonts w:ascii="Arial" w:eastAsia="Times New Roman" w:hAnsi="Arial" w:cs="Arial"/>
          <w:lang w:eastAsia="en-GB"/>
        </w:rPr>
        <w:t xml:space="preserve"> by carers as well as family members. F</w:t>
      </w:r>
      <w:r w:rsidRPr="00903B90">
        <w:rPr>
          <w:rFonts w:ascii="Arial" w:eastAsia="Times New Roman" w:hAnsi="Arial" w:cs="Arial"/>
          <w:lang w:eastAsia="en-GB"/>
        </w:rPr>
        <w:t>or instance, by showcasing pictures, playing music from their childhood, or pr</w:t>
      </w:r>
      <w:r w:rsidR="001D2FFD">
        <w:rPr>
          <w:rFonts w:ascii="Arial" w:eastAsia="Times New Roman" w:hAnsi="Arial" w:cs="Arial"/>
          <w:lang w:eastAsia="en-GB"/>
        </w:rPr>
        <w:t>omoting storytelling are types of ways in order to create a happy atomsphere for someone with dementia.</w:t>
      </w:r>
    </w:p>
    <w:p w:rsidR="003009A5" w:rsidRPr="00903B90" w:rsidRDefault="003009A5" w:rsidP="003009A5">
      <w:pPr>
        <w:spacing w:after="0" w:line="240" w:lineRule="auto"/>
        <w:jc w:val="both"/>
        <w:rPr>
          <w:rFonts w:ascii="Arial" w:eastAsia="Times New Roman" w:hAnsi="Arial" w:cs="Arial"/>
          <w:lang w:eastAsia="en-GB"/>
        </w:rPr>
      </w:pPr>
    </w:p>
    <w:p w:rsidR="00903B90" w:rsidRDefault="001D2FFD" w:rsidP="003009A5">
      <w:pPr>
        <w:spacing w:after="0" w:line="240" w:lineRule="auto"/>
        <w:jc w:val="both"/>
        <w:rPr>
          <w:rFonts w:ascii="Arial" w:eastAsia="Times New Roman" w:hAnsi="Arial" w:cs="Arial"/>
          <w:lang w:eastAsia="en-GB"/>
        </w:rPr>
      </w:pPr>
      <w:r>
        <w:rPr>
          <w:rFonts w:ascii="Arial" w:eastAsia="Times New Roman" w:hAnsi="Arial" w:cs="Arial"/>
          <w:lang w:eastAsia="en-GB"/>
        </w:rPr>
        <w:t>Furthermore, through</w:t>
      </w:r>
      <w:r w:rsidR="00903B90" w:rsidRPr="00903B90">
        <w:rPr>
          <w:rFonts w:ascii="Arial" w:eastAsia="Times New Roman" w:hAnsi="Arial" w:cs="Arial"/>
          <w:lang w:eastAsia="en-GB"/>
        </w:rPr>
        <w:t xml:space="preserve"> Erikson's lens, behavioural changes like agitation or withdrawal might be seen as indicators of psychosocial distress rather than just </w:t>
      </w:r>
      <w:r>
        <w:rPr>
          <w:rFonts w:ascii="Arial" w:eastAsia="Times New Roman" w:hAnsi="Arial" w:cs="Arial"/>
          <w:lang w:eastAsia="en-GB"/>
        </w:rPr>
        <w:t xml:space="preserve">illness symptoms. Professionals within the care home institute </w:t>
      </w:r>
      <w:r w:rsidR="00903B90" w:rsidRPr="00903B90">
        <w:rPr>
          <w:rFonts w:ascii="Arial" w:eastAsia="Times New Roman" w:hAnsi="Arial" w:cs="Arial"/>
          <w:lang w:eastAsia="en-GB"/>
        </w:rPr>
        <w:t>can lessen depressive feelings and enhance wellness by recognising the desire for dignity, connection, and purpose. The approach</w:t>
      </w:r>
      <w:r>
        <w:rPr>
          <w:rFonts w:ascii="Arial" w:eastAsia="Times New Roman" w:hAnsi="Arial" w:cs="Arial"/>
          <w:lang w:eastAsia="en-GB"/>
        </w:rPr>
        <w:t xml:space="preserve"> further</w:t>
      </w:r>
      <w:r w:rsidR="00903B90" w:rsidRPr="00903B90">
        <w:rPr>
          <w:rFonts w:ascii="Arial" w:eastAsia="Times New Roman" w:hAnsi="Arial" w:cs="Arial"/>
          <w:lang w:eastAsia="en-GB"/>
        </w:rPr>
        <w:t xml:space="preserve"> highlights that emotional development and meaning can still occur even wh</w:t>
      </w:r>
      <w:r>
        <w:rPr>
          <w:rFonts w:ascii="Arial" w:eastAsia="Times New Roman" w:hAnsi="Arial" w:cs="Arial"/>
          <w:lang w:eastAsia="en-GB"/>
        </w:rPr>
        <w:t>en cognitive capacities decline in this case with dementia.</w:t>
      </w:r>
    </w:p>
    <w:p w:rsidR="003009A5" w:rsidRPr="00903B90" w:rsidRDefault="003009A5" w:rsidP="003009A5">
      <w:pPr>
        <w:spacing w:after="0" w:line="240" w:lineRule="auto"/>
        <w:jc w:val="both"/>
        <w:rPr>
          <w:rFonts w:ascii="Arial" w:eastAsia="Times New Roman" w:hAnsi="Arial" w:cs="Arial"/>
          <w:lang w:eastAsia="en-GB"/>
        </w:rPr>
      </w:pP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Erikson's approach revolves around the interplay between nature and nurture. Nature is represented by the biological alterations in the brain brought on by dementia, but nurture is represented by the standard of care, emotional support, and social contact. The detrimental effects of neurological degeneration can be mitigated by a supportive environment. Maintaining self-worth is aided by relationships that are consistent, affirmation, and compassionate communication. Psychosocial care thus symbolises the dynamic interplay between nature and nurture in later life.</w:t>
      </w:r>
    </w:p>
    <w:p w:rsidR="003009A5" w:rsidRPr="00903B90" w:rsidRDefault="003009A5" w:rsidP="003009A5">
      <w:pPr>
        <w:spacing w:after="0" w:line="240" w:lineRule="auto"/>
        <w:jc w:val="both"/>
        <w:rPr>
          <w:rFonts w:ascii="Arial" w:eastAsia="Times New Roman" w:hAnsi="Arial" w:cs="Arial"/>
          <w:lang w:eastAsia="en-GB"/>
        </w:rPr>
      </w:pP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Erikson's hypothesis</w:t>
      </w:r>
      <w:r w:rsidR="001D2FFD">
        <w:rPr>
          <w:rFonts w:ascii="Arial" w:eastAsia="Times New Roman" w:hAnsi="Arial" w:cs="Arial"/>
          <w:lang w:eastAsia="en-GB"/>
        </w:rPr>
        <w:t xml:space="preserve"> and theories</w:t>
      </w:r>
      <w:r w:rsidRPr="00903B90">
        <w:rPr>
          <w:rFonts w:ascii="Arial" w:eastAsia="Times New Roman" w:hAnsi="Arial" w:cs="Arial"/>
          <w:lang w:eastAsia="en-GB"/>
        </w:rPr>
        <w:t xml:space="preserve"> has advantages and disadvantages. Its strength is in acknowledging that emotional growth is a continuous process throughout life. Instead of concentrating only on physical health, it pushes practitioners to address emotional and social needs. Critics counter that the stage model is overly culturally particular and linear (McLeod, 2018). The course of dementia care is not set in stone; depending on their attitude and </w:t>
      </w:r>
      <w:r w:rsidRPr="00903B90">
        <w:rPr>
          <w:rFonts w:ascii="Arial" w:eastAsia="Times New Roman" w:hAnsi="Arial" w:cs="Arial"/>
          <w:lang w:eastAsia="en-GB"/>
        </w:rPr>
        <w:lastRenderedPageBreak/>
        <w:t>surroundings, people may alternate between integrity and despair. The notion is nonetheless useful for comprehending how person-centred care can foster identity and emotional wellbeing in spite of these objections.</w:t>
      </w:r>
    </w:p>
    <w:p w:rsidR="001D2FFD" w:rsidRPr="00903B90" w:rsidRDefault="001D2FFD" w:rsidP="003009A5">
      <w:pPr>
        <w:spacing w:after="0" w:line="240" w:lineRule="auto"/>
        <w:jc w:val="both"/>
        <w:rPr>
          <w:rFonts w:ascii="Arial" w:eastAsia="Times New Roman" w:hAnsi="Arial" w:cs="Arial"/>
          <w:lang w:eastAsia="en-GB"/>
        </w:rPr>
      </w:pP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According to Abraham Maslow (1943), the satisfac</w:t>
      </w:r>
      <w:r w:rsidR="001D2FFD">
        <w:rPr>
          <w:rFonts w:ascii="Arial" w:eastAsia="Times New Roman" w:hAnsi="Arial" w:cs="Arial"/>
          <w:lang w:eastAsia="en-GB"/>
        </w:rPr>
        <w:t xml:space="preserve">tion of five hierarchical needs which are </w:t>
      </w:r>
      <w:r w:rsidRPr="00903B90">
        <w:rPr>
          <w:rFonts w:ascii="Arial" w:eastAsia="Times New Roman" w:hAnsi="Arial" w:cs="Arial"/>
          <w:lang w:eastAsia="en-GB"/>
        </w:rPr>
        <w:t xml:space="preserve">physiological, safety, love and belonging, esteem, </w:t>
      </w:r>
      <w:r w:rsidR="001D2FFD">
        <w:rPr>
          <w:rFonts w:ascii="Arial" w:eastAsia="Times New Roman" w:hAnsi="Arial" w:cs="Arial"/>
          <w:lang w:eastAsia="en-GB"/>
        </w:rPr>
        <w:t>and self-actualization. These elements can help give drive to</w:t>
      </w:r>
      <w:r w:rsidRPr="00903B90">
        <w:rPr>
          <w:rFonts w:ascii="Arial" w:eastAsia="Times New Roman" w:hAnsi="Arial" w:cs="Arial"/>
          <w:lang w:eastAsia="en-GB"/>
        </w:rPr>
        <w:t xml:space="preserve"> human motivation. This approach holds that before reaching greater psychological or self-fulfilment goals, people must first </w:t>
      </w:r>
      <w:r w:rsidR="001D2FFD" w:rsidRPr="00903B90">
        <w:rPr>
          <w:rFonts w:ascii="Arial" w:eastAsia="Times New Roman" w:hAnsi="Arial" w:cs="Arial"/>
          <w:lang w:eastAsia="en-GB"/>
        </w:rPr>
        <w:t>satisfy</w:t>
      </w:r>
      <w:r w:rsidRPr="00903B90">
        <w:rPr>
          <w:rFonts w:ascii="Arial" w:eastAsia="Times New Roman" w:hAnsi="Arial" w:cs="Arial"/>
          <w:lang w:eastAsia="en-GB"/>
        </w:rPr>
        <w:t xml:space="preserve"> lower-level demands. Care providers can use the hierarchy as a useful tool to evaluate and rank residents' needs in a comprehensive manner.</w:t>
      </w:r>
    </w:p>
    <w:p w:rsidR="00FD6F6C" w:rsidRPr="00903B90" w:rsidRDefault="00FD6F6C" w:rsidP="003009A5">
      <w:pPr>
        <w:spacing w:after="0" w:line="240" w:lineRule="auto"/>
        <w:jc w:val="both"/>
        <w:rPr>
          <w:rFonts w:ascii="Arial" w:eastAsia="Times New Roman" w:hAnsi="Arial" w:cs="Arial"/>
          <w:lang w:eastAsia="en-GB"/>
        </w:rPr>
      </w:pP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The physiological and safety needs are the cornerstones of dementia care. It is crucial to make sure you are getting enough food, water, rest, and medical attention.</w:t>
      </w:r>
      <w:r w:rsidR="00FD6F6C">
        <w:rPr>
          <w:rFonts w:ascii="Arial" w:eastAsia="Times New Roman" w:hAnsi="Arial" w:cs="Arial"/>
          <w:lang w:eastAsia="en-GB"/>
        </w:rPr>
        <w:t xml:space="preserve"> Leading to p</w:t>
      </w:r>
      <w:r w:rsidRPr="00903B90">
        <w:rPr>
          <w:rFonts w:ascii="Arial" w:eastAsia="Times New Roman" w:hAnsi="Arial" w:cs="Arial"/>
          <w:lang w:eastAsia="en-GB"/>
        </w:rPr>
        <w:t>redictable staff interactions, familiar settings, and regular procedures can all promote safety (NHS, 2022). Positive connections, social activities, and emotional warmth all contribute to the fulfilment of love and belonging. Encouraging freedom and allowing residents to participate in everyday life decisions are two ways to boost self-esteem. Lastly, self-actualization can still be attained through creative and spiritual pursuits like art, music, or faith-based activities, while being constrained by cognitive</w:t>
      </w:r>
      <w:r w:rsidR="00FD6F6C">
        <w:rPr>
          <w:rFonts w:ascii="Arial" w:eastAsia="Times New Roman" w:hAnsi="Arial" w:cs="Arial"/>
          <w:lang w:eastAsia="en-GB"/>
        </w:rPr>
        <w:t xml:space="preserve"> decline.</w:t>
      </w:r>
    </w:p>
    <w:p w:rsidR="003009A5" w:rsidRPr="00903B90" w:rsidRDefault="003009A5" w:rsidP="003009A5">
      <w:pPr>
        <w:spacing w:after="0" w:line="240" w:lineRule="auto"/>
        <w:jc w:val="both"/>
        <w:rPr>
          <w:rFonts w:ascii="Arial" w:eastAsia="Times New Roman" w:hAnsi="Arial" w:cs="Arial"/>
          <w:lang w:eastAsia="en-GB"/>
        </w:rPr>
      </w:pPr>
    </w:p>
    <w:p w:rsidR="00903B90" w:rsidRDefault="00FD6F6C" w:rsidP="003009A5">
      <w:pPr>
        <w:spacing w:after="0" w:line="240" w:lineRule="auto"/>
        <w:jc w:val="both"/>
        <w:rPr>
          <w:rFonts w:ascii="Arial" w:eastAsia="Times New Roman" w:hAnsi="Arial" w:cs="Arial"/>
          <w:lang w:eastAsia="en-GB"/>
        </w:rPr>
      </w:pPr>
      <w:r>
        <w:rPr>
          <w:rFonts w:ascii="Arial" w:eastAsia="Times New Roman" w:hAnsi="Arial" w:cs="Arial"/>
          <w:lang w:eastAsia="en-GB"/>
        </w:rPr>
        <w:t>For instance, a care home resident</w:t>
      </w:r>
      <w:r w:rsidR="00903B90" w:rsidRPr="00903B90">
        <w:rPr>
          <w:rFonts w:ascii="Arial" w:eastAsia="Times New Roman" w:hAnsi="Arial" w:cs="Arial"/>
          <w:lang w:eastAsia="en-GB"/>
        </w:rPr>
        <w:t xml:space="preserve"> who used to like gardening might still take care of little plants. By addressing self-actualization (personal expression) and esteem (competence), this exercise shows that fulfilment is still achievable even as dementia advances. Professionals are encouraged by Maslow's paradigm to include emotional and psychological welfare i</w:t>
      </w:r>
      <w:r w:rsidR="00F14DB4">
        <w:rPr>
          <w:rFonts w:ascii="Arial" w:eastAsia="Times New Roman" w:hAnsi="Arial" w:cs="Arial"/>
          <w:lang w:eastAsia="en-GB"/>
        </w:rPr>
        <w:t>n addition to fundamental biological</w:t>
      </w:r>
      <w:r w:rsidR="00903B90" w:rsidRPr="00903B90">
        <w:rPr>
          <w:rFonts w:ascii="Arial" w:eastAsia="Times New Roman" w:hAnsi="Arial" w:cs="Arial"/>
          <w:lang w:eastAsia="en-GB"/>
        </w:rPr>
        <w:t xml:space="preserve"> necessities.</w:t>
      </w:r>
    </w:p>
    <w:p w:rsidR="003009A5" w:rsidRPr="00903B90" w:rsidRDefault="003009A5" w:rsidP="003009A5">
      <w:pPr>
        <w:spacing w:after="0" w:line="240" w:lineRule="auto"/>
        <w:jc w:val="both"/>
        <w:rPr>
          <w:rFonts w:ascii="Arial" w:eastAsia="Times New Roman" w:hAnsi="Arial" w:cs="Arial"/>
          <w:lang w:eastAsia="en-GB"/>
        </w:rPr>
      </w:pP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The interplay between nature and nurture is also reflected in Maslow's theory. Humans have an inbuilt need to connect and survive (nature), but these needs must be satisfied by their surroundings (nurture). Autonomy may be restricted in dementia due to bodily decline, but people can achieve their basic psychological needs in a caring and supportive setting. Therefore, the degree of wellbeing attained depends on the care setting, even though the disease process is natural.</w:t>
      </w:r>
    </w:p>
    <w:p w:rsidR="003009A5" w:rsidRPr="00903B90" w:rsidRDefault="003009A5" w:rsidP="003009A5">
      <w:pPr>
        <w:spacing w:after="0" w:line="240" w:lineRule="auto"/>
        <w:jc w:val="both"/>
        <w:rPr>
          <w:rFonts w:ascii="Arial" w:eastAsia="Times New Roman" w:hAnsi="Arial" w:cs="Arial"/>
          <w:lang w:eastAsia="en-GB"/>
        </w:rPr>
      </w:pP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The theory's main advantage is that it may be applied practically to assist staff in identifying unmet requirements and setting priorities for treatments. Critics counter that the hierarchy isn't always set in stone. Maslow's hierarchy may be challenged by dementia patients who place a higher priority on emotional comfort than physical safety (Kenrick et al., 2010). In spite of this, the model is nevertheless a useful tool for developing person-centred care plans that support fulfilment, security, and dignity.</w:t>
      </w:r>
    </w:p>
    <w:p w:rsidR="003009A5" w:rsidRPr="00903B90" w:rsidRDefault="003009A5" w:rsidP="003009A5">
      <w:pPr>
        <w:spacing w:after="0" w:line="240" w:lineRule="auto"/>
        <w:jc w:val="both"/>
        <w:rPr>
          <w:rFonts w:ascii="Arial" w:eastAsia="Times New Roman" w:hAnsi="Arial" w:cs="Arial"/>
          <w:lang w:eastAsia="en-GB"/>
        </w:rPr>
      </w:pP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While nurture refers to social and environmental experiences, nature refers to biological or genetic influences on development (Plomin, 2018). These forces interact dynamically in late adulthood. Nature is represented by disease, age-related brain changes, and sensory loss; nurture is represented by meaningful activities, social connections, and high-quality care. Dementia serves as an example of this interaction: while neurological decline impacts behaviour and cognition, supportive care settings can reduce suffering and improve wellbeing.</w:t>
      </w:r>
    </w:p>
    <w:p w:rsidR="003009A5" w:rsidRPr="00903B90" w:rsidRDefault="003009A5" w:rsidP="003009A5">
      <w:pPr>
        <w:spacing w:after="0" w:line="240" w:lineRule="auto"/>
        <w:jc w:val="both"/>
        <w:rPr>
          <w:rFonts w:ascii="Arial" w:eastAsia="Times New Roman" w:hAnsi="Arial" w:cs="Arial"/>
          <w:lang w:eastAsia="en-GB"/>
        </w:rPr>
      </w:pPr>
    </w:p>
    <w:p w:rsidR="00903B90" w:rsidRDefault="00903B90" w:rsidP="003009A5">
      <w:pPr>
        <w:spacing w:after="0" w:line="240" w:lineRule="auto"/>
        <w:jc w:val="both"/>
        <w:rPr>
          <w:rFonts w:ascii="Arial" w:eastAsia="Times New Roman" w:hAnsi="Arial" w:cs="Arial"/>
          <w:lang w:eastAsia="en-GB"/>
        </w:rPr>
      </w:pPr>
      <w:r w:rsidRPr="00903B90">
        <w:rPr>
          <w:rFonts w:ascii="Arial" w:eastAsia="Times New Roman" w:hAnsi="Arial" w:cs="Arial"/>
          <w:lang w:eastAsia="en-GB"/>
        </w:rPr>
        <w:t>Maslow and Erikson both show how nature and nurture are intertwined. Erikson places a strong emphasis on psychosocial adaptation, or how social support and relationships (nurture) affect dealing with biological decline (nature). Maslow emphasises how human nature, or basic desires, need on supportive situations to be fulfilled. Professionals can go beyond a strictly medical model and offer comprehensive care that addresses both bodily and emotional requirements by acknowledging this interaction.</w:t>
      </w:r>
    </w:p>
    <w:p w:rsidR="003009A5" w:rsidRPr="00903B90" w:rsidRDefault="003009A5" w:rsidP="003009A5">
      <w:pPr>
        <w:spacing w:after="0" w:line="240" w:lineRule="auto"/>
        <w:jc w:val="both"/>
        <w:rPr>
          <w:rFonts w:ascii="Arial" w:eastAsia="Times New Roman" w:hAnsi="Arial" w:cs="Arial"/>
          <w:lang w:eastAsia="en-GB"/>
        </w:rPr>
      </w:pPr>
    </w:p>
    <w:p w:rsidR="00610560" w:rsidRPr="00610560" w:rsidRDefault="00610560" w:rsidP="003009A5">
      <w:pPr>
        <w:spacing w:after="0" w:line="240" w:lineRule="auto"/>
        <w:jc w:val="both"/>
        <w:rPr>
          <w:rFonts w:ascii="Arial" w:eastAsia="Times New Roman" w:hAnsi="Arial" w:cs="Arial"/>
          <w:lang w:eastAsia="en-GB"/>
        </w:rPr>
      </w:pPr>
      <w:r w:rsidRPr="00610560">
        <w:rPr>
          <w:rFonts w:ascii="Arial" w:eastAsia="Times New Roman" w:hAnsi="Arial" w:cs="Arial"/>
          <w:lang w:eastAsia="en-GB"/>
        </w:rPr>
        <w:lastRenderedPageBreak/>
        <w:t>Working with individuals who have dementia presents a number of difficulties for professionals. Residents may find it challenging to express their needs or participate in introspection due to cognitive decline. Unmet psychological demands might also result in behavioural manifestations like agitation or violence. Additionally, opportunities for individualised contact may be limited by staffing shortages and time constraints.</w:t>
      </w:r>
    </w:p>
    <w:p w:rsidR="003009A5" w:rsidRDefault="00610560" w:rsidP="003009A5">
      <w:pPr>
        <w:spacing w:after="0" w:line="240" w:lineRule="auto"/>
        <w:jc w:val="both"/>
        <w:rPr>
          <w:rFonts w:ascii="Arial" w:eastAsia="Times New Roman" w:hAnsi="Arial" w:cs="Arial"/>
          <w:lang w:eastAsia="en-GB"/>
        </w:rPr>
      </w:pPr>
      <w:r w:rsidRPr="00610560">
        <w:rPr>
          <w:rFonts w:ascii="Arial" w:eastAsia="Times New Roman" w:hAnsi="Arial" w:cs="Arial"/>
          <w:lang w:eastAsia="en-GB"/>
        </w:rPr>
        <w:t>Staff members can use a number of evidence-based tactics to deal with these issues. Understanding is improved via person-centred communication, which makes use of brief, understandable language and eye contact. Creating regular habits strengthens a sense of security and lowers anxiety. Positive feelings and memory recall can be evoked by providing sensory stimulation, such as music, scents, or tactile objects. Including families in care planning enhances identification and a sense of belonging. Staff members who receive ongoing training in psychological theory and dementia awareness are more equipped to view behaviour as sympathetic rather than problematic.</w:t>
      </w:r>
    </w:p>
    <w:p w:rsidR="003009A5" w:rsidRDefault="003009A5" w:rsidP="003009A5">
      <w:pPr>
        <w:spacing w:after="0" w:line="240" w:lineRule="auto"/>
        <w:jc w:val="both"/>
        <w:rPr>
          <w:rFonts w:ascii="Arial" w:eastAsia="Times New Roman" w:hAnsi="Arial" w:cs="Arial"/>
          <w:lang w:eastAsia="en-GB"/>
        </w:rPr>
      </w:pPr>
    </w:p>
    <w:p w:rsidR="003009A5" w:rsidRPr="003009A5" w:rsidRDefault="003009A5" w:rsidP="003009A5">
      <w:pPr>
        <w:spacing w:after="0" w:line="240" w:lineRule="auto"/>
        <w:jc w:val="both"/>
        <w:rPr>
          <w:rFonts w:ascii="Arial" w:eastAsia="Times New Roman" w:hAnsi="Arial" w:cs="Arial"/>
          <w:lang w:eastAsia="en-GB"/>
        </w:rPr>
      </w:pPr>
      <w:r>
        <w:rPr>
          <w:rFonts w:ascii="Arial" w:eastAsia="Times New Roman" w:hAnsi="Arial" w:cs="Arial"/>
          <w:b/>
          <w:u w:val="single"/>
          <w:lang w:eastAsia="en-GB"/>
        </w:rPr>
        <w:t>C</w:t>
      </w:r>
      <w:r w:rsidRPr="003009A5">
        <w:rPr>
          <w:rFonts w:ascii="Arial" w:eastAsia="Times New Roman" w:hAnsi="Arial" w:cs="Arial"/>
          <w:b/>
          <w:u w:val="single"/>
          <w:lang w:eastAsia="en-GB"/>
        </w:rPr>
        <w:t>onclusion</w:t>
      </w:r>
    </w:p>
    <w:p w:rsidR="003009A5" w:rsidRPr="00610560" w:rsidRDefault="003009A5" w:rsidP="003009A5">
      <w:pPr>
        <w:spacing w:after="0" w:line="240" w:lineRule="auto"/>
        <w:jc w:val="both"/>
        <w:rPr>
          <w:rFonts w:ascii="Arial" w:eastAsia="Times New Roman" w:hAnsi="Arial" w:cs="Arial"/>
          <w:b/>
          <w:u w:val="single"/>
          <w:lang w:eastAsia="en-GB"/>
        </w:rPr>
      </w:pPr>
    </w:p>
    <w:p w:rsidR="00610560" w:rsidRPr="00610560" w:rsidRDefault="00610560" w:rsidP="003009A5">
      <w:pPr>
        <w:spacing w:after="0" w:line="240" w:lineRule="auto"/>
        <w:jc w:val="both"/>
        <w:rPr>
          <w:rFonts w:ascii="Arial" w:eastAsia="Times New Roman" w:hAnsi="Arial" w:cs="Arial"/>
          <w:lang w:eastAsia="en-GB"/>
        </w:rPr>
      </w:pPr>
      <w:r w:rsidRPr="00610560">
        <w:rPr>
          <w:rFonts w:ascii="Arial" w:eastAsia="Times New Roman" w:hAnsi="Arial" w:cs="Arial"/>
          <w:lang w:eastAsia="en-GB"/>
        </w:rPr>
        <w:t>The emotional, cognitive, and behavioural demands of older persons with dementia are crucially illuminated by psychological theories. Maslow's Hierarchy of Needs provides an organised method for addressing both basic and higher-level motives, while Erikson's Psychosocial Theory highlights the significance of identity, meaning, and introspection. Both emphasise the dynamic interplay between nature and nurture, demonstrating how caring care conditions can lessen biological deterioration. Applying these beliefs encourages person-centred practice that protects dignity, improves wellbeing, and turns routine care into a chance for fulfilment and connection for health and social care providers.</w:t>
      </w:r>
    </w:p>
    <w:p w:rsidR="00903B90" w:rsidRPr="00610560" w:rsidRDefault="00903B90" w:rsidP="00903B90">
      <w:pPr>
        <w:spacing w:after="0" w:line="240" w:lineRule="auto"/>
        <w:rPr>
          <w:rFonts w:ascii="Arial" w:eastAsia="Times New Roman" w:hAnsi="Arial" w:cs="Arial"/>
          <w:lang w:eastAsia="en-GB"/>
        </w:rPr>
      </w:pPr>
    </w:p>
    <w:p w:rsidR="00610560" w:rsidRDefault="00FF6AE0" w:rsidP="00903B90">
      <w:pPr>
        <w:spacing w:after="0" w:line="240" w:lineRule="auto"/>
        <w:rPr>
          <w:rFonts w:ascii="Arial" w:eastAsia="Times New Roman" w:hAnsi="Arial" w:cs="Arial"/>
          <w:lang w:eastAsia="en-GB"/>
        </w:rPr>
      </w:pPr>
      <w:r>
        <w:rPr>
          <w:rFonts w:ascii="Arial" w:eastAsia="Times New Roman" w:hAnsi="Arial" w:cs="Arial"/>
          <w:lang w:eastAsia="en-GB"/>
        </w:rPr>
        <w:t>1359</w:t>
      </w:r>
      <w:bookmarkStart w:id="0" w:name="_GoBack"/>
      <w:bookmarkEnd w:id="0"/>
      <w:r w:rsidR="00202F4A">
        <w:rPr>
          <w:rFonts w:ascii="Arial" w:eastAsia="Times New Roman" w:hAnsi="Arial" w:cs="Arial"/>
          <w:lang w:eastAsia="en-GB"/>
        </w:rPr>
        <w:t>/1500</w:t>
      </w:r>
    </w:p>
    <w:p w:rsidR="00610560" w:rsidRDefault="00610560" w:rsidP="00903B90">
      <w:pPr>
        <w:spacing w:after="0" w:line="240" w:lineRule="auto"/>
        <w:rPr>
          <w:rFonts w:ascii="Arial" w:eastAsia="Times New Roman" w:hAnsi="Arial" w:cs="Arial"/>
          <w:lang w:eastAsia="en-GB"/>
        </w:rPr>
      </w:pPr>
    </w:p>
    <w:p w:rsidR="00610560" w:rsidRPr="003009A5" w:rsidRDefault="00610560" w:rsidP="00903B90">
      <w:pPr>
        <w:spacing w:after="0" w:line="240" w:lineRule="auto"/>
        <w:rPr>
          <w:rFonts w:ascii="Arial" w:eastAsia="Times New Roman" w:hAnsi="Arial" w:cs="Arial"/>
          <w:b/>
          <w:u w:val="single"/>
          <w:lang w:eastAsia="en-GB"/>
        </w:rPr>
      </w:pPr>
      <w:r w:rsidRPr="003009A5">
        <w:rPr>
          <w:rFonts w:ascii="Arial" w:eastAsia="Times New Roman" w:hAnsi="Arial" w:cs="Arial"/>
          <w:b/>
          <w:u w:val="single"/>
          <w:lang w:eastAsia="en-GB"/>
        </w:rPr>
        <w:t>REFERENCE LIST:</w:t>
      </w:r>
    </w:p>
    <w:p w:rsidR="00610560" w:rsidRPr="00610560" w:rsidRDefault="00610560" w:rsidP="00610560">
      <w:pPr>
        <w:pStyle w:val="NormalWeb"/>
        <w:rPr>
          <w:rFonts w:ascii="Arial" w:hAnsi="Arial" w:cs="Arial"/>
          <w:sz w:val="22"/>
          <w:szCs w:val="22"/>
        </w:rPr>
      </w:pPr>
      <w:r w:rsidRPr="00610560">
        <w:rPr>
          <w:rStyle w:val="Strong"/>
          <w:rFonts w:ascii="Arial" w:hAnsi="Arial" w:cs="Arial"/>
          <w:b w:val="0"/>
          <w:sz w:val="22"/>
          <w:szCs w:val="22"/>
        </w:rPr>
        <w:t>Erikson, E.H.</w:t>
      </w:r>
      <w:r w:rsidRPr="00610560">
        <w:rPr>
          <w:rFonts w:ascii="Arial" w:hAnsi="Arial" w:cs="Arial"/>
          <w:sz w:val="22"/>
          <w:szCs w:val="22"/>
        </w:rPr>
        <w:t xml:space="preserve"> (1950) </w:t>
      </w:r>
      <w:r w:rsidRPr="00610560">
        <w:rPr>
          <w:rStyle w:val="Emphasis"/>
          <w:rFonts w:ascii="Arial" w:hAnsi="Arial" w:cs="Arial"/>
          <w:sz w:val="22"/>
          <w:szCs w:val="22"/>
        </w:rPr>
        <w:t>Childhood and society</w:t>
      </w:r>
      <w:r w:rsidRPr="00610560">
        <w:rPr>
          <w:rFonts w:ascii="Arial" w:hAnsi="Arial" w:cs="Arial"/>
          <w:sz w:val="22"/>
          <w:szCs w:val="22"/>
        </w:rPr>
        <w:t>. New York: W. W. Norton.</w:t>
      </w:r>
    </w:p>
    <w:p w:rsidR="00610560" w:rsidRPr="00610560" w:rsidRDefault="00610560" w:rsidP="00610560">
      <w:pPr>
        <w:pStyle w:val="NormalWeb"/>
        <w:rPr>
          <w:rFonts w:ascii="Arial" w:hAnsi="Arial" w:cs="Arial"/>
          <w:sz w:val="22"/>
          <w:szCs w:val="22"/>
        </w:rPr>
      </w:pPr>
      <w:r w:rsidRPr="00610560">
        <w:rPr>
          <w:rStyle w:val="Strong"/>
          <w:rFonts w:ascii="Arial" w:hAnsi="Arial" w:cs="Arial"/>
          <w:b w:val="0"/>
          <w:sz w:val="22"/>
          <w:szCs w:val="22"/>
        </w:rPr>
        <w:t>Haight, B.K. and Webster, J.D.</w:t>
      </w:r>
      <w:r w:rsidRPr="00610560">
        <w:rPr>
          <w:rFonts w:ascii="Arial" w:hAnsi="Arial" w:cs="Arial"/>
          <w:sz w:val="22"/>
          <w:szCs w:val="22"/>
        </w:rPr>
        <w:t xml:space="preserve"> (1995) </w:t>
      </w:r>
      <w:proofErr w:type="gramStart"/>
      <w:r w:rsidRPr="00610560">
        <w:rPr>
          <w:rStyle w:val="Emphasis"/>
          <w:rFonts w:ascii="Arial" w:hAnsi="Arial" w:cs="Arial"/>
          <w:sz w:val="22"/>
          <w:szCs w:val="22"/>
        </w:rPr>
        <w:t>The</w:t>
      </w:r>
      <w:proofErr w:type="gramEnd"/>
      <w:r w:rsidRPr="00610560">
        <w:rPr>
          <w:rStyle w:val="Emphasis"/>
          <w:rFonts w:ascii="Arial" w:hAnsi="Arial" w:cs="Arial"/>
          <w:sz w:val="22"/>
          <w:szCs w:val="22"/>
        </w:rPr>
        <w:t xml:space="preserve"> art and science of reminiscing: Theory, research, methods, and applications</w:t>
      </w:r>
      <w:r w:rsidRPr="00610560">
        <w:rPr>
          <w:rFonts w:ascii="Arial" w:hAnsi="Arial" w:cs="Arial"/>
          <w:sz w:val="22"/>
          <w:szCs w:val="22"/>
        </w:rPr>
        <w:t>. Washington, DC: Taylor &amp; Francis.</w:t>
      </w:r>
    </w:p>
    <w:p w:rsidR="00610560" w:rsidRPr="00610560" w:rsidRDefault="00610560" w:rsidP="00610560">
      <w:pPr>
        <w:pStyle w:val="NormalWeb"/>
        <w:rPr>
          <w:rFonts w:ascii="Arial" w:hAnsi="Arial" w:cs="Arial"/>
          <w:sz w:val="22"/>
          <w:szCs w:val="22"/>
        </w:rPr>
      </w:pPr>
      <w:r w:rsidRPr="00610560">
        <w:rPr>
          <w:rStyle w:val="Strong"/>
          <w:rFonts w:ascii="Arial" w:hAnsi="Arial" w:cs="Arial"/>
          <w:b w:val="0"/>
          <w:sz w:val="22"/>
          <w:szCs w:val="22"/>
        </w:rPr>
        <w:t>Kenrick, D.T., Griskevicius, V., Neuberg, S.L. and Schaller, M</w:t>
      </w:r>
      <w:r w:rsidRPr="00610560">
        <w:rPr>
          <w:rStyle w:val="Strong"/>
          <w:rFonts w:ascii="Arial" w:hAnsi="Arial" w:cs="Arial"/>
          <w:sz w:val="22"/>
          <w:szCs w:val="22"/>
        </w:rPr>
        <w:t>.</w:t>
      </w:r>
      <w:r w:rsidRPr="00610560">
        <w:rPr>
          <w:rFonts w:ascii="Arial" w:hAnsi="Arial" w:cs="Arial"/>
          <w:sz w:val="22"/>
          <w:szCs w:val="22"/>
        </w:rPr>
        <w:t xml:space="preserve"> (2010) ‘</w:t>
      </w:r>
      <w:proofErr w:type="gramStart"/>
      <w:r w:rsidRPr="00610560">
        <w:rPr>
          <w:rFonts w:ascii="Arial" w:hAnsi="Arial" w:cs="Arial"/>
          <w:sz w:val="22"/>
          <w:szCs w:val="22"/>
        </w:rPr>
        <w:t>Renovating</w:t>
      </w:r>
      <w:proofErr w:type="gramEnd"/>
      <w:r w:rsidRPr="00610560">
        <w:rPr>
          <w:rFonts w:ascii="Arial" w:hAnsi="Arial" w:cs="Arial"/>
          <w:sz w:val="22"/>
          <w:szCs w:val="22"/>
        </w:rPr>
        <w:t xml:space="preserve"> the pyramid of needs: Contemporary extensions built upon ancient foundations’, </w:t>
      </w:r>
      <w:r w:rsidRPr="00610560">
        <w:rPr>
          <w:rStyle w:val="Emphasis"/>
          <w:rFonts w:ascii="Arial" w:hAnsi="Arial" w:cs="Arial"/>
          <w:sz w:val="22"/>
          <w:szCs w:val="22"/>
        </w:rPr>
        <w:t>Perspectives on Psychological Science</w:t>
      </w:r>
      <w:r w:rsidRPr="00610560">
        <w:rPr>
          <w:rFonts w:ascii="Arial" w:hAnsi="Arial" w:cs="Arial"/>
          <w:sz w:val="22"/>
          <w:szCs w:val="22"/>
        </w:rPr>
        <w:t>, 5(3), pp. 292–314.</w:t>
      </w:r>
    </w:p>
    <w:p w:rsidR="00610560" w:rsidRPr="00610560" w:rsidRDefault="00610560" w:rsidP="00610560">
      <w:pPr>
        <w:pStyle w:val="NormalWeb"/>
        <w:rPr>
          <w:rFonts w:ascii="Arial" w:hAnsi="Arial" w:cs="Arial"/>
          <w:sz w:val="22"/>
          <w:szCs w:val="22"/>
        </w:rPr>
      </w:pPr>
      <w:r w:rsidRPr="00610560">
        <w:rPr>
          <w:rStyle w:val="Strong"/>
          <w:rFonts w:ascii="Arial" w:hAnsi="Arial" w:cs="Arial"/>
          <w:b w:val="0"/>
          <w:sz w:val="22"/>
          <w:szCs w:val="22"/>
        </w:rPr>
        <w:t>McAdams, D.P</w:t>
      </w:r>
      <w:r w:rsidRPr="00610560">
        <w:rPr>
          <w:rStyle w:val="Strong"/>
          <w:rFonts w:ascii="Arial" w:hAnsi="Arial" w:cs="Arial"/>
          <w:sz w:val="22"/>
          <w:szCs w:val="22"/>
        </w:rPr>
        <w:t>.</w:t>
      </w:r>
      <w:r w:rsidRPr="00610560">
        <w:rPr>
          <w:rFonts w:ascii="Arial" w:hAnsi="Arial" w:cs="Arial"/>
          <w:sz w:val="22"/>
          <w:szCs w:val="22"/>
        </w:rPr>
        <w:t xml:space="preserve"> (2001) ‘The psychology of life stories’, </w:t>
      </w:r>
      <w:r w:rsidRPr="00610560">
        <w:rPr>
          <w:rStyle w:val="Emphasis"/>
          <w:rFonts w:ascii="Arial" w:hAnsi="Arial" w:cs="Arial"/>
          <w:sz w:val="22"/>
          <w:szCs w:val="22"/>
        </w:rPr>
        <w:t>Review of General Psychology</w:t>
      </w:r>
      <w:r w:rsidRPr="00610560">
        <w:rPr>
          <w:rFonts w:ascii="Arial" w:hAnsi="Arial" w:cs="Arial"/>
          <w:sz w:val="22"/>
          <w:szCs w:val="22"/>
        </w:rPr>
        <w:t>, 5(2), pp. 100–122.</w:t>
      </w:r>
    </w:p>
    <w:p w:rsidR="00610560" w:rsidRPr="00610560" w:rsidRDefault="00610560" w:rsidP="00610560">
      <w:pPr>
        <w:pStyle w:val="NormalWeb"/>
        <w:rPr>
          <w:rFonts w:ascii="Arial" w:hAnsi="Arial" w:cs="Arial"/>
          <w:sz w:val="22"/>
          <w:szCs w:val="22"/>
        </w:rPr>
      </w:pPr>
      <w:r w:rsidRPr="00610560">
        <w:rPr>
          <w:rStyle w:val="Strong"/>
          <w:rFonts w:ascii="Arial" w:hAnsi="Arial" w:cs="Arial"/>
          <w:b w:val="0"/>
          <w:sz w:val="22"/>
          <w:szCs w:val="22"/>
        </w:rPr>
        <w:t>McLeod, S</w:t>
      </w:r>
      <w:r w:rsidRPr="00610560">
        <w:rPr>
          <w:rStyle w:val="Strong"/>
          <w:rFonts w:ascii="Arial" w:hAnsi="Arial" w:cs="Arial"/>
          <w:sz w:val="22"/>
          <w:szCs w:val="22"/>
        </w:rPr>
        <w:t>.</w:t>
      </w:r>
      <w:r w:rsidRPr="00610560">
        <w:rPr>
          <w:rFonts w:ascii="Arial" w:hAnsi="Arial" w:cs="Arial"/>
          <w:sz w:val="22"/>
          <w:szCs w:val="22"/>
        </w:rPr>
        <w:t xml:space="preserve"> (2018) </w:t>
      </w:r>
      <w:r w:rsidRPr="00610560">
        <w:rPr>
          <w:rStyle w:val="Emphasis"/>
          <w:rFonts w:ascii="Arial" w:hAnsi="Arial" w:cs="Arial"/>
          <w:sz w:val="22"/>
          <w:szCs w:val="22"/>
        </w:rPr>
        <w:t>Erik Erikson’s psychosocial theory</w:t>
      </w:r>
      <w:r w:rsidRPr="00610560">
        <w:rPr>
          <w:rFonts w:ascii="Arial" w:hAnsi="Arial" w:cs="Arial"/>
          <w:sz w:val="22"/>
          <w:szCs w:val="22"/>
        </w:rPr>
        <w:t xml:space="preserve">. Available at: </w:t>
      </w:r>
      <w:hyperlink r:id="rId6" w:tgtFrame="_new" w:history="1">
        <w:r w:rsidRPr="00610560">
          <w:rPr>
            <w:rStyle w:val="Hyperlink"/>
            <w:rFonts w:ascii="Arial" w:hAnsi="Arial" w:cs="Arial"/>
            <w:sz w:val="22"/>
            <w:szCs w:val="22"/>
          </w:rPr>
          <w:t>https://www.simplypsychology.org/Erik-Erikson.html</w:t>
        </w:r>
      </w:hyperlink>
      <w:r w:rsidRPr="00610560">
        <w:rPr>
          <w:rFonts w:ascii="Arial" w:hAnsi="Arial" w:cs="Arial"/>
          <w:sz w:val="22"/>
          <w:szCs w:val="22"/>
        </w:rPr>
        <w:t xml:space="preserve"> (Accessed: 7 November 2025).</w:t>
      </w:r>
    </w:p>
    <w:p w:rsidR="00610560" w:rsidRPr="00610560" w:rsidRDefault="00610560" w:rsidP="00610560">
      <w:pPr>
        <w:pStyle w:val="NormalWeb"/>
        <w:rPr>
          <w:rFonts w:ascii="Arial" w:hAnsi="Arial" w:cs="Arial"/>
          <w:sz w:val="22"/>
          <w:szCs w:val="22"/>
        </w:rPr>
      </w:pPr>
      <w:r w:rsidRPr="00610560">
        <w:rPr>
          <w:rStyle w:val="Strong"/>
          <w:rFonts w:ascii="Arial" w:hAnsi="Arial" w:cs="Arial"/>
          <w:b w:val="0"/>
          <w:sz w:val="22"/>
          <w:szCs w:val="22"/>
        </w:rPr>
        <w:t>NHS</w:t>
      </w:r>
      <w:r w:rsidRPr="00610560">
        <w:rPr>
          <w:rFonts w:ascii="Arial" w:hAnsi="Arial" w:cs="Arial"/>
          <w:sz w:val="22"/>
          <w:szCs w:val="22"/>
        </w:rPr>
        <w:t xml:space="preserve"> (2022) </w:t>
      </w:r>
      <w:r w:rsidRPr="00610560">
        <w:rPr>
          <w:rStyle w:val="Emphasis"/>
          <w:rFonts w:ascii="Arial" w:hAnsi="Arial" w:cs="Arial"/>
          <w:sz w:val="22"/>
          <w:szCs w:val="22"/>
        </w:rPr>
        <w:t>Dementia: care and support</w:t>
      </w:r>
      <w:r w:rsidRPr="00610560">
        <w:rPr>
          <w:rFonts w:ascii="Arial" w:hAnsi="Arial" w:cs="Arial"/>
          <w:sz w:val="22"/>
          <w:szCs w:val="22"/>
        </w:rPr>
        <w:t xml:space="preserve">. Available at: </w:t>
      </w:r>
      <w:hyperlink r:id="rId7" w:tgtFrame="_new" w:history="1">
        <w:r w:rsidRPr="00610560">
          <w:rPr>
            <w:rStyle w:val="Hyperlink"/>
            <w:rFonts w:ascii="Arial" w:hAnsi="Arial" w:cs="Arial"/>
            <w:sz w:val="22"/>
            <w:szCs w:val="22"/>
          </w:rPr>
          <w:t>https://www.nhs.uk</w:t>
        </w:r>
      </w:hyperlink>
      <w:r w:rsidRPr="00610560">
        <w:rPr>
          <w:rFonts w:ascii="Arial" w:hAnsi="Arial" w:cs="Arial"/>
          <w:sz w:val="22"/>
          <w:szCs w:val="22"/>
        </w:rPr>
        <w:t xml:space="preserve"> (Accessed: 7 November 2025).</w:t>
      </w:r>
    </w:p>
    <w:p w:rsidR="00610560" w:rsidRPr="00610560" w:rsidRDefault="00610560" w:rsidP="00610560">
      <w:pPr>
        <w:pStyle w:val="NormalWeb"/>
        <w:rPr>
          <w:rFonts w:ascii="Arial" w:hAnsi="Arial" w:cs="Arial"/>
          <w:sz w:val="22"/>
          <w:szCs w:val="22"/>
        </w:rPr>
      </w:pPr>
      <w:r w:rsidRPr="00610560">
        <w:rPr>
          <w:rStyle w:val="Strong"/>
          <w:rFonts w:ascii="Arial" w:hAnsi="Arial" w:cs="Arial"/>
          <w:b w:val="0"/>
          <w:sz w:val="22"/>
          <w:szCs w:val="22"/>
        </w:rPr>
        <w:t>Plomin, R.</w:t>
      </w:r>
      <w:r w:rsidRPr="00610560">
        <w:rPr>
          <w:rFonts w:ascii="Arial" w:hAnsi="Arial" w:cs="Arial"/>
          <w:sz w:val="22"/>
          <w:szCs w:val="22"/>
        </w:rPr>
        <w:t xml:space="preserve"> (2018) </w:t>
      </w:r>
      <w:r w:rsidRPr="00610560">
        <w:rPr>
          <w:rStyle w:val="Emphasis"/>
          <w:rFonts w:ascii="Arial" w:hAnsi="Arial" w:cs="Arial"/>
          <w:sz w:val="22"/>
          <w:szCs w:val="22"/>
        </w:rPr>
        <w:t>Blueprint: How DNA makes us who we are</w:t>
      </w:r>
      <w:r w:rsidRPr="00610560">
        <w:rPr>
          <w:rFonts w:ascii="Arial" w:hAnsi="Arial" w:cs="Arial"/>
          <w:sz w:val="22"/>
          <w:szCs w:val="22"/>
        </w:rPr>
        <w:t>. London: Allen Lane.</w:t>
      </w:r>
    </w:p>
    <w:p w:rsidR="00610560" w:rsidRPr="00610560" w:rsidRDefault="00610560" w:rsidP="00610560">
      <w:pPr>
        <w:pStyle w:val="NormalWeb"/>
        <w:rPr>
          <w:rFonts w:ascii="Arial" w:hAnsi="Arial" w:cs="Arial"/>
          <w:sz w:val="22"/>
          <w:szCs w:val="22"/>
        </w:rPr>
      </w:pPr>
      <w:r w:rsidRPr="00610560">
        <w:rPr>
          <w:rStyle w:val="Strong"/>
          <w:rFonts w:ascii="Arial" w:hAnsi="Arial" w:cs="Arial"/>
          <w:b w:val="0"/>
          <w:sz w:val="22"/>
          <w:szCs w:val="22"/>
        </w:rPr>
        <w:t>Tay, L. and Diener, E</w:t>
      </w:r>
      <w:r w:rsidRPr="00610560">
        <w:rPr>
          <w:rStyle w:val="Strong"/>
          <w:rFonts w:ascii="Arial" w:hAnsi="Arial" w:cs="Arial"/>
          <w:sz w:val="22"/>
          <w:szCs w:val="22"/>
        </w:rPr>
        <w:t>.</w:t>
      </w:r>
      <w:r w:rsidRPr="00610560">
        <w:rPr>
          <w:rFonts w:ascii="Arial" w:hAnsi="Arial" w:cs="Arial"/>
          <w:sz w:val="22"/>
          <w:szCs w:val="22"/>
        </w:rPr>
        <w:t xml:space="preserve"> (2011) ‘Needs and subjective well-being around the world’, </w:t>
      </w:r>
      <w:r w:rsidRPr="00610560">
        <w:rPr>
          <w:rStyle w:val="Emphasis"/>
          <w:rFonts w:ascii="Arial" w:hAnsi="Arial" w:cs="Arial"/>
          <w:sz w:val="22"/>
          <w:szCs w:val="22"/>
        </w:rPr>
        <w:t>Journal of Personality and Social Psychology</w:t>
      </w:r>
      <w:r w:rsidRPr="00610560">
        <w:rPr>
          <w:rFonts w:ascii="Arial" w:hAnsi="Arial" w:cs="Arial"/>
          <w:sz w:val="22"/>
          <w:szCs w:val="22"/>
        </w:rPr>
        <w:t>, 101(2), pp. 354–365.</w:t>
      </w:r>
    </w:p>
    <w:p w:rsidR="00610560" w:rsidRPr="00610560" w:rsidRDefault="00610560" w:rsidP="00610560">
      <w:pPr>
        <w:pStyle w:val="NormalWeb"/>
        <w:rPr>
          <w:rFonts w:ascii="Arial" w:hAnsi="Arial" w:cs="Arial"/>
          <w:sz w:val="22"/>
          <w:szCs w:val="22"/>
        </w:rPr>
      </w:pPr>
      <w:r w:rsidRPr="00610560">
        <w:rPr>
          <w:rStyle w:val="Strong"/>
          <w:rFonts w:ascii="Arial" w:hAnsi="Arial" w:cs="Arial"/>
          <w:b w:val="0"/>
          <w:sz w:val="22"/>
          <w:szCs w:val="22"/>
        </w:rPr>
        <w:t>WHO (World Health Organization)</w:t>
      </w:r>
      <w:r w:rsidRPr="00610560">
        <w:rPr>
          <w:rFonts w:ascii="Arial" w:hAnsi="Arial" w:cs="Arial"/>
          <w:sz w:val="22"/>
          <w:szCs w:val="22"/>
        </w:rPr>
        <w:t xml:space="preserve"> (2023) </w:t>
      </w:r>
      <w:r w:rsidRPr="00610560">
        <w:rPr>
          <w:rStyle w:val="Emphasis"/>
          <w:rFonts w:ascii="Arial" w:hAnsi="Arial" w:cs="Arial"/>
          <w:sz w:val="22"/>
          <w:szCs w:val="22"/>
        </w:rPr>
        <w:t>Dementia fact sheet</w:t>
      </w:r>
      <w:r w:rsidRPr="00610560">
        <w:rPr>
          <w:rFonts w:ascii="Arial" w:hAnsi="Arial" w:cs="Arial"/>
          <w:sz w:val="22"/>
          <w:szCs w:val="22"/>
        </w:rPr>
        <w:t xml:space="preserve">. Available at: </w:t>
      </w:r>
      <w:hyperlink r:id="rId8" w:tgtFrame="_new" w:history="1">
        <w:r w:rsidRPr="00610560">
          <w:rPr>
            <w:rStyle w:val="Hyperlink"/>
            <w:rFonts w:ascii="Arial" w:hAnsi="Arial" w:cs="Arial"/>
            <w:sz w:val="22"/>
            <w:szCs w:val="22"/>
          </w:rPr>
          <w:t>https://www.who.int/news-room/fact-sheets/detail/dementia</w:t>
        </w:r>
      </w:hyperlink>
      <w:r w:rsidRPr="00610560">
        <w:rPr>
          <w:rFonts w:ascii="Arial" w:hAnsi="Arial" w:cs="Arial"/>
          <w:sz w:val="22"/>
          <w:szCs w:val="22"/>
        </w:rPr>
        <w:t xml:space="preserve"> (Accessed: 7 November 2025).</w:t>
      </w:r>
    </w:p>
    <w:p w:rsidR="00610560" w:rsidRPr="00610560" w:rsidRDefault="00610560" w:rsidP="00610560">
      <w:pPr>
        <w:pStyle w:val="NormalWeb"/>
        <w:rPr>
          <w:rFonts w:ascii="Arial" w:hAnsi="Arial" w:cs="Arial"/>
          <w:sz w:val="22"/>
          <w:szCs w:val="22"/>
        </w:rPr>
      </w:pPr>
      <w:r>
        <w:rPr>
          <w:rStyle w:val="Strong"/>
          <w:rFonts w:ascii="Arial" w:hAnsi="Arial" w:cs="Arial"/>
          <w:b w:val="0"/>
          <w:sz w:val="22"/>
          <w:szCs w:val="22"/>
        </w:rPr>
        <w:lastRenderedPageBreak/>
        <w:t>W</w:t>
      </w:r>
      <w:r w:rsidRPr="00610560">
        <w:rPr>
          <w:rStyle w:val="Strong"/>
          <w:rFonts w:ascii="Arial" w:hAnsi="Arial" w:cs="Arial"/>
          <w:b w:val="0"/>
          <w:sz w:val="22"/>
          <w:szCs w:val="22"/>
        </w:rPr>
        <w:t>oods, B., O’Philbin, L., Farrell, E.M., Spector, A.E. and Orrell, M</w:t>
      </w:r>
      <w:r w:rsidRPr="00610560">
        <w:rPr>
          <w:rStyle w:val="Strong"/>
          <w:rFonts w:ascii="Arial" w:hAnsi="Arial" w:cs="Arial"/>
          <w:sz w:val="22"/>
          <w:szCs w:val="22"/>
        </w:rPr>
        <w:t>.</w:t>
      </w:r>
      <w:r w:rsidRPr="00610560">
        <w:rPr>
          <w:rFonts w:ascii="Arial" w:hAnsi="Arial" w:cs="Arial"/>
          <w:sz w:val="22"/>
          <w:szCs w:val="22"/>
        </w:rPr>
        <w:t xml:space="preserve"> (2018) ‘Reminiscence therapy for dementia’, </w:t>
      </w:r>
      <w:r w:rsidRPr="00610560">
        <w:rPr>
          <w:rStyle w:val="Emphasis"/>
          <w:rFonts w:ascii="Arial" w:hAnsi="Arial" w:cs="Arial"/>
          <w:sz w:val="22"/>
          <w:szCs w:val="22"/>
        </w:rPr>
        <w:t>Cochrane Database of Systematic Reviews</w:t>
      </w:r>
      <w:r w:rsidRPr="00610560">
        <w:rPr>
          <w:rFonts w:ascii="Arial" w:hAnsi="Arial" w:cs="Arial"/>
          <w:sz w:val="22"/>
          <w:szCs w:val="22"/>
        </w:rPr>
        <w:t>, 3, CD001120.</w:t>
      </w:r>
    </w:p>
    <w:p w:rsidR="00610560" w:rsidRPr="00903B90" w:rsidRDefault="00610560" w:rsidP="00903B90">
      <w:pPr>
        <w:spacing w:after="0" w:line="240" w:lineRule="auto"/>
        <w:rPr>
          <w:rFonts w:ascii="Times New Roman" w:eastAsia="Times New Roman" w:hAnsi="Times New Roman" w:cs="Times New Roman"/>
          <w:sz w:val="24"/>
          <w:szCs w:val="24"/>
          <w:lang w:eastAsia="en-GB"/>
        </w:rPr>
      </w:pPr>
    </w:p>
    <w:p w:rsidR="00202F4A" w:rsidRDefault="00202F4A"/>
    <w:sectPr w:rsidR="00202F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6D36" w:rsidRDefault="001D6D36" w:rsidP="003009A5">
      <w:pPr>
        <w:spacing w:after="0" w:line="240" w:lineRule="auto"/>
      </w:pPr>
      <w:r>
        <w:separator/>
      </w:r>
    </w:p>
  </w:endnote>
  <w:endnote w:type="continuationSeparator" w:id="0">
    <w:p w:rsidR="001D6D36" w:rsidRDefault="001D6D36" w:rsidP="00300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6D36" w:rsidRDefault="001D6D36" w:rsidP="003009A5">
      <w:pPr>
        <w:spacing w:after="0" w:line="240" w:lineRule="auto"/>
      </w:pPr>
      <w:r>
        <w:separator/>
      </w:r>
    </w:p>
  </w:footnote>
  <w:footnote w:type="continuationSeparator" w:id="0">
    <w:p w:rsidR="001D6D36" w:rsidRDefault="001D6D36" w:rsidP="003009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3B90"/>
    <w:rsid w:val="001D2FFD"/>
    <w:rsid w:val="001D6D36"/>
    <w:rsid w:val="00202F4A"/>
    <w:rsid w:val="0029548F"/>
    <w:rsid w:val="003009A5"/>
    <w:rsid w:val="005B63C4"/>
    <w:rsid w:val="00610560"/>
    <w:rsid w:val="00903B90"/>
    <w:rsid w:val="00BA73B2"/>
    <w:rsid w:val="00F14DB4"/>
    <w:rsid w:val="00F80426"/>
    <w:rsid w:val="00FD6F6C"/>
    <w:rsid w:val="00FF6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6442C0"/>
  <w15:chartTrackingRefBased/>
  <w15:docId w15:val="{08AB538E-01C3-4804-B262-A82106214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05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0560"/>
    <w:rPr>
      <w:b/>
      <w:bCs/>
    </w:rPr>
  </w:style>
  <w:style w:type="character" w:styleId="Emphasis">
    <w:name w:val="Emphasis"/>
    <w:basedOn w:val="DefaultParagraphFont"/>
    <w:uiPriority w:val="20"/>
    <w:qFormat/>
    <w:rsid w:val="00610560"/>
    <w:rPr>
      <w:i/>
      <w:iCs/>
    </w:rPr>
  </w:style>
  <w:style w:type="character" w:styleId="Hyperlink">
    <w:name w:val="Hyperlink"/>
    <w:basedOn w:val="DefaultParagraphFont"/>
    <w:uiPriority w:val="99"/>
    <w:semiHidden/>
    <w:unhideWhenUsed/>
    <w:rsid w:val="00610560"/>
    <w:rPr>
      <w:color w:val="0000FF"/>
      <w:u w:val="single"/>
    </w:rPr>
  </w:style>
  <w:style w:type="paragraph" w:styleId="Header">
    <w:name w:val="header"/>
    <w:basedOn w:val="Normal"/>
    <w:link w:val="HeaderChar"/>
    <w:uiPriority w:val="99"/>
    <w:unhideWhenUsed/>
    <w:rsid w:val="00300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9A5"/>
  </w:style>
  <w:style w:type="paragraph" w:styleId="Footer">
    <w:name w:val="footer"/>
    <w:basedOn w:val="Normal"/>
    <w:link w:val="FooterChar"/>
    <w:uiPriority w:val="99"/>
    <w:unhideWhenUsed/>
    <w:rsid w:val="00300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9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508981">
      <w:bodyDiv w:val="1"/>
      <w:marLeft w:val="0"/>
      <w:marRight w:val="0"/>
      <w:marTop w:val="0"/>
      <w:marBottom w:val="0"/>
      <w:divBdr>
        <w:top w:val="none" w:sz="0" w:space="0" w:color="auto"/>
        <w:left w:val="none" w:sz="0" w:space="0" w:color="auto"/>
        <w:bottom w:val="none" w:sz="0" w:space="0" w:color="auto"/>
        <w:right w:val="none" w:sz="0" w:space="0" w:color="auto"/>
      </w:divBdr>
    </w:div>
    <w:div w:id="101802253">
      <w:bodyDiv w:val="1"/>
      <w:marLeft w:val="0"/>
      <w:marRight w:val="0"/>
      <w:marTop w:val="0"/>
      <w:marBottom w:val="0"/>
      <w:divBdr>
        <w:top w:val="none" w:sz="0" w:space="0" w:color="auto"/>
        <w:left w:val="none" w:sz="0" w:space="0" w:color="auto"/>
        <w:bottom w:val="none" w:sz="0" w:space="0" w:color="auto"/>
        <w:right w:val="none" w:sz="0" w:space="0" w:color="auto"/>
      </w:divBdr>
    </w:div>
    <w:div w:id="155413875">
      <w:bodyDiv w:val="1"/>
      <w:marLeft w:val="0"/>
      <w:marRight w:val="0"/>
      <w:marTop w:val="0"/>
      <w:marBottom w:val="0"/>
      <w:divBdr>
        <w:top w:val="none" w:sz="0" w:space="0" w:color="auto"/>
        <w:left w:val="none" w:sz="0" w:space="0" w:color="auto"/>
        <w:bottom w:val="none" w:sz="0" w:space="0" w:color="auto"/>
        <w:right w:val="none" w:sz="0" w:space="0" w:color="auto"/>
      </w:divBdr>
    </w:div>
    <w:div w:id="239292730">
      <w:bodyDiv w:val="1"/>
      <w:marLeft w:val="0"/>
      <w:marRight w:val="0"/>
      <w:marTop w:val="0"/>
      <w:marBottom w:val="0"/>
      <w:divBdr>
        <w:top w:val="none" w:sz="0" w:space="0" w:color="auto"/>
        <w:left w:val="none" w:sz="0" w:space="0" w:color="auto"/>
        <w:bottom w:val="none" w:sz="0" w:space="0" w:color="auto"/>
        <w:right w:val="none" w:sz="0" w:space="0" w:color="auto"/>
      </w:divBdr>
    </w:div>
    <w:div w:id="630792563">
      <w:bodyDiv w:val="1"/>
      <w:marLeft w:val="0"/>
      <w:marRight w:val="0"/>
      <w:marTop w:val="0"/>
      <w:marBottom w:val="0"/>
      <w:divBdr>
        <w:top w:val="none" w:sz="0" w:space="0" w:color="auto"/>
        <w:left w:val="none" w:sz="0" w:space="0" w:color="auto"/>
        <w:bottom w:val="none" w:sz="0" w:space="0" w:color="auto"/>
        <w:right w:val="none" w:sz="0" w:space="0" w:color="auto"/>
      </w:divBdr>
    </w:div>
    <w:div w:id="631715485">
      <w:bodyDiv w:val="1"/>
      <w:marLeft w:val="0"/>
      <w:marRight w:val="0"/>
      <w:marTop w:val="0"/>
      <w:marBottom w:val="0"/>
      <w:divBdr>
        <w:top w:val="none" w:sz="0" w:space="0" w:color="auto"/>
        <w:left w:val="none" w:sz="0" w:space="0" w:color="auto"/>
        <w:bottom w:val="none" w:sz="0" w:space="0" w:color="auto"/>
        <w:right w:val="none" w:sz="0" w:space="0" w:color="auto"/>
      </w:divBdr>
    </w:div>
    <w:div w:id="726611056">
      <w:bodyDiv w:val="1"/>
      <w:marLeft w:val="0"/>
      <w:marRight w:val="0"/>
      <w:marTop w:val="0"/>
      <w:marBottom w:val="0"/>
      <w:divBdr>
        <w:top w:val="none" w:sz="0" w:space="0" w:color="auto"/>
        <w:left w:val="none" w:sz="0" w:space="0" w:color="auto"/>
        <w:bottom w:val="none" w:sz="0" w:space="0" w:color="auto"/>
        <w:right w:val="none" w:sz="0" w:space="0" w:color="auto"/>
      </w:divBdr>
    </w:div>
    <w:div w:id="889537532">
      <w:bodyDiv w:val="1"/>
      <w:marLeft w:val="0"/>
      <w:marRight w:val="0"/>
      <w:marTop w:val="0"/>
      <w:marBottom w:val="0"/>
      <w:divBdr>
        <w:top w:val="none" w:sz="0" w:space="0" w:color="auto"/>
        <w:left w:val="none" w:sz="0" w:space="0" w:color="auto"/>
        <w:bottom w:val="none" w:sz="0" w:space="0" w:color="auto"/>
        <w:right w:val="none" w:sz="0" w:space="0" w:color="auto"/>
      </w:divBdr>
    </w:div>
    <w:div w:id="992565554">
      <w:bodyDiv w:val="1"/>
      <w:marLeft w:val="0"/>
      <w:marRight w:val="0"/>
      <w:marTop w:val="0"/>
      <w:marBottom w:val="0"/>
      <w:divBdr>
        <w:top w:val="none" w:sz="0" w:space="0" w:color="auto"/>
        <w:left w:val="none" w:sz="0" w:space="0" w:color="auto"/>
        <w:bottom w:val="none" w:sz="0" w:space="0" w:color="auto"/>
        <w:right w:val="none" w:sz="0" w:space="0" w:color="auto"/>
      </w:divBdr>
    </w:div>
    <w:div w:id="1086876594">
      <w:bodyDiv w:val="1"/>
      <w:marLeft w:val="0"/>
      <w:marRight w:val="0"/>
      <w:marTop w:val="0"/>
      <w:marBottom w:val="0"/>
      <w:divBdr>
        <w:top w:val="none" w:sz="0" w:space="0" w:color="auto"/>
        <w:left w:val="none" w:sz="0" w:space="0" w:color="auto"/>
        <w:bottom w:val="none" w:sz="0" w:space="0" w:color="auto"/>
        <w:right w:val="none" w:sz="0" w:space="0" w:color="auto"/>
      </w:divBdr>
    </w:div>
    <w:div w:id="1135828669">
      <w:bodyDiv w:val="1"/>
      <w:marLeft w:val="0"/>
      <w:marRight w:val="0"/>
      <w:marTop w:val="0"/>
      <w:marBottom w:val="0"/>
      <w:divBdr>
        <w:top w:val="none" w:sz="0" w:space="0" w:color="auto"/>
        <w:left w:val="none" w:sz="0" w:space="0" w:color="auto"/>
        <w:bottom w:val="none" w:sz="0" w:space="0" w:color="auto"/>
        <w:right w:val="none" w:sz="0" w:space="0" w:color="auto"/>
      </w:divBdr>
    </w:div>
    <w:div w:id="1142886904">
      <w:bodyDiv w:val="1"/>
      <w:marLeft w:val="0"/>
      <w:marRight w:val="0"/>
      <w:marTop w:val="0"/>
      <w:marBottom w:val="0"/>
      <w:divBdr>
        <w:top w:val="none" w:sz="0" w:space="0" w:color="auto"/>
        <w:left w:val="none" w:sz="0" w:space="0" w:color="auto"/>
        <w:bottom w:val="none" w:sz="0" w:space="0" w:color="auto"/>
        <w:right w:val="none" w:sz="0" w:space="0" w:color="auto"/>
      </w:divBdr>
    </w:div>
    <w:div w:id="1145661363">
      <w:bodyDiv w:val="1"/>
      <w:marLeft w:val="0"/>
      <w:marRight w:val="0"/>
      <w:marTop w:val="0"/>
      <w:marBottom w:val="0"/>
      <w:divBdr>
        <w:top w:val="none" w:sz="0" w:space="0" w:color="auto"/>
        <w:left w:val="none" w:sz="0" w:space="0" w:color="auto"/>
        <w:bottom w:val="none" w:sz="0" w:space="0" w:color="auto"/>
        <w:right w:val="none" w:sz="0" w:space="0" w:color="auto"/>
      </w:divBdr>
    </w:div>
    <w:div w:id="1411006280">
      <w:bodyDiv w:val="1"/>
      <w:marLeft w:val="0"/>
      <w:marRight w:val="0"/>
      <w:marTop w:val="0"/>
      <w:marBottom w:val="0"/>
      <w:divBdr>
        <w:top w:val="none" w:sz="0" w:space="0" w:color="auto"/>
        <w:left w:val="none" w:sz="0" w:space="0" w:color="auto"/>
        <w:bottom w:val="none" w:sz="0" w:space="0" w:color="auto"/>
        <w:right w:val="none" w:sz="0" w:space="0" w:color="auto"/>
      </w:divBdr>
    </w:div>
    <w:div w:id="1518959590">
      <w:bodyDiv w:val="1"/>
      <w:marLeft w:val="0"/>
      <w:marRight w:val="0"/>
      <w:marTop w:val="0"/>
      <w:marBottom w:val="0"/>
      <w:divBdr>
        <w:top w:val="none" w:sz="0" w:space="0" w:color="auto"/>
        <w:left w:val="none" w:sz="0" w:space="0" w:color="auto"/>
        <w:bottom w:val="none" w:sz="0" w:space="0" w:color="auto"/>
        <w:right w:val="none" w:sz="0" w:space="0" w:color="auto"/>
      </w:divBdr>
    </w:div>
    <w:div w:id="1590429204">
      <w:bodyDiv w:val="1"/>
      <w:marLeft w:val="0"/>
      <w:marRight w:val="0"/>
      <w:marTop w:val="0"/>
      <w:marBottom w:val="0"/>
      <w:divBdr>
        <w:top w:val="none" w:sz="0" w:space="0" w:color="auto"/>
        <w:left w:val="none" w:sz="0" w:space="0" w:color="auto"/>
        <w:bottom w:val="none" w:sz="0" w:space="0" w:color="auto"/>
        <w:right w:val="none" w:sz="0" w:space="0" w:color="auto"/>
      </w:divBdr>
    </w:div>
    <w:div w:id="1595238080">
      <w:bodyDiv w:val="1"/>
      <w:marLeft w:val="0"/>
      <w:marRight w:val="0"/>
      <w:marTop w:val="0"/>
      <w:marBottom w:val="0"/>
      <w:divBdr>
        <w:top w:val="none" w:sz="0" w:space="0" w:color="auto"/>
        <w:left w:val="none" w:sz="0" w:space="0" w:color="auto"/>
        <w:bottom w:val="none" w:sz="0" w:space="0" w:color="auto"/>
        <w:right w:val="none" w:sz="0" w:space="0" w:color="auto"/>
      </w:divBdr>
    </w:div>
    <w:div w:id="1639336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dementia" TargetMode="External"/><Relationship Id="rId3" Type="http://schemas.openxmlformats.org/officeDocument/2006/relationships/webSettings" Target="webSettings.xml"/><Relationship Id="rId7" Type="http://schemas.openxmlformats.org/officeDocument/2006/relationships/hyperlink" Target="https://www.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Erik-Erikson.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5</Pages>
  <Words>1589</Words>
  <Characters>9838</Characters>
  <Application>Microsoft Office Word</Application>
  <DocSecurity>0</DocSecurity>
  <Lines>158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Ajaib07</dc:creator>
  <cp:keywords/>
  <dc:description/>
  <cp:lastModifiedBy>Alisha Ajaib07</cp:lastModifiedBy>
  <cp:revision>2</cp:revision>
  <dcterms:created xsi:type="dcterms:W3CDTF">2025-11-14T12:02:00Z</dcterms:created>
  <dcterms:modified xsi:type="dcterms:W3CDTF">2025-11-14T17:09:00Z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53cad4d7-6da6-4e6d-a3f9-8c4e43a2364e</vt:lpwstr>
  </property>
</Properties>
</file>