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0094832A" w14:textId="77777777" w:rsidR="00B45C68" w:rsidRDefault="00B45C68" w:rsidP="00B45C68">
      <w:pPr>
        <w:jc w:val="center"/>
        <w:rPr>
          <w:b/>
          <w:sz w:val="36"/>
        </w:rPr>
      </w:pPr>
    </w:p>
    <w:p w14:paraId="5C789A14" w14:textId="77777777" w:rsidR="00B45C68" w:rsidRDefault="00B45C68" w:rsidP="00B45C68">
      <w:pPr>
        <w:jc w:val="center"/>
        <w:rPr>
          <w:b/>
          <w:sz w:val="36"/>
        </w:rPr>
      </w:pPr>
    </w:p>
    <w:p w14:paraId="19BBD779" w14:textId="77777777" w:rsidR="00B45C68" w:rsidRDefault="00B45C68" w:rsidP="00B45C68">
      <w:pPr>
        <w:jc w:val="center"/>
        <w:rPr>
          <w:b/>
          <w:sz w:val="36"/>
        </w:rPr>
      </w:pPr>
    </w:p>
    <w:p w14:paraId="5645F29B" w14:textId="77777777" w:rsidR="00B45C68" w:rsidRDefault="00B45C68" w:rsidP="00B45C68">
      <w:pPr>
        <w:jc w:val="center"/>
        <w:rPr>
          <w:b/>
          <w:sz w:val="36"/>
        </w:rPr>
      </w:pPr>
    </w:p>
    <w:p w14:paraId="5479003F" w14:textId="77777777" w:rsidR="00B45C68" w:rsidRDefault="00B45C68" w:rsidP="00B45C68">
      <w:pPr>
        <w:jc w:val="center"/>
        <w:rPr>
          <w:b/>
          <w:sz w:val="36"/>
        </w:rPr>
      </w:pPr>
    </w:p>
    <w:p w14:paraId="410B45DB" w14:textId="53C60C00" w:rsidR="00B45C68" w:rsidRDefault="005F641C" w:rsidP="00B45C68">
      <w:pPr>
        <w:jc w:val="center"/>
        <w:rPr>
          <w:b/>
          <w:sz w:val="36"/>
        </w:rPr>
      </w:pPr>
      <w:r>
        <w:rPr>
          <w:b/>
          <w:sz w:val="36"/>
        </w:rPr>
        <w:t>Name: Geanina Alina Cotoban</w:t>
      </w:r>
    </w:p>
    <w:p w14:paraId="6883BBA5" w14:textId="53A2C611" w:rsidR="00B45C68" w:rsidRDefault="005F641C" w:rsidP="005F641C">
      <w:pPr>
        <w:jc w:val="center"/>
        <w:rPr>
          <w:b/>
          <w:sz w:val="36"/>
        </w:rPr>
      </w:pPr>
      <w:r>
        <w:rPr>
          <w:b/>
          <w:sz w:val="36"/>
        </w:rPr>
        <w:t>Student Number: 1917121</w:t>
      </w:r>
    </w:p>
    <w:p w14:paraId="66560F87" w14:textId="6BB25C3A" w:rsidR="00B45C68" w:rsidRDefault="00B45C68" w:rsidP="003F7501">
      <w:pPr>
        <w:jc w:val="center"/>
        <w:rPr>
          <w:b/>
          <w:sz w:val="36"/>
        </w:rPr>
      </w:pPr>
      <w:r w:rsidRPr="00B45C68">
        <w:rPr>
          <w:b/>
          <w:sz w:val="36"/>
        </w:rPr>
        <w:t>Module: International Financial Management</w:t>
      </w:r>
    </w:p>
    <w:p w14:paraId="4BCA57D9" w14:textId="5CE71B88" w:rsidR="005F641C" w:rsidRPr="00B45C68" w:rsidRDefault="005F641C" w:rsidP="00B45C68">
      <w:pPr>
        <w:jc w:val="center"/>
        <w:rPr>
          <w:b/>
          <w:sz w:val="36"/>
        </w:rPr>
      </w:pPr>
      <w:r>
        <w:rPr>
          <w:b/>
          <w:sz w:val="36"/>
        </w:rPr>
        <w:t xml:space="preserve">Module Lecturer: </w:t>
      </w:r>
      <w:proofErr w:type="spellStart"/>
      <w:r>
        <w:rPr>
          <w:b/>
          <w:sz w:val="36"/>
        </w:rPr>
        <w:t>Dr.</w:t>
      </w:r>
      <w:proofErr w:type="spellEnd"/>
      <w:r>
        <w:rPr>
          <w:b/>
          <w:sz w:val="36"/>
        </w:rPr>
        <w:t xml:space="preserve"> Taye Timothy </w:t>
      </w:r>
      <w:proofErr w:type="spellStart"/>
      <w:r>
        <w:rPr>
          <w:b/>
          <w:sz w:val="36"/>
        </w:rPr>
        <w:t>Osadiya</w:t>
      </w:r>
      <w:proofErr w:type="spellEnd"/>
    </w:p>
    <w:p w14:paraId="74EF2D73" w14:textId="0DB1AC82" w:rsidR="00B45C68" w:rsidRDefault="00B45C68" w:rsidP="00B45C68">
      <w:pPr>
        <w:pBdr>
          <w:bottom w:val="single" w:sz="4" w:space="1" w:color="auto"/>
        </w:pBdr>
        <w:jc w:val="center"/>
        <w:rPr>
          <w:b/>
        </w:rPr>
      </w:pPr>
      <w:r w:rsidRPr="00B45C68">
        <w:rPr>
          <w:b/>
          <w:sz w:val="36"/>
        </w:rPr>
        <w:t xml:space="preserve"> Assessment 1 </w:t>
      </w:r>
      <w:r>
        <w:rPr>
          <w:b/>
        </w:rPr>
        <w:br w:type="page"/>
      </w:r>
      <w:bookmarkStart w:id="0" w:name="_GoBack"/>
      <w:bookmarkEnd w:id="0"/>
    </w:p>
    <w:sdt>
      <w:sdtPr>
        <w:rPr>
          <w:rFonts w:ascii="Times New Roman" w:eastAsia="Times New Roman" w:hAnsi="Times New Roman" w:cs="Times New Roman"/>
          <w:color w:val="auto"/>
          <w:sz w:val="24"/>
          <w:szCs w:val="24"/>
          <w:lang w:val="en-GB"/>
        </w:rPr>
        <w:id w:val="-2130229346"/>
        <w:docPartObj>
          <w:docPartGallery w:val="Table of Contents"/>
          <w:docPartUnique/>
        </w:docPartObj>
      </w:sdtPr>
      <w:sdtEndPr>
        <w:rPr>
          <w:b/>
          <w:bCs/>
          <w:noProof/>
        </w:rPr>
      </w:sdtEndPr>
      <w:sdtContent>
        <w:p w14:paraId="0C4A2AFB" w14:textId="652D1C14" w:rsidR="00B45C68" w:rsidRPr="00B45C68" w:rsidRDefault="00B45C68" w:rsidP="00B45C68">
          <w:pPr>
            <w:pStyle w:val="TtuloTDC"/>
            <w:jc w:val="center"/>
            <w:rPr>
              <w:rFonts w:ascii="Times New Roman" w:hAnsi="Times New Roman" w:cs="Times New Roman"/>
              <w:b/>
              <w:color w:val="000000" w:themeColor="text1"/>
            </w:rPr>
          </w:pPr>
          <w:r w:rsidRPr="00B45C68">
            <w:rPr>
              <w:rFonts w:ascii="Times New Roman" w:hAnsi="Times New Roman" w:cs="Times New Roman"/>
              <w:b/>
              <w:color w:val="000000" w:themeColor="text1"/>
            </w:rPr>
            <w:t>Table of Contents</w:t>
          </w:r>
        </w:p>
        <w:p w14:paraId="1791E106" w14:textId="77777777" w:rsidR="00B45C68" w:rsidRDefault="00B45C68">
          <w:pPr>
            <w:pStyle w:val="TDC1"/>
            <w:tabs>
              <w:tab w:val="right" w:leader="dot" w:pos="9016"/>
            </w:tabs>
            <w:rPr>
              <w:noProof/>
            </w:rPr>
          </w:pPr>
          <w:r>
            <w:fldChar w:fldCharType="begin"/>
          </w:r>
          <w:r>
            <w:instrText xml:space="preserve"> TOC \o "1-3" \h \z \u </w:instrText>
          </w:r>
          <w:r>
            <w:fldChar w:fldCharType="separate"/>
          </w:r>
          <w:hyperlink w:anchor="_Toc97909904" w:history="1">
            <w:r w:rsidRPr="00CB45AE">
              <w:rPr>
                <w:rStyle w:val="Hipervnculo"/>
                <w:noProof/>
              </w:rPr>
              <w:t>Introduction</w:t>
            </w:r>
            <w:r>
              <w:rPr>
                <w:noProof/>
                <w:webHidden/>
              </w:rPr>
              <w:tab/>
            </w:r>
            <w:r>
              <w:rPr>
                <w:noProof/>
                <w:webHidden/>
              </w:rPr>
              <w:fldChar w:fldCharType="begin"/>
            </w:r>
            <w:r>
              <w:rPr>
                <w:noProof/>
                <w:webHidden/>
              </w:rPr>
              <w:instrText xml:space="preserve"> PAGEREF _Toc97909904 \h </w:instrText>
            </w:r>
            <w:r>
              <w:rPr>
                <w:noProof/>
                <w:webHidden/>
              </w:rPr>
            </w:r>
            <w:r>
              <w:rPr>
                <w:noProof/>
                <w:webHidden/>
              </w:rPr>
              <w:fldChar w:fldCharType="separate"/>
            </w:r>
            <w:r>
              <w:rPr>
                <w:noProof/>
                <w:webHidden/>
              </w:rPr>
              <w:t>3</w:t>
            </w:r>
            <w:r>
              <w:rPr>
                <w:noProof/>
                <w:webHidden/>
              </w:rPr>
              <w:fldChar w:fldCharType="end"/>
            </w:r>
          </w:hyperlink>
        </w:p>
        <w:p w14:paraId="52725C93" w14:textId="77777777" w:rsidR="00B45C68" w:rsidRDefault="00D94E0C">
          <w:pPr>
            <w:pStyle w:val="TDC1"/>
            <w:tabs>
              <w:tab w:val="right" w:leader="dot" w:pos="9016"/>
            </w:tabs>
            <w:rPr>
              <w:noProof/>
            </w:rPr>
          </w:pPr>
          <w:hyperlink w:anchor="_Toc97909905" w:history="1">
            <w:r w:rsidR="00B45C68" w:rsidRPr="00CB45AE">
              <w:rPr>
                <w:rStyle w:val="Hipervnculo"/>
                <w:noProof/>
              </w:rPr>
              <w:t>Discussions</w:t>
            </w:r>
            <w:r w:rsidR="00B45C68">
              <w:rPr>
                <w:noProof/>
                <w:webHidden/>
              </w:rPr>
              <w:tab/>
            </w:r>
            <w:r w:rsidR="00B45C68">
              <w:rPr>
                <w:noProof/>
                <w:webHidden/>
              </w:rPr>
              <w:fldChar w:fldCharType="begin"/>
            </w:r>
            <w:r w:rsidR="00B45C68">
              <w:rPr>
                <w:noProof/>
                <w:webHidden/>
              </w:rPr>
              <w:instrText xml:space="preserve"> PAGEREF _Toc97909905 \h </w:instrText>
            </w:r>
            <w:r w:rsidR="00B45C68">
              <w:rPr>
                <w:noProof/>
                <w:webHidden/>
              </w:rPr>
            </w:r>
            <w:r w:rsidR="00B45C68">
              <w:rPr>
                <w:noProof/>
                <w:webHidden/>
              </w:rPr>
              <w:fldChar w:fldCharType="separate"/>
            </w:r>
            <w:r w:rsidR="00B45C68">
              <w:rPr>
                <w:noProof/>
                <w:webHidden/>
              </w:rPr>
              <w:t>3</w:t>
            </w:r>
            <w:r w:rsidR="00B45C68">
              <w:rPr>
                <w:noProof/>
                <w:webHidden/>
              </w:rPr>
              <w:fldChar w:fldCharType="end"/>
            </w:r>
          </w:hyperlink>
        </w:p>
        <w:p w14:paraId="0856527D" w14:textId="51546F73" w:rsidR="00B45C68" w:rsidRDefault="00DB23AC">
          <w:pPr>
            <w:pStyle w:val="TDC1"/>
            <w:tabs>
              <w:tab w:val="right" w:leader="dot" w:pos="9016"/>
            </w:tabs>
            <w:rPr>
              <w:noProof/>
            </w:rPr>
          </w:pPr>
          <w:r>
            <w:t>Conclusion…………………………………………………………………………………</w:t>
          </w:r>
          <w:proofErr w:type="gramStart"/>
          <w:r>
            <w:t>…..</w:t>
          </w:r>
          <w:proofErr w:type="gramEnd"/>
          <w:r>
            <w:t>7</w:t>
          </w:r>
        </w:p>
        <w:p w14:paraId="72A74C24" w14:textId="313F7E97" w:rsidR="00B45C68" w:rsidRDefault="00DB23AC">
          <w:pPr>
            <w:pStyle w:val="TDC1"/>
            <w:tabs>
              <w:tab w:val="right" w:leader="dot" w:pos="9016"/>
            </w:tabs>
            <w:rPr>
              <w:noProof/>
            </w:rPr>
          </w:pPr>
          <w:r>
            <w:t>Reference</w:t>
          </w:r>
          <w:r w:rsidR="00F378F3">
            <w:t>s…</w:t>
          </w:r>
          <w:r>
            <w:t>………………………………………………………………………………</w:t>
          </w:r>
          <w:proofErr w:type="gramStart"/>
          <w:r>
            <w:t>…..</w:t>
          </w:r>
          <w:proofErr w:type="gramEnd"/>
          <w:r>
            <w:t>8</w:t>
          </w:r>
        </w:p>
        <w:p w14:paraId="145F9728" w14:textId="1720ECE7" w:rsidR="00B45C68" w:rsidRDefault="00B45C68">
          <w:r>
            <w:rPr>
              <w:b/>
              <w:bCs/>
              <w:noProof/>
            </w:rPr>
            <w:fldChar w:fldCharType="end"/>
          </w:r>
        </w:p>
      </w:sdtContent>
    </w:sdt>
    <w:p w14:paraId="6A1B45AF" w14:textId="77777777" w:rsidR="00B45C68" w:rsidRDefault="00B45C68">
      <w:pPr>
        <w:rPr>
          <w:b/>
        </w:rPr>
      </w:pPr>
      <w:r>
        <w:rPr>
          <w:b/>
        </w:rPr>
        <w:br w:type="page"/>
      </w:r>
    </w:p>
    <w:p w14:paraId="00000001" w14:textId="16AF9CB3" w:rsidR="00B1321D" w:rsidRDefault="000043F1" w:rsidP="00B45C68">
      <w:pPr>
        <w:pStyle w:val="Ttulo1"/>
      </w:pPr>
      <w:bookmarkStart w:id="1" w:name="_Toc97909904"/>
      <w:r>
        <w:lastRenderedPageBreak/>
        <w:t>Introduction</w:t>
      </w:r>
      <w:bookmarkEnd w:id="1"/>
      <w:r>
        <w:t xml:space="preserve"> </w:t>
      </w:r>
    </w:p>
    <w:p w14:paraId="00000002" w14:textId="6CB4F73A" w:rsidR="00B1321D" w:rsidRDefault="000043F1">
      <w:r>
        <w:t>The basic conceptual approach associated with the “Financial management” concept is applied under individual business in a supportive perspective mainly.</w:t>
      </w:r>
      <w:r w:rsidR="00AC127A">
        <w:t xml:space="preserve"> According to </w:t>
      </w:r>
      <w:r w:rsidR="00AC127A">
        <w:rPr>
          <w:color w:val="222222"/>
          <w:shd w:val="clear" w:color="auto" w:fill="FFFFFF"/>
        </w:rPr>
        <w:t>Thomas and Ward (</w:t>
      </w:r>
      <w:r w:rsidR="00AC127A" w:rsidRPr="00025D79">
        <w:rPr>
          <w:color w:val="222222"/>
          <w:shd w:val="clear" w:color="auto" w:fill="FFFFFF"/>
        </w:rPr>
        <w:t>2019</w:t>
      </w:r>
      <w:r w:rsidR="00AC127A">
        <w:rPr>
          <w:color w:val="222222"/>
          <w:shd w:val="clear" w:color="auto" w:fill="FFFFFF"/>
        </w:rPr>
        <w:t xml:space="preserve">) it </w:t>
      </w:r>
      <w:proofErr w:type="gramStart"/>
      <w:r w:rsidR="00AC127A">
        <w:rPr>
          <w:color w:val="222222"/>
          <w:shd w:val="clear" w:color="auto" w:fill="FFFFFF"/>
        </w:rPr>
        <w:t xml:space="preserve">is </w:t>
      </w:r>
      <w:r>
        <w:t xml:space="preserve">considered </w:t>
      </w:r>
      <w:r w:rsidR="00D03ADC">
        <w:t>to be</w:t>
      </w:r>
      <w:proofErr w:type="gramEnd"/>
      <w:r w:rsidR="00D03ADC">
        <w:t xml:space="preserve"> a</w:t>
      </w:r>
      <w:r>
        <w:t xml:space="preserve"> branch of accounting that is initiated for detailing support with regards to accounting </w:t>
      </w:r>
      <w:r w:rsidR="00AC127A">
        <w:t xml:space="preserve">formulation approach efficiently. </w:t>
      </w:r>
      <w:r w:rsidR="00AC127A">
        <w:rPr>
          <w:color w:val="222222"/>
          <w:shd w:val="clear" w:color="auto" w:fill="FFFFFF"/>
        </w:rPr>
        <w:t>Warren and Jones (</w:t>
      </w:r>
      <w:r w:rsidR="00AC127A" w:rsidRPr="00025D79">
        <w:rPr>
          <w:color w:val="222222"/>
          <w:shd w:val="clear" w:color="auto" w:fill="FFFFFF"/>
        </w:rPr>
        <w:t>2018</w:t>
      </w:r>
      <w:r w:rsidR="00AC127A">
        <w:rPr>
          <w:color w:val="222222"/>
          <w:shd w:val="clear" w:color="auto" w:fill="FFFFFF"/>
        </w:rPr>
        <w:t>), opined that t</w:t>
      </w:r>
      <w:r>
        <w:t xml:space="preserve">he presence of such accounting principles </w:t>
      </w:r>
      <w:r w:rsidR="0018663E">
        <w:t>is</w:t>
      </w:r>
      <w:r>
        <w:t xml:space="preserve"> initiated in a large context in order to provide some performance evaluation support regarding business optimised approaches mainly with the support of which general accounting compatibility is initiated. In this essay mainly the applied evaluation regarding dividend distribution policies, efficient market hypothesis theory and investment evaluation project effectively discussed for the business of</w:t>
      </w:r>
      <w:r>
        <w:rPr>
          <w:b/>
        </w:rPr>
        <w:t xml:space="preserve"> Rio-Tinto </w:t>
      </w:r>
      <w:r>
        <w:t xml:space="preserve">respectively. </w:t>
      </w:r>
    </w:p>
    <w:p w14:paraId="2246CA87" w14:textId="77777777" w:rsidR="002E10CB" w:rsidRDefault="002E10CB"/>
    <w:p w14:paraId="00000003" w14:textId="10D45EE8" w:rsidR="00B1321D" w:rsidRDefault="000043F1" w:rsidP="00B45C68">
      <w:pPr>
        <w:pStyle w:val="Ttulo1"/>
      </w:pPr>
      <w:bookmarkStart w:id="2" w:name="_Toc97909905"/>
      <w:r>
        <w:t>Discussions</w:t>
      </w:r>
      <w:bookmarkEnd w:id="2"/>
      <w:r>
        <w:t xml:space="preserve"> </w:t>
      </w:r>
    </w:p>
    <w:p w14:paraId="3E49B728" w14:textId="77777777" w:rsidR="002E10CB" w:rsidRPr="002E10CB" w:rsidRDefault="002E10CB" w:rsidP="002E10CB"/>
    <w:p w14:paraId="00000004" w14:textId="2D04614F" w:rsidR="00B1321D" w:rsidRDefault="000043F1">
      <w:r>
        <w:t xml:space="preserve">According to </w:t>
      </w:r>
      <w:proofErr w:type="spellStart"/>
      <w:r>
        <w:t>Atmadja</w:t>
      </w:r>
      <w:proofErr w:type="spellEnd"/>
      <w:r>
        <w:t xml:space="preserve"> and </w:t>
      </w:r>
      <w:proofErr w:type="spellStart"/>
      <w:r>
        <w:t>Saputra</w:t>
      </w:r>
      <w:proofErr w:type="spellEnd"/>
      <w:r>
        <w:t xml:space="preserve"> (2018), applied conceptual approach regarding business </w:t>
      </w:r>
      <w:r>
        <w:rPr>
          <w:b/>
        </w:rPr>
        <w:t>“Financial management”</w:t>
      </w:r>
      <w:r>
        <w:t xml:space="preserve"> initiated in a large context that provides a level of formative approach including accounting potentiality processing in a developing manner. It is also considered as a significant pathway support mainly with the presence of which general goal completion support including objective approach can also be managed on a developing basis. Primary approach of such accounting engagement provides a level of efficiency formulation support including allocation and acquisition approach regarding financial attributes mainly that also initiated for managing the funding engagement including operating optimised processing in a supportive manner (Al </w:t>
      </w:r>
      <w:proofErr w:type="spellStart"/>
      <w:r>
        <w:t>Breiki</w:t>
      </w:r>
      <w:proofErr w:type="spellEnd"/>
      <w:r>
        <w:t xml:space="preserve"> and </w:t>
      </w:r>
      <w:proofErr w:type="spellStart"/>
      <w:r>
        <w:t>Nobanee</w:t>
      </w:r>
      <w:proofErr w:type="spellEnd"/>
      <w:r>
        <w:t xml:space="preserve">, 2019). </w:t>
      </w:r>
    </w:p>
    <w:p w14:paraId="1C15DD22" w14:textId="77777777" w:rsidR="002E10CB" w:rsidRDefault="002E10CB"/>
    <w:p w14:paraId="00000005" w14:textId="6B75819C" w:rsidR="00B1321D" w:rsidRDefault="000043F1">
      <w:r>
        <w:rPr>
          <w:b/>
        </w:rPr>
        <w:t xml:space="preserve">Rio-Tinto </w:t>
      </w:r>
      <w:r>
        <w:t>is recognised as</w:t>
      </w:r>
      <w:r w:rsidR="001429B1">
        <w:t xml:space="preserve"> </w:t>
      </w:r>
      <w:r>
        <w:t>an Anglo-Australian corporation that is also known as the second largest mining</w:t>
      </w:r>
      <w:r w:rsidR="00AC127A">
        <w:t xml:space="preserve"> and metal organisation</w:t>
      </w:r>
      <w:r>
        <w:t xml:space="preserve">. </w:t>
      </w:r>
      <w:r w:rsidR="00AC127A">
        <w:t>It is mainly</w:t>
      </w:r>
      <w:r>
        <w:t xml:space="preserve"> engaged in manufacturing iron ore, copper, gold, diamond, uranium and other relevant metal items with considering the general marketing demand support. The business was founded during the period of 1873 and with the current marketing demand it gained a significant amount of business revenues that amounted to US$63.495 billion during the period of 2021 including US$22.575 billion as net income mainly. Associated with the current operating approach the business is operated with the support of 45,000 employee volume that provides a supportive and influential accounting approach mainly (Riotinto.com, 2022). As per the current marketing process the overall volume of market capitalisation approach of the business is around 91.155 billion with beta amounted </w:t>
      </w:r>
      <w:r>
        <w:lastRenderedPageBreak/>
        <w:t xml:space="preserve">to 0.55 and PE ratio of 5.76 that mainly indicates the comprehensive performance initiatives including operating stability approach in an efficient and sustainable basis mainly. The presence of such approach provides a level of supportive attributes mainly with the presence of which </w:t>
      </w:r>
      <w:r w:rsidR="00B45C68">
        <w:t>general</w:t>
      </w:r>
      <w:r>
        <w:t xml:space="preserve"> volume of business’ dividend processing approach is essentially structured and developed (Uk.finance.yahoo.com, 2022).  </w:t>
      </w:r>
    </w:p>
    <w:p w14:paraId="29245A2C" w14:textId="77777777" w:rsidR="002E10CB" w:rsidRDefault="002E10CB"/>
    <w:p w14:paraId="7EFEC4C8" w14:textId="04B8176D" w:rsidR="001D265D" w:rsidRDefault="000043F1">
      <w:r>
        <w:t>As per the general conceptual approach regarding acco</w:t>
      </w:r>
      <w:r w:rsidR="00AC127A">
        <w:t xml:space="preserve">untancy, the applied concept of </w:t>
      </w:r>
      <w:r>
        <w:rPr>
          <w:b/>
        </w:rPr>
        <w:t xml:space="preserve">Dividend </w:t>
      </w:r>
      <w:r>
        <w:t>is used to present a particular portion of business profit that is generally distributed among the shareholders with the primary intention of enhancing market capitalization approach properly</w:t>
      </w:r>
      <w:r w:rsidR="00AC127A">
        <w:t xml:space="preserve"> (</w:t>
      </w:r>
      <w:proofErr w:type="spellStart"/>
      <w:r w:rsidR="00AC127A">
        <w:rPr>
          <w:color w:val="222222"/>
          <w:shd w:val="clear" w:color="auto" w:fill="FFFFFF"/>
        </w:rPr>
        <w:t>Wiratama</w:t>
      </w:r>
      <w:proofErr w:type="spellEnd"/>
      <w:r w:rsidR="00AC127A">
        <w:rPr>
          <w:color w:val="222222"/>
          <w:shd w:val="clear" w:color="auto" w:fill="FFFFFF"/>
        </w:rPr>
        <w:t xml:space="preserve"> and </w:t>
      </w:r>
      <w:proofErr w:type="spellStart"/>
      <w:r w:rsidR="00AC127A">
        <w:rPr>
          <w:color w:val="222222"/>
          <w:shd w:val="clear" w:color="auto" w:fill="FFFFFF"/>
        </w:rPr>
        <w:t>Asri</w:t>
      </w:r>
      <w:proofErr w:type="spellEnd"/>
      <w:r w:rsidR="00AC127A">
        <w:rPr>
          <w:color w:val="222222"/>
          <w:shd w:val="clear" w:color="auto" w:fill="FFFFFF"/>
        </w:rPr>
        <w:t xml:space="preserve">, </w:t>
      </w:r>
      <w:r w:rsidR="00AC127A" w:rsidRPr="00025D79">
        <w:rPr>
          <w:color w:val="222222"/>
          <w:shd w:val="clear" w:color="auto" w:fill="FFFFFF"/>
        </w:rPr>
        <w:t>2020</w:t>
      </w:r>
      <w:r w:rsidR="00AC127A">
        <w:rPr>
          <w:color w:val="222222"/>
          <w:shd w:val="clear" w:color="auto" w:fill="FFFFFF"/>
        </w:rPr>
        <w:t>)</w:t>
      </w:r>
      <w:r>
        <w:t xml:space="preserve">. </w:t>
      </w:r>
      <w:r w:rsidR="001D265D" w:rsidRPr="00A74FCA">
        <w:t xml:space="preserve">Associated to the present operating approach the presence of dividend relevance policies </w:t>
      </w:r>
      <w:r w:rsidR="008058AB">
        <w:t>is</w:t>
      </w:r>
      <w:r w:rsidR="001D265D" w:rsidRPr="00A74FCA">
        <w:t xml:space="preserve"> initiated for maintain the dividend formulation approach with the support of which general compatibility and other associated growth can effectively formulated. The dividend irrelevance theory also argues that dividends hurt a company since the money would be better reinvested in the company.</w:t>
      </w:r>
    </w:p>
    <w:p w14:paraId="42E5F4DC" w14:textId="77777777" w:rsidR="00A74FCA" w:rsidRPr="00A74FCA" w:rsidRDefault="00A74FCA"/>
    <w:p w14:paraId="33E565B8" w14:textId="77777777" w:rsidR="006065AB" w:rsidRDefault="000043F1" w:rsidP="006065AB">
      <w:r w:rsidRPr="00A74FCA">
        <w:t xml:space="preserve">Associated with the present operating approach the management of such business mainly used to provide a </w:t>
      </w:r>
      <w:r w:rsidRPr="00A74FCA">
        <w:rPr>
          <w:b/>
        </w:rPr>
        <w:t xml:space="preserve">stable dividend policy approach </w:t>
      </w:r>
      <w:r w:rsidRPr="00A74FCA">
        <w:t>for individual shareholders with the support of which general operating development approaches are supportively managed (Riotinto.com</w:t>
      </w:r>
      <w:r>
        <w:t xml:space="preserve">, 2022). As per the general operating approach the management of such business mainly used to provide importance to the </w:t>
      </w:r>
      <w:r>
        <w:rPr>
          <w:b/>
        </w:rPr>
        <w:t xml:space="preserve">dividend reinvestment planning engagement </w:t>
      </w:r>
      <w:r>
        <w:t>mainly that also initiated for developing the optimised approach including formative development regarding cash dividend initiatives with approach of market share engagement mainly. In respect to the current operating level, the current annual dividend volume of the business is representing around 9.73% growth associated to 2.72 AUD as quarterly dividend basically (Hargreaves Lansdown, 2022).</w:t>
      </w:r>
      <w:r w:rsidR="006065AB">
        <w:t xml:space="preserve"> Including current operating approach management of Rio also used to proceed the approach regarding dividend imputation approach mainly through the processing of which general growth including operating optimised approach can also be managed. In the present scenario the management of such also applied to proceed through taxation engagement mainly that can be initiated for imputation credits attaching approach basically. The applied approach of franked dividend engagement is mainly initiated that provides operating development support that is initiated for managing the accountability formulation in a supportive order. </w:t>
      </w:r>
    </w:p>
    <w:p w14:paraId="00000006" w14:textId="027C05B6" w:rsidR="00B1321D" w:rsidRDefault="00B1321D"/>
    <w:p w14:paraId="1B75848E" w14:textId="77777777" w:rsidR="002E10CB" w:rsidRDefault="002E10CB"/>
    <w:p w14:paraId="00000007" w14:textId="066AF941" w:rsidR="00B1321D" w:rsidRDefault="000043F1">
      <w:r>
        <w:lastRenderedPageBreak/>
        <w:t xml:space="preserve">According to the general conceptual framework regarding </w:t>
      </w:r>
      <w:r>
        <w:rPr>
          <w:b/>
        </w:rPr>
        <w:t xml:space="preserve">market hypothesis theory </w:t>
      </w:r>
      <w:r>
        <w:t xml:space="preserve">represents the share pricing approach with the support of which relevant and associated accounting information can efficiently be identified. </w:t>
      </w:r>
      <w:r w:rsidR="00AC127A" w:rsidRPr="00A74FCA">
        <w:t>Applied “efficient market hypothesis (EMH) or theory </w:t>
      </w:r>
      <w:r w:rsidR="00AC127A" w:rsidRPr="00A74FCA">
        <w:rPr>
          <w:bCs/>
        </w:rPr>
        <w:t>states that share prices reflect all information</w:t>
      </w:r>
      <w:r w:rsidR="00AC127A" w:rsidRPr="00A74FCA">
        <w:t xml:space="preserve">. The EMH hypothesizes that stocks trade at their fair market value on exchanges. Proponents of EMH posit that investors benefit from investing in a low-cost, passive portfolio”. </w:t>
      </w:r>
      <w:r w:rsidRPr="00A74FCA">
        <w:t xml:space="preserve">It also applied to initiate some of the relevant and operating identification approach mainly that brings the optimised growth of business in a supportive basis. The applied processing of effective market hypothesis theory is </w:t>
      </w:r>
      <w:r>
        <w:t xml:space="preserve">initiated in order to provide relevant detailed approaches regarding business accounting identification mainly with the support of which general identification including marketing analysis approach for individual investors can be identified (Ying </w:t>
      </w:r>
      <w:r>
        <w:rPr>
          <w:i/>
        </w:rPr>
        <w:t>et al.,</w:t>
      </w:r>
      <w:r>
        <w:t xml:space="preserve"> 2019). As per the current marketing approach the share price of such business is resulted in 5618.00 along with the supportive volume of market capitalisation approach around 91.155 billion with beta level of 0.55 and PE ratio level of 5.76 respectively (Uk.finance.yahoo.com, 2022). Associated with the current marketing approach the management of Rio has decided to enhance the volume of individual product price in a supportive order in order to maintain the optimum approach regarding operating sustainability formulation on a positive basis. Including the current </w:t>
      </w:r>
      <w:proofErr w:type="gramStart"/>
      <w:r>
        <w:t>initiative</w:t>
      </w:r>
      <w:proofErr w:type="gramEnd"/>
      <w:r>
        <w:t xml:space="preserve"> the applied engagement of this type of engagement also provides a level of benefits regarding profit development approach also with the support of which general operative support associated to the business are efficiently managed mainly. In respect to the current operating approach a significant level of 10% enhancement is noticed related to the share pricing of Rio during the period of </w:t>
      </w:r>
      <w:r w:rsidR="00B45C68">
        <w:t>February</w:t>
      </w:r>
      <w:r>
        <w:t xml:space="preserve"> that increased due to supportive cash flow initiatives in the business mainly (Levine, 2022). During the period of 2020 while the general volume of business cash flow was $9.4 billion, in 2021 it enhanced </w:t>
      </w:r>
      <w:r w:rsidR="00B45C68">
        <w:t>up to</w:t>
      </w:r>
      <w:r>
        <w:t xml:space="preserve"> the volume of $17.7 billion significantly. Due to such formative development associated with business cash flow initiatives a significant amount of business standardised approach is noticed that provide the approach of significant share price enhancing approach mainly.</w:t>
      </w:r>
    </w:p>
    <w:p w14:paraId="50E8F8E5" w14:textId="77777777" w:rsidR="002E10CB" w:rsidRDefault="002E10CB"/>
    <w:p w14:paraId="6B64BE93" w14:textId="25676E1E" w:rsidR="00AC127A" w:rsidRDefault="000043F1">
      <w:r>
        <w:t xml:space="preserve">According to the general principles provided under </w:t>
      </w:r>
      <w:r>
        <w:rPr>
          <w:b/>
        </w:rPr>
        <w:t xml:space="preserve">“Financial management” </w:t>
      </w:r>
      <w:r>
        <w:t xml:space="preserve">applied the engagement of investment appraisal processing are generally initiated for evaluating the performances of individual projects in a supportive basis with the maintenance of which general growth including </w:t>
      </w:r>
      <w:r w:rsidR="00B45C68">
        <w:t>operating</w:t>
      </w:r>
      <w:r>
        <w:t xml:space="preserve"> development approach can also be balanced as well (Martin </w:t>
      </w:r>
      <w:r>
        <w:rPr>
          <w:i/>
        </w:rPr>
        <w:t>et al.,</w:t>
      </w:r>
      <w:r>
        <w:t xml:space="preserve"> 2020</w:t>
      </w:r>
      <w:r w:rsidRPr="000A1287">
        <w:t xml:space="preserve">). </w:t>
      </w:r>
      <w:r w:rsidR="00B236AA" w:rsidRPr="000A1287">
        <w:t>Generally, under investment appraisal processing four different method are formulated regarding payback, ARR, NPV and IRR are supportively in</w:t>
      </w:r>
      <w:r w:rsidR="00753C68" w:rsidRPr="000A1287">
        <w:t>i</w:t>
      </w:r>
      <w:r w:rsidR="00B236AA" w:rsidRPr="000A1287">
        <w:t xml:space="preserve">tiated that proceeds for </w:t>
      </w:r>
      <w:r w:rsidR="00B236AA" w:rsidRPr="000A1287">
        <w:lastRenderedPageBreak/>
        <w:t xml:space="preserve">analysing the significant approach of project evaluation mainly. The applied engagement of payback is initiated for evaluating the reimbursement of investment recovery approach mainly regarding time approach, while ARR is applied for considering returning capacity of project identification purpose. On the contrary applied NPV is initiated for recognising the time value of money concept for financial feasibility analysis support regarding individual project and IRR for considering returning capacity determination along with time value of money concept in an efficient basis. </w:t>
      </w:r>
    </w:p>
    <w:p w14:paraId="730BDA8E" w14:textId="77777777" w:rsidR="002F2FCE" w:rsidRPr="000A1287" w:rsidRDefault="002F2FCE"/>
    <w:p w14:paraId="00000008" w14:textId="0EC0DC14" w:rsidR="00B1321D" w:rsidRDefault="000043F1">
      <w:r>
        <w:t xml:space="preserve">In respect to the basic operating approach Rio presently engaged in the </w:t>
      </w:r>
      <w:proofErr w:type="spellStart"/>
      <w:r>
        <w:rPr>
          <w:b/>
        </w:rPr>
        <w:t>Jadar</w:t>
      </w:r>
      <w:proofErr w:type="spellEnd"/>
      <w:r>
        <w:rPr>
          <w:b/>
        </w:rPr>
        <w:t xml:space="preserve"> project</w:t>
      </w:r>
      <w:r>
        <w:t xml:space="preserve"> that operates in Serbia related to the </w:t>
      </w:r>
      <w:r w:rsidR="00B45C68">
        <w:t>Greenfield</w:t>
      </w:r>
      <w:r>
        <w:t xml:space="preserve"> lithium project. In order to initiate effective project significance and other associated approaches the management of such business used to follow the net present value concept mainly with initiating the approach regarding time value factor that generally brings the optimised formulation development of business processing in an efficient basis (Riotinto.com, 2022). It is also initiated for developing the operating competency support regarding project management approach also that can be initiated in order to bring the formative development regarding operating competencies of business projects in a supportive manner (Brigham and </w:t>
      </w:r>
      <w:proofErr w:type="spellStart"/>
      <w:r>
        <w:t>Daves</w:t>
      </w:r>
      <w:proofErr w:type="spellEnd"/>
      <w:r>
        <w:t xml:space="preserve">, 2018). It also allows for providing the feasibility approach regarding accounting formulation approach also that brings the operating stability and other associated formulation approach in a more specific and systematic manner. </w:t>
      </w:r>
    </w:p>
    <w:p w14:paraId="44C28D7B" w14:textId="77777777" w:rsidR="00A864F4" w:rsidRDefault="00A864F4">
      <w:pPr>
        <w:rPr>
          <w:b/>
        </w:rPr>
      </w:pPr>
      <w:bookmarkStart w:id="3" w:name="_Toc97909906"/>
      <w:r>
        <w:br w:type="page"/>
      </w:r>
    </w:p>
    <w:p w14:paraId="00000009" w14:textId="35A98E3D" w:rsidR="00B1321D" w:rsidRDefault="000043F1" w:rsidP="00B45C68">
      <w:pPr>
        <w:pStyle w:val="Ttulo1"/>
      </w:pPr>
      <w:r>
        <w:lastRenderedPageBreak/>
        <w:t>Conclusions</w:t>
      </w:r>
      <w:bookmarkEnd w:id="3"/>
      <w:r>
        <w:t xml:space="preserve"> </w:t>
      </w:r>
    </w:p>
    <w:p w14:paraId="0000000A" w14:textId="0E87249B" w:rsidR="00B1321D" w:rsidRDefault="000043F1">
      <w:r>
        <w:t xml:space="preserve">Formulation of business accounting engagement while providing importance to accounting presentations only, the applied approach regarding “financial management” brings significant understanding regarding accounting potentiality and other evaluation mainly. In associated to the current business engagement, the management of </w:t>
      </w:r>
      <w:r>
        <w:rPr>
          <w:b/>
        </w:rPr>
        <w:t xml:space="preserve">Rio </w:t>
      </w:r>
      <w:r>
        <w:t xml:space="preserve">used to formulate some of the significant accounting engagement including </w:t>
      </w:r>
      <w:r w:rsidR="00B45C68">
        <w:t>operating</w:t>
      </w:r>
      <w:r>
        <w:t xml:space="preserve"> development approach mainly that is also to provide the optimised growth initiatives in an efficient basis. Depending on the present dividend approach the management of the business needs to initiate some significant operating approach including performance stability growth also that can initiate for managing the share pricing inflation approach on a developing basis. </w:t>
      </w:r>
    </w:p>
    <w:p w14:paraId="7194060D" w14:textId="56B92652" w:rsidR="00B45C68" w:rsidRDefault="00B45C68">
      <w:r>
        <w:br w:type="page"/>
      </w:r>
    </w:p>
    <w:p w14:paraId="17FFEC89" w14:textId="16606DF6" w:rsidR="00B45C68" w:rsidRPr="00B45C68" w:rsidRDefault="00B45C68" w:rsidP="00B45C68">
      <w:pPr>
        <w:pStyle w:val="Ttulo1"/>
      </w:pPr>
      <w:bookmarkStart w:id="4" w:name="_Toc97909907"/>
      <w:r w:rsidRPr="00B45C68">
        <w:lastRenderedPageBreak/>
        <w:t>References</w:t>
      </w:r>
      <w:bookmarkEnd w:id="4"/>
    </w:p>
    <w:p w14:paraId="5BE84305" w14:textId="77777777" w:rsidR="00A864F4" w:rsidRDefault="00A864F4" w:rsidP="00B45C68">
      <w:r w:rsidRPr="00BE6387">
        <w:t xml:space="preserve">Al </w:t>
      </w:r>
      <w:proofErr w:type="spellStart"/>
      <w:r w:rsidRPr="00BE6387">
        <w:t>Breiki</w:t>
      </w:r>
      <w:proofErr w:type="spellEnd"/>
      <w:r w:rsidRPr="00BE6387">
        <w:t xml:space="preserve">, M. and </w:t>
      </w:r>
      <w:proofErr w:type="spellStart"/>
      <w:r w:rsidRPr="00BE6387">
        <w:t>Nobanee</w:t>
      </w:r>
      <w:proofErr w:type="spellEnd"/>
      <w:r w:rsidRPr="00BE6387">
        <w:t>, H., 2019. The role of financial management in promoting sustainable business practices and development. </w:t>
      </w:r>
      <w:r w:rsidRPr="00BE6387">
        <w:rPr>
          <w:i/>
          <w:iCs/>
        </w:rPr>
        <w:t>Available at SSRN 3472404</w:t>
      </w:r>
      <w:r w:rsidRPr="00BE6387">
        <w:t>.</w:t>
      </w:r>
    </w:p>
    <w:p w14:paraId="78600256" w14:textId="77777777" w:rsidR="00A864F4" w:rsidRDefault="00A864F4" w:rsidP="00B45C68">
      <w:pPr>
        <w:rPr>
          <w:color w:val="222222"/>
          <w:shd w:val="clear" w:color="auto" w:fill="FFFFFF"/>
        </w:rPr>
      </w:pPr>
      <w:proofErr w:type="spellStart"/>
      <w:r w:rsidRPr="00BE6387">
        <w:rPr>
          <w:color w:val="222222"/>
          <w:shd w:val="clear" w:color="auto" w:fill="FFFFFF"/>
        </w:rPr>
        <w:t>Atmadja</w:t>
      </w:r>
      <w:proofErr w:type="spellEnd"/>
      <w:r w:rsidRPr="00BE6387">
        <w:rPr>
          <w:color w:val="222222"/>
          <w:shd w:val="clear" w:color="auto" w:fill="FFFFFF"/>
        </w:rPr>
        <w:t xml:space="preserve">, A.T. and </w:t>
      </w:r>
      <w:proofErr w:type="spellStart"/>
      <w:r w:rsidRPr="00BE6387">
        <w:rPr>
          <w:color w:val="222222"/>
          <w:shd w:val="clear" w:color="auto" w:fill="FFFFFF"/>
        </w:rPr>
        <w:t>Saputra</w:t>
      </w:r>
      <w:proofErr w:type="spellEnd"/>
      <w:r w:rsidRPr="00BE6387">
        <w:rPr>
          <w:color w:val="222222"/>
          <w:shd w:val="clear" w:color="auto" w:fill="FFFFFF"/>
        </w:rPr>
        <w:t>, K.A.K., 2018. Determinant factors influencing the accountability of village financial management. </w:t>
      </w:r>
      <w:r w:rsidRPr="00BE6387">
        <w:rPr>
          <w:i/>
          <w:iCs/>
          <w:color w:val="222222"/>
          <w:shd w:val="clear" w:color="auto" w:fill="FFFFFF"/>
        </w:rPr>
        <w:t>Academy of Strategic Management Journal</w:t>
      </w:r>
      <w:r w:rsidRPr="00BE6387">
        <w:rPr>
          <w:color w:val="222222"/>
          <w:shd w:val="clear" w:color="auto" w:fill="FFFFFF"/>
        </w:rPr>
        <w:t>, </w:t>
      </w:r>
      <w:r w:rsidRPr="00BE6387">
        <w:rPr>
          <w:i/>
          <w:iCs/>
          <w:color w:val="222222"/>
          <w:shd w:val="clear" w:color="auto" w:fill="FFFFFF"/>
        </w:rPr>
        <w:t>17</w:t>
      </w:r>
      <w:r w:rsidRPr="00BE6387">
        <w:rPr>
          <w:color w:val="222222"/>
          <w:shd w:val="clear" w:color="auto" w:fill="FFFFFF"/>
        </w:rPr>
        <w:t>(1), pp.1-9.</w:t>
      </w:r>
    </w:p>
    <w:p w14:paraId="1646902F" w14:textId="77777777" w:rsidR="00A864F4" w:rsidRPr="00BE6387" w:rsidRDefault="00A864F4" w:rsidP="00B45C68">
      <w:r w:rsidRPr="00700DE2">
        <w:t xml:space="preserve">Brigham, E.F. and </w:t>
      </w:r>
      <w:proofErr w:type="spellStart"/>
      <w:r w:rsidRPr="00700DE2">
        <w:t>Daves</w:t>
      </w:r>
      <w:proofErr w:type="spellEnd"/>
      <w:r w:rsidRPr="00700DE2">
        <w:t>, P.R., 2018. </w:t>
      </w:r>
      <w:r w:rsidRPr="00700DE2">
        <w:rPr>
          <w:i/>
          <w:iCs/>
        </w:rPr>
        <w:t>Intermediate financial management</w:t>
      </w:r>
      <w:r w:rsidRPr="00700DE2">
        <w:t>. Cengage Learning.</w:t>
      </w:r>
    </w:p>
    <w:p w14:paraId="2C162721" w14:textId="77777777" w:rsidR="00A864F4" w:rsidRDefault="00A864F4" w:rsidP="00B45C68">
      <w:r w:rsidRPr="00700DE2">
        <w:t>Hargreaves Lansdown. 2022. </w:t>
      </w:r>
      <w:r w:rsidRPr="00700DE2">
        <w:rPr>
          <w:i/>
          <w:iCs/>
        </w:rPr>
        <w:t>Rio Tinto plc dividend payments | RIO dividends</w:t>
      </w:r>
      <w:r w:rsidRPr="00700DE2">
        <w:t>. [online] Available at: &lt;https://www.hl.co.uk/shares/shares-search-results/r/rio-tinto-plc-ordinary-10p/dividends&gt; [Accessed 11 March 2022].</w:t>
      </w:r>
    </w:p>
    <w:p w14:paraId="68E7DE79" w14:textId="77777777" w:rsidR="00A864F4" w:rsidRDefault="00A864F4" w:rsidP="00B45C68">
      <w:r w:rsidRPr="00700DE2">
        <w:t>Levine, S., 2022. </w:t>
      </w:r>
      <w:r w:rsidRPr="00700DE2">
        <w:rPr>
          <w:i/>
          <w:iCs/>
        </w:rPr>
        <w:t>Why Shares of Rio Tinto Bounced 10% Higher in February | The Motley Fool</w:t>
      </w:r>
      <w:r w:rsidRPr="00700DE2">
        <w:t>. [online] The Motley Fool. Available at: &lt;https://www.fool.com/investing/2022/03/03/why-shares-of-rio-tinto-bounced-10-higher-in-febru/&gt; [Accessed 11 March 2022].</w:t>
      </w:r>
    </w:p>
    <w:p w14:paraId="224EBEB8" w14:textId="77777777" w:rsidR="00A864F4" w:rsidRDefault="00A864F4" w:rsidP="00B45C68">
      <w:r w:rsidRPr="00700DE2">
        <w:t>Martin, J.D., Keown, A.J. and Titman, S., 2020. </w:t>
      </w:r>
      <w:r w:rsidRPr="00700DE2">
        <w:rPr>
          <w:i/>
          <w:iCs/>
        </w:rPr>
        <w:t>Financial management: principles and applications</w:t>
      </w:r>
      <w:r w:rsidRPr="00700DE2">
        <w:t>. Prentice Hall.</w:t>
      </w:r>
    </w:p>
    <w:p w14:paraId="41F76EDD" w14:textId="77777777" w:rsidR="00A864F4" w:rsidRDefault="00A864F4" w:rsidP="00B45C68">
      <w:r w:rsidRPr="00700DE2">
        <w:t>Riotinto.com. 2022. </w:t>
      </w:r>
      <w:r w:rsidRPr="00700DE2">
        <w:rPr>
          <w:i/>
          <w:iCs/>
        </w:rPr>
        <w:t>About</w:t>
      </w:r>
      <w:r w:rsidRPr="00700DE2">
        <w:t>. [online] Available at: &lt;https://www.riotinto.com/en/about&gt; [Accessed 11 March 2022].</w:t>
      </w:r>
    </w:p>
    <w:p w14:paraId="4C64DBD7" w14:textId="77777777" w:rsidR="00A864F4" w:rsidRDefault="00A864F4" w:rsidP="00B45C68">
      <w:r w:rsidRPr="00700DE2">
        <w:t>Riotinto.com. 2022. </w:t>
      </w:r>
      <w:r w:rsidRPr="00700DE2">
        <w:rPr>
          <w:i/>
          <w:iCs/>
        </w:rPr>
        <w:t>Dividends</w:t>
      </w:r>
      <w:r w:rsidRPr="00700DE2">
        <w:t>. [online] Available at: &lt;https://www.riotinto.com/en/invest/shareholder-information/dividends&gt; [Accessed 11 March 2022].</w:t>
      </w:r>
    </w:p>
    <w:p w14:paraId="5452B2DA" w14:textId="77777777" w:rsidR="00A864F4" w:rsidRDefault="00A864F4" w:rsidP="00B45C68">
      <w:r w:rsidRPr="00700DE2">
        <w:t>Riotinto.com. 2022. </w:t>
      </w:r>
      <w:r w:rsidRPr="00700DE2">
        <w:rPr>
          <w:i/>
          <w:iCs/>
        </w:rPr>
        <w:t>Projects</w:t>
      </w:r>
      <w:r w:rsidRPr="00700DE2">
        <w:t>. [online] Available at: &lt;https://www.riotinto.com/en/operations/projects&gt; [Accessed 11 March 2022].</w:t>
      </w:r>
    </w:p>
    <w:p w14:paraId="03A436AE" w14:textId="77777777" w:rsidR="00A864F4" w:rsidRPr="000A1287" w:rsidRDefault="00A864F4" w:rsidP="00A864F4">
      <w:pPr>
        <w:rPr>
          <w:shd w:val="clear" w:color="auto" w:fill="FFFFFF"/>
        </w:rPr>
      </w:pPr>
      <w:r w:rsidRPr="000A1287">
        <w:rPr>
          <w:shd w:val="clear" w:color="auto" w:fill="FFFFFF"/>
        </w:rPr>
        <w:t>Thomas, A. and Ward, A.M., 2019. </w:t>
      </w:r>
      <w:r w:rsidRPr="000A1287">
        <w:rPr>
          <w:i/>
          <w:iCs/>
          <w:shd w:val="clear" w:color="auto" w:fill="FFFFFF"/>
        </w:rPr>
        <w:t>EBOOK: Introduction to Financial Accounting, 9e</w:t>
      </w:r>
      <w:r w:rsidRPr="000A1287">
        <w:rPr>
          <w:shd w:val="clear" w:color="auto" w:fill="FFFFFF"/>
        </w:rPr>
        <w:t xml:space="preserve">. McGraw Hill. </w:t>
      </w:r>
    </w:p>
    <w:p w14:paraId="4DD270C0" w14:textId="77777777" w:rsidR="00A864F4" w:rsidRDefault="00A864F4" w:rsidP="00B45C68">
      <w:r w:rsidRPr="00700DE2">
        <w:t>Uk.finance.yahoo.com. 2022. </w:t>
      </w:r>
      <w:r w:rsidRPr="00700DE2">
        <w:rPr>
          <w:i/>
          <w:iCs/>
        </w:rPr>
        <w:t>Yahoo is part of the Yahoo family of brands</w:t>
      </w:r>
      <w:r w:rsidRPr="00700DE2">
        <w:t>. [online] Available at: &lt;https://uk.finance.yahoo.com/quote/RIO.L/&gt; [Accessed 11 March 2022].</w:t>
      </w:r>
    </w:p>
    <w:p w14:paraId="1D3C50CA" w14:textId="77777777" w:rsidR="00A864F4" w:rsidRPr="000A1287" w:rsidRDefault="00A864F4" w:rsidP="00A864F4">
      <w:pPr>
        <w:rPr>
          <w:shd w:val="clear" w:color="auto" w:fill="FFFFFF"/>
        </w:rPr>
      </w:pPr>
      <w:r w:rsidRPr="000A1287">
        <w:rPr>
          <w:shd w:val="clear" w:color="auto" w:fill="FFFFFF"/>
        </w:rPr>
        <w:t>Warren, C.S. and Jones, J., 2018. </w:t>
      </w:r>
      <w:r w:rsidRPr="000A1287">
        <w:rPr>
          <w:i/>
          <w:iCs/>
          <w:shd w:val="clear" w:color="auto" w:fill="FFFFFF"/>
        </w:rPr>
        <w:t>Corporate financial accounting</w:t>
      </w:r>
      <w:r w:rsidRPr="000A1287">
        <w:rPr>
          <w:shd w:val="clear" w:color="auto" w:fill="FFFFFF"/>
        </w:rPr>
        <w:t>. Cengage Learning.</w:t>
      </w:r>
    </w:p>
    <w:p w14:paraId="2DF42376" w14:textId="77777777" w:rsidR="00A864F4" w:rsidRPr="000A1287" w:rsidRDefault="00A864F4" w:rsidP="00A864F4">
      <w:pPr>
        <w:rPr>
          <w:shd w:val="clear" w:color="auto" w:fill="FFFFFF"/>
        </w:rPr>
      </w:pPr>
      <w:proofErr w:type="spellStart"/>
      <w:r w:rsidRPr="000A1287">
        <w:rPr>
          <w:shd w:val="clear" w:color="auto" w:fill="FFFFFF"/>
        </w:rPr>
        <w:t>Wiratama</w:t>
      </w:r>
      <w:proofErr w:type="spellEnd"/>
      <w:r w:rsidRPr="000A1287">
        <w:rPr>
          <w:shd w:val="clear" w:color="auto" w:fill="FFFFFF"/>
        </w:rPr>
        <w:t xml:space="preserve">, R. and </w:t>
      </w:r>
      <w:proofErr w:type="spellStart"/>
      <w:r w:rsidRPr="000A1287">
        <w:rPr>
          <w:shd w:val="clear" w:color="auto" w:fill="FFFFFF"/>
        </w:rPr>
        <w:t>Asri</w:t>
      </w:r>
      <w:proofErr w:type="spellEnd"/>
      <w:r w:rsidRPr="000A1287">
        <w:rPr>
          <w:shd w:val="clear" w:color="auto" w:fill="FFFFFF"/>
        </w:rPr>
        <w:t>, M., 2020. A literature review: Positive accounting theory (PAT). </w:t>
      </w:r>
      <w:r w:rsidRPr="000A1287">
        <w:rPr>
          <w:i/>
          <w:iCs/>
          <w:shd w:val="clear" w:color="auto" w:fill="FFFFFF"/>
        </w:rPr>
        <w:t>Available at SSRN 3523571</w:t>
      </w:r>
      <w:r w:rsidRPr="000A1287">
        <w:rPr>
          <w:shd w:val="clear" w:color="auto" w:fill="FFFFFF"/>
        </w:rPr>
        <w:t>.</w:t>
      </w:r>
    </w:p>
    <w:p w14:paraId="0A0123B0" w14:textId="77777777" w:rsidR="00A864F4" w:rsidRDefault="00A864F4" w:rsidP="00B45C68">
      <w:r w:rsidRPr="00700DE2">
        <w:t>Ying, Q., Yousaf, T., Ain, Q.U., Akhtar, Y. and Rasheed, M.S., 2019. Stock investment and excess returns: a critical review in the light of the efficient market hypothesis. </w:t>
      </w:r>
      <w:r w:rsidRPr="00700DE2">
        <w:rPr>
          <w:i/>
          <w:iCs/>
        </w:rPr>
        <w:t>Journal of Risk and Financial Management</w:t>
      </w:r>
      <w:r w:rsidRPr="00700DE2">
        <w:t>, </w:t>
      </w:r>
      <w:r w:rsidRPr="00700DE2">
        <w:rPr>
          <w:i/>
          <w:iCs/>
        </w:rPr>
        <w:t>12</w:t>
      </w:r>
      <w:r w:rsidRPr="00700DE2">
        <w:t>(2), p.97.</w:t>
      </w:r>
    </w:p>
    <w:p w14:paraId="33DDDE88" w14:textId="77777777" w:rsidR="00A864F4" w:rsidRDefault="00A864F4" w:rsidP="00A864F4"/>
    <w:p w14:paraId="449800B8" w14:textId="77777777" w:rsidR="00B45C68" w:rsidRDefault="00B45C68"/>
    <w:sectPr w:rsidR="00B45C68">
      <w:footerReference w:type="default" r:id="rId7"/>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15C15E" w14:textId="77777777" w:rsidR="00D94E0C" w:rsidRDefault="00D94E0C">
      <w:pPr>
        <w:spacing w:line="240" w:lineRule="auto"/>
      </w:pPr>
      <w:r>
        <w:separator/>
      </w:r>
    </w:p>
  </w:endnote>
  <w:endnote w:type="continuationSeparator" w:id="0">
    <w:p w14:paraId="3B48DD97" w14:textId="77777777" w:rsidR="00D94E0C" w:rsidRDefault="00D94E0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82963844"/>
      <w:docPartObj>
        <w:docPartGallery w:val="Page Numbers (Bottom of Page)"/>
        <w:docPartUnique/>
      </w:docPartObj>
    </w:sdtPr>
    <w:sdtEndPr/>
    <w:sdtContent>
      <w:p w14:paraId="2C33FAE9" w14:textId="28AE95DD" w:rsidR="001C0ECD" w:rsidRDefault="001C0ECD">
        <w:pPr>
          <w:pStyle w:val="Piedepgina"/>
          <w:jc w:val="right"/>
        </w:pPr>
        <w:r>
          <w:fldChar w:fldCharType="begin"/>
        </w:r>
        <w:r>
          <w:instrText>PAGE   \* MERGEFORMAT</w:instrText>
        </w:r>
        <w:r>
          <w:fldChar w:fldCharType="separate"/>
        </w:r>
        <w:r>
          <w:rPr>
            <w:lang w:val="es-ES"/>
          </w:rPr>
          <w:t>2</w:t>
        </w:r>
        <w:r>
          <w:fldChar w:fldCharType="end"/>
        </w:r>
      </w:p>
    </w:sdtContent>
  </w:sdt>
  <w:p w14:paraId="0000000C" w14:textId="77777777" w:rsidR="00B1321D" w:rsidRDefault="00B1321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BFAC12" w14:textId="77777777" w:rsidR="00D94E0C" w:rsidRDefault="00D94E0C">
      <w:pPr>
        <w:spacing w:line="240" w:lineRule="auto"/>
      </w:pPr>
      <w:r>
        <w:separator/>
      </w:r>
    </w:p>
  </w:footnote>
  <w:footnote w:type="continuationSeparator" w:id="0">
    <w:p w14:paraId="0C72AFFB" w14:textId="77777777" w:rsidR="00D94E0C" w:rsidRDefault="00D94E0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21D"/>
    <w:rsid w:val="000043F1"/>
    <w:rsid w:val="0005577C"/>
    <w:rsid w:val="000A1287"/>
    <w:rsid w:val="001429B1"/>
    <w:rsid w:val="0018663E"/>
    <w:rsid w:val="001C0ECD"/>
    <w:rsid w:val="001D265D"/>
    <w:rsid w:val="002B59BE"/>
    <w:rsid w:val="002E10CB"/>
    <w:rsid w:val="002F2FCE"/>
    <w:rsid w:val="002F6273"/>
    <w:rsid w:val="00347A02"/>
    <w:rsid w:val="003765E2"/>
    <w:rsid w:val="003F7501"/>
    <w:rsid w:val="00421A0B"/>
    <w:rsid w:val="005F641C"/>
    <w:rsid w:val="006065AB"/>
    <w:rsid w:val="00650FA6"/>
    <w:rsid w:val="00727B18"/>
    <w:rsid w:val="00753C68"/>
    <w:rsid w:val="00763C1D"/>
    <w:rsid w:val="007C453F"/>
    <w:rsid w:val="008058AB"/>
    <w:rsid w:val="00843AF1"/>
    <w:rsid w:val="00991DD1"/>
    <w:rsid w:val="00997C11"/>
    <w:rsid w:val="00A74FCA"/>
    <w:rsid w:val="00A864F4"/>
    <w:rsid w:val="00AC127A"/>
    <w:rsid w:val="00B1321D"/>
    <w:rsid w:val="00B236AA"/>
    <w:rsid w:val="00B45C68"/>
    <w:rsid w:val="00BF0AC0"/>
    <w:rsid w:val="00C174FC"/>
    <w:rsid w:val="00CA12B9"/>
    <w:rsid w:val="00D03ADC"/>
    <w:rsid w:val="00D46C6C"/>
    <w:rsid w:val="00D94E0C"/>
    <w:rsid w:val="00DB23AC"/>
    <w:rsid w:val="00ED13CE"/>
    <w:rsid w:val="00ED2E6D"/>
    <w:rsid w:val="00F378F3"/>
    <w:rsid w:val="00F96F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CBC8F"/>
  <w15:docId w15:val="{D0882AE3-D769-40AD-BF17-7235BAB4C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Ttulo1">
    <w:name w:val="heading 1"/>
    <w:basedOn w:val="Normal"/>
    <w:next w:val="Normal"/>
    <w:rsid w:val="00B45C68"/>
    <w:pPr>
      <w:outlineLvl w:val="0"/>
    </w:pPr>
    <w:rPr>
      <w:b/>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rPr>
  </w:style>
  <w:style w:type="paragraph" w:styleId="Ttulo5">
    <w:name w:val="heading 5"/>
    <w:basedOn w:val="Normal"/>
    <w:next w:val="Normal"/>
    <w:pPr>
      <w:keepNext/>
      <w:keepLines/>
      <w:spacing w:before="240" w:after="80"/>
      <w:outlineLvl w:val="4"/>
    </w:pPr>
    <w:rPr>
      <w:color w:val="666666"/>
      <w:sz w:val="22"/>
      <w:szCs w:val="22"/>
    </w:rPr>
  </w:style>
  <w:style w:type="paragraph" w:styleId="Ttulo6">
    <w:name w:val="heading 6"/>
    <w:basedOn w:val="Normal"/>
    <w:next w:val="Normal"/>
    <w:pPr>
      <w:keepNext/>
      <w:keepLines/>
      <w:spacing w:before="240" w:after="80"/>
      <w:outlineLvl w:val="5"/>
    </w:pPr>
    <w:rPr>
      <w:i/>
      <w:color w:val="666666"/>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rFonts w:ascii="Arial" w:eastAsia="Arial" w:hAnsi="Arial" w:cs="Arial"/>
      <w:color w:val="666666"/>
      <w:sz w:val="30"/>
      <w:szCs w:val="30"/>
    </w:rPr>
  </w:style>
  <w:style w:type="paragraph" w:styleId="TtuloTDC">
    <w:name w:val="TOC Heading"/>
    <w:basedOn w:val="Ttulo1"/>
    <w:next w:val="Normal"/>
    <w:uiPriority w:val="39"/>
    <w:unhideWhenUsed/>
    <w:qFormat/>
    <w:rsid w:val="00B45C68"/>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DC1">
    <w:name w:val="toc 1"/>
    <w:basedOn w:val="Normal"/>
    <w:next w:val="Normal"/>
    <w:autoRedefine/>
    <w:uiPriority w:val="39"/>
    <w:unhideWhenUsed/>
    <w:rsid w:val="00B45C68"/>
    <w:pPr>
      <w:spacing w:after="100"/>
    </w:pPr>
  </w:style>
  <w:style w:type="character" w:styleId="Hipervnculo">
    <w:name w:val="Hyperlink"/>
    <w:basedOn w:val="Fuentedeprrafopredeter"/>
    <w:uiPriority w:val="99"/>
    <w:unhideWhenUsed/>
    <w:rsid w:val="00B45C68"/>
    <w:rPr>
      <w:color w:val="0000FF" w:themeColor="hyperlink"/>
      <w:u w:val="single"/>
    </w:rPr>
  </w:style>
  <w:style w:type="paragraph" w:styleId="Encabezado">
    <w:name w:val="header"/>
    <w:basedOn w:val="Normal"/>
    <w:link w:val="EncabezadoCar"/>
    <w:uiPriority w:val="99"/>
    <w:unhideWhenUsed/>
    <w:rsid w:val="001C0ECD"/>
    <w:pPr>
      <w:tabs>
        <w:tab w:val="center" w:pos="4513"/>
        <w:tab w:val="right" w:pos="9026"/>
      </w:tabs>
      <w:spacing w:line="240" w:lineRule="auto"/>
    </w:pPr>
  </w:style>
  <w:style w:type="character" w:customStyle="1" w:styleId="EncabezadoCar">
    <w:name w:val="Encabezado Car"/>
    <w:basedOn w:val="Fuentedeprrafopredeter"/>
    <w:link w:val="Encabezado"/>
    <w:uiPriority w:val="99"/>
    <w:rsid w:val="001C0ECD"/>
    <w:rPr>
      <w:lang w:val="en-GB"/>
    </w:rPr>
  </w:style>
  <w:style w:type="paragraph" w:styleId="Piedepgina">
    <w:name w:val="footer"/>
    <w:basedOn w:val="Normal"/>
    <w:link w:val="PiedepginaCar"/>
    <w:uiPriority w:val="99"/>
    <w:unhideWhenUsed/>
    <w:rsid w:val="001C0ECD"/>
    <w:pPr>
      <w:tabs>
        <w:tab w:val="center" w:pos="4513"/>
        <w:tab w:val="right" w:pos="9026"/>
      </w:tabs>
      <w:spacing w:line="240" w:lineRule="auto"/>
    </w:pPr>
  </w:style>
  <w:style w:type="character" w:customStyle="1" w:styleId="PiedepginaCar">
    <w:name w:val="Pie de página Car"/>
    <w:basedOn w:val="Fuentedeprrafopredeter"/>
    <w:link w:val="Piedepgina"/>
    <w:uiPriority w:val="99"/>
    <w:rsid w:val="001C0ECD"/>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47C7BC-E106-43F3-B6B9-78FD6A74B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8</Pages>
  <Words>1949</Words>
  <Characters>11114</Characters>
  <Application>Microsoft Office Word</Application>
  <DocSecurity>0</DocSecurity>
  <Lines>92</Lines>
  <Paragraphs>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Geanina Cotoban (1917121)</cp:lastModifiedBy>
  <cp:revision>33</cp:revision>
  <dcterms:created xsi:type="dcterms:W3CDTF">2022-03-11T11:18:00Z</dcterms:created>
  <dcterms:modified xsi:type="dcterms:W3CDTF">2022-05-01T22:24:00Z</dcterms:modified>
</cp:coreProperties>
</file>