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2821CC" w14:textId="77777777" w:rsidR="00717C23" w:rsidRDefault="00717C23" w:rsidP="00717C23">
      <w:pPr>
        <w:spacing w:line="480" w:lineRule="auto"/>
        <w:contextualSpacing/>
      </w:pPr>
    </w:p>
    <w:p w14:paraId="18A577F0" w14:textId="77777777" w:rsidR="00717C23" w:rsidRDefault="00717C23" w:rsidP="00717C23">
      <w:pPr>
        <w:spacing w:line="480" w:lineRule="auto"/>
        <w:contextualSpacing/>
      </w:pPr>
    </w:p>
    <w:p w14:paraId="1EF6EA16" w14:textId="77777777" w:rsidR="00717C23" w:rsidRDefault="00717C23" w:rsidP="00717C23">
      <w:pPr>
        <w:spacing w:line="480" w:lineRule="auto"/>
        <w:contextualSpacing/>
      </w:pPr>
    </w:p>
    <w:p w14:paraId="017F14CE" w14:textId="77777777" w:rsidR="00717C23" w:rsidRPr="00717C23" w:rsidRDefault="00717C23" w:rsidP="00717C23">
      <w:pPr>
        <w:spacing w:line="480" w:lineRule="auto"/>
        <w:contextualSpacing/>
        <w:jc w:val="center"/>
        <w:rPr>
          <w:b/>
        </w:rPr>
      </w:pPr>
      <w:r w:rsidRPr="00717C23">
        <w:rPr>
          <w:b/>
        </w:rPr>
        <w:t>REVIEW OF THE HINKLEY POINT C PROJECT AS A SUCCESS FOR THE UK ENERGY SECTOR</w:t>
      </w:r>
    </w:p>
    <w:p w14:paraId="034DC8E7" w14:textId="77777777" w:rsidR="00717C23" w:rsidRDefault="00717C23" w:rsidP="00717C23">
      <w:pPr>
        <w:spacing w:line="480" w:lineRule="auto"/>
        <w:contextualSpacing/>
        <w:jc w:val="center"/>
        <w:rPr>
          <w:rFonts w:cs="Times New Roman"/>
          <w:szCs w:val="24"/>
        </w:rPr>
      </w:pPr>
    </w:p>
    <w:p w14:paraId="5A2103E2" w14:textId="66B8CAD9" w:rsidR="00717C23" w:rsidRDefault="00717C23" w:rsidP="00717C23">
      <w:pPr>
        <w:spacing w:line="480" w:lineRule="auto"/>
        <w:contextualSpacing/>
        <w:jc w:val="center"/>
        <w:rPr>
          <w:rFonts w:cs="Times New Roman"/>
          <w:szCs w:val="24"/>
        </w:rPr>
      </w:pPr>
    </w:p>
    <w:p w14:paraId="02BB4E55" w14:textId="77777777" w:rsidR="00BD2D4E" w:rsidRPr="00EE195F" w:rsidRDefault="00BD2D4E" w:rsidP="00717C23">
      <w:pPr>
        <w:spacing w:line="480" w:lineRule="auto"/>
        <w:contextualSpacing/>
        <w:jc w:val="center"/>
        <w:rPr>
          <w:rFonts w:cs="Times New Roman"/>
          <w:szCs w:val="24"/>
        </w:rPr>
      </w:pPr>
    </w:p>
    <w:p w14:paraId="3F9EE2C2" w14:textId="77777777" w:rsidR="00717C23" w:rsidRPr="00EE195F" w:rsidRDefault="00717C23" w:rsidP="00717C23">
      <w:pPr>
        <w:spacing w:line="480" w:lineRule="auto"/>
        <w:contextualSpacing/>
        <w:jc w:val="center"/>
        <w:rPr>
          <w:rFonts w:cs="Times New Roman"/>
          <w:szCs w:val="24"/>
        </w:rPr>
      </w:pPr>
    </w:p>
    <w:p w14:paraId="4D6DFC0D" w14:textId="77777777" w:rsidR="00717C23" w:rsidRPr="00EE195F" w:rsidRDefault="00717C23" w:rsidP="00717C23">
      <w:pPr>
        <w:tabs>
          <w:tab w:val="left" w:pos="7080"/>
        </w:tabs>
        <w:spacing w:line="480" w:lineRule="auto"/>
        <w:contextualSpacing/>
        <w:rPr>
          <w:rFonts w:cs="Times New Roman"/>
          <w:szCs w:val="24"/>
        </w:rPr>
      </w:pPr>
      <w:r w:rsidRPr="00EE195F">
        <w:rPr>
          <w:rFonts w:cs="Times New Roman"/>
          <w:szCs w:val="24"/>
        </w:rPr>
        <w:tab/>
      </w:r>
    </w:p>
    <w:p w14:paraId="1E062696" w14:textId="0202E10C" w:rsidR="00717C23" w:rsidRDefault="00717C23" w:rsidP="00417604">
      <w:pPr>
        <w:spacing w:line="480" w:lineRule="auto"/>
        <w:contextualSpacing/>
        <w:jc w:val="center"/>
        <w:rPr>
          <w:rFonts w:cs="Times New Roman"/>
          <w:szCs w:val="24"/>
        </w:rPr>
      </w:pPr>
    </w:p>
    <w:p w14:paraId="186BA611" w14:textId="77777777" w:rsidR="007B4F55" w:rsidRDefault="00417604" w:rsidP="00417604">
      <w:pPr>
        <w:pStyle w:val="Body"/>
        <w:widowControl/>
        <w:spacing w:after="240" w:line="288" w:lineRule="auto"/>
      </w:pPr>
      <w:r>
        <w:t xml:space="preserve">   </w:t>
      </w:r>
      <w:r w:rsidR="007B4F55">
        <w:t xml:space="preserve">                                                    </w:t>
      </w:r>
    </w:p>
    <w:p w14:paraId="43804959" w14:textId="39A97025" w:rsidR="00417604" w:rsidRDefault="007B4F55" w:rsidP="00417604">
      <w:pPr>
        <w:pStyle w:val="Body"/>
        <w:widowControl/>
        <w:spacing w:after="240" w:line="288" w:lineRule="auto"/>
      </w:pPr>
      <w:r>
        <w:t xml:space="preserve">                                                      </w:t>
      </w:r>
      <w:r w:rsidR="00417604">
        <w:t xml:space="preserve">  </w:t>
      </w:r>
      <w:r w:rsidR="00417604">
        <w:rPr>
          <w:b/>
          <w:bCs/>
          <w:lang w:val="en-US"/>
        </w:rPr>
        <w:t xml:space="preserve">Stefan </w:t>
      </w:r>
      <w:proofErr w:type="spellStart"/>
      <w:r w:rsidR="00417604">
        <w:rPr>
          <w:b/>
          <w:bCs/>
          <w:lang w:val="en-US"/>
        </w:rPr>
        <w:t>Zlatev</w:t>
      </w:r>
      <w:proofErr w:type="spellEnd"/>
      <w:r w:rsidR="00417604">
        <w:rPr>
          <w:b/>
          <w:bCs/>
          <w:lang w:val="en-US"/>
        </w:rPr>
        <w:t xml:space="preserve"> 2029265</w:t>
      </w:r>
    </w:p>
    <w:p w14:paraId="2B8AB9D2" w14:textId="77777777" w:rsidR="00417604" w:rsidRDefault="00417604" w:rsidP="004F07FC">
      <w:pPr>
        <w:pStyle w:val="Body"/>
        <w:widowControl/>
        <w:spacing w:after="240" w:line="288" w:lineRule="auto"/>
        <w:jc w:val="center"/>
        <w:rPr>
          <w:b/>
          <w:bCs/>
        </w:rPr>
      </w:pPr>
      <w:r>
        <w:rPr>
          <w:b/>
          <w:bCs/>
          <w:lang w:val="en-US"/>
        </w:rPr>
        <w:t>University of Wales /Trinity Saint David</w:t>
      </w:r>
    </w:p>
    <w:p w14:paraId="040779A5" w14:textId="77777777" w:rsidR="00417604" w:rsidRDefault="00417604" w:rsidP="004F07FC">
      <w:pPr>
        <w:pStyle w:val="Body"/>
        <w:widowControl/>
        <w:spacing w:after="240" w:line="288" w:lineRule="auto"/>
        <w:jc w:val="center"/>
        <w:rPr>
          <w:b/>
          <w:bCs/>
        </w:rPr>
      </w:pPr>
      <w:r>
        <w:rPr>
          <w:b/>
          <w:bCs/>
          <w:lang w:val="it-IT"/>
        </w:rPr>
        <w:t>London Campus</w:t>
      </w:r>
    </w:p>
    <w:p w14:paraId="2DD265F1" w14:textId="77777777" w:rsidR="00417604" w:rsidRDefault="00417604" w:rsidP="004F07FC">
      <w:pPr>
        <w:pStyle w:val="Body"/>
        <w:widowControl/>
        <w:spacing w:after="240" w:line="288" w:lineRule="auto"/>
        <w:jc w:val="center"/>
        <w:rPr>
          <w:b/>
          <w:bCs/>
        </w:rPr>
      </w:pPr>
      <w:r>
        <w:rPr>
          <w:b/>
          <w:bCs/>
          <w:lang w:val="en-US"/>
        </w:rPr>
        <w:t>BA(</w:t>
      </w:r>
      <w:proofErr w:type="spellStart"/>
      <w:r>
        <w:rPr>
          <w:b/>
          <w:bCs/>
          <w:lang w:val="en-US"/>
        </w:rPr>
        <w:t>Hons</w:t>
      </w:r>
      <w:proofErr w:type="spellEnd"/>
      <w:r>
        <w:rPr>
          <w:b/>
          <w:bCs/>
          <w:lang w:val="en-US"/>
        </w:rPr>
        <w:t xml:space="preserve">) Business Management </w:t>
      </w:r>
      <w:r>
        <w:rPr>
          <w:b/>
          <w:bCs/>
        </w:rPr>
        <w:t xml:space="preserve"> </w:t>
      </w:r>
    </w:p>
    <w:p w14:paraId="7B9D8E76" w14:textId="77777777" w:rsidR="00417604" w:rsidRDefault="00417604" w:rsidP="004F07FC">
      <w:pPr>
        <w:pStyle w:val="Body"/>
        <w:widowControl/>
        <w:spacing w:after="240" w:line="288" w:lineRule="auto"/>
        <w:jc w:val="center"/>
        <w:rPr>
          <w:b/>
          <w:bCs/>
        </w:rPr>
      </w:pPr>
      <w:r>
        <w:rPr>
          <w:b/>
          <w:bCs/>
        </w:rPr>
        <w:t>Project Management</w:t>
      </w:r>
    </w:p>
    <w:p w14:paraId="666F42BF" w14:textId="45481D16" w:rsidR="00417604" w:rsidRDefault="00417604" w:rsidP="004F07FC">
      <w:pPr>
        <w:pStyle w:val="Body"/>
        <w:widowControl/>
        <w:spacing w:after="240" w:line="288" w:lineRule="auto"/>
        <w:jc w:val="center"/>
        <w:rPr>
          <w:b/>
          <w:bCs/>
        </w:rPr>
      </w:pPr>
      <w:r>
        <w:rPr>
          <w:b/>
          <w:bCs/>
          <w:lang w:val="en-US"/>
        </w:rPr>
        <w:t>Assignment</w:t>
      </w:r>
      <w:r w:rsidR="007B4F55">
        <w:rPr>
          <w:b/>
          <w:bCs/>
          <w:lang w:val="en-US"/>
        </w:rPr>
        <w:t xml:space="preserve"> 2</w:t>
      </w:r>
    </w:p>
    <w:p w14:paraId="55607938" w14:textId="77777777" w:rsidR="00417604" w:rsidRDefault="00417604" w:rsidP="004F07FC">
      <w:pPr>
        <w:pStyle w:val="Body"/>
        <w:widowControl/>
        <w:spacing w:after="240" w:line="288" w:lineRule="auto"/>
        <w:jc w:val="center"/>
        <w:rPr>
          <w:b/>
          <w:bCs/>
          <w:lang w:val="en-US"/>
        </w:rPr>
      </w:pPr>
    </w:p>
    <w:p w14:paraId="56193DB9" w14:textId="77777777" w:rsidR="007B4F55" w:rsidRDefault="007B4F55" w:rsidP="004F07FC">
      <w:pPr>
        <w:pStyle w:val="Body"/>
        <w:widowControl/>
        <w:spacing w:after="240" w:line="288" w:lineRule="auto"/>
        <w:jc w:val="center"/>
        <w:rPr>
          <w:b/>
          <w:bCs/>
          <w:lang w:val="en-US"/>
        </w:rPr>
      </w:pPr>
    </w:p>
    <w:p w14:paraId="3CD6F146" w14:textId="77777777" w:rsidR="007B4F55" w:rsidRDefault="007B4F55" w:rsidP="004F07FC">
      <w:pPr>
        <w:pStyle w:val="Body"/>
        <w:widowControl/>
        <w:spacing w:after="240" w:line="288" w:lineRule="auto"/>
        <w:jc w:val="center"/>
        <w:rPr>
          <w:b/>
          <w:bCs/>
          <w:lang w:val="en-US"/>
        </w:rPr>
      </w:pPr>
    </w:p>
    <w:p w14:paraId="2D31BC7B" w14:textId="77777777" w:rsidR="007B4F55" w:rsidRDefault="007B4F55" w:rsidP="004F07FC">
      <w:pPr>
        <w:pStyle w:val="Body"/>
        <w:widowControl/>
        <w:spacing w:after="240" w:line="288" w:lineRule="auto"/>
        <w:jc w:val="center"/>
        <w:rPr>
          <w:b/>
          <w:bCs/>
          <w:lang w:val="en-US"/>
        </w:rPr>
      </w:pPr>
    </w:p>
    <w:p w14:paraId="10B9395B" w14:textId="77777777" w:rsidR="007B4F55" w:rsidRDefault="007B4F55" w:rsidP="004F07FC">
      <w:pPr>
        <w:pStyle w:val="Body"/>
        <w:widowControl/>
        <w:spacing w:after="240" w:line="288" w:lineRule="auto"/>
        <w:jc w:val="center"/>
        <w:rPr>
          <w:b/>
          <w:bCs/>
          <w:lang w:val="en-US"/>
        </w:rPr>
      </w:pPr>
    </w:p>
    <w:p w14:paraId="468E7AB2" w14:textId="77777777" w:rsidR="007B4F55" w:rsidRDefault="007B4F55" w:rsidP="004F07FC">
      <w:pPr>
        <w:pStyle w:val="Body"/>
        <w:widowControl/>
        <w:spacing w:after="240" w:line="288" w:lineRule="auto"/>
        <w:jc w:val="center"/>
        <w:rPr>
          <w:b/>
          <w:bCs/>
          <w:lang w:val="en-US"/>
        </w:rPr>
      </w:pPr>
    </w:p>
    <w:p w14:paraId="73ED8BE9" w14:textId="77777777" w:rsidR="007B4F55" w:rsidRDefault="007B4F55" w:rsidP="004F07FC">
      <w:pPr>
        <w:pStyle w:val="Body"/>
        <w:widowControl/>
        <w:spacing w:after="240" w:line="288" w:lineRule="auto"/>
        <w:jc w:val="center"/>
        <w:rPr>
          <w:b/>
          <w:bCs/>
          <w:lang w:val="en-US"/>
        </w:rPr>
      </w:pPr>
    </w:p>
    <w:p w14:paraId="6D031B10" w14:textId="71173F65" w:rsidR="00F44DEE" w:rsidRPr="00B122FB" w:rsidRDefault="00F44DEE" w:rsidP="00F44DEE"/>
    <w:sdt>
      <w:sdtPr>
        <w:rPr>
          <w:rFonts w:ascii="Times New Roman" w:eastAsiaTheme="minorHAnsi" w:hAnsi="Times New Roman" w:cstheme="minorBidi"/>
          <w:color w:val="auto"/>
          <w:sz w:val="24"/>
          <w:szCs w:val="22"/>
          <w:lang w:val="en-GB"/>
        </w:rPr>
        <w:id w:val="-1069192131"/>
        <w:docPartObj>
          <w:docPartGallery w:val="Table of Contents"/>
          <w:docPartUnique/>
        </w:docPartObj>
      </w:sdtPr>
      <w:sdtEndPr>
        <w:rPr>
          <w:b/>
          <w:bCs/>
          <w:noProof/>
        </w:rPr>
      </w:sdtEndPr>
      <w:sdtContent>
        <w:p w14:paraId="2B321519" w14:textId="77777777" w:rsidR="00F44DEE" w:rsidRPr="00F44DEE" w:rsidRDefault="00F44DEE">
          <w:pPr>
            <w:pStyle w:val="TOCHeading"/>
            <w:rPr>
              <w:rFonts w:ascii="Times New Roman" w:hAnsi="Times New Roman" w:cs="Times New Roman"/>
              <w:sz w:val="24"/>
              <w:szCs w:val="24"/>
            </w:rPr>
          </w:pPr>
          <w:r w:rsidRPr="00F44DEE">
            <w:rPr>
              <w:rFonts w:ascii="Times New Roman" w:hAnsi="Times New Roman" w:cs="Times New Roman"/>
              <w:sz w:val="24"/>
              <w:szCs w:val="24"/>
            </w:rPr>
            <w:t>Table of Contents</w:t>
          </w:r>
        </w:p>
        <w:p w14:paraId="3B60234B" w14:textId="77777777" w:rsidR="00F44DEE" w:rsidRPr="00F44DEE" w:rsidRDefault="00F44DEE">
          <w:pPr>
            <w:pStyle w:val="TOC1"/>
            <w:tabs>
              <w:tab w:val="right" w:leader="dot" w:pos="9016"/>
            </w:tabs>
            <w:rPr>
              <w:rFonts w:cs="Times New Roman"/>
              <w:noProof/>
              <w:szCs w:val="24"/>
            </w:rPr>
          </w:pPr>
          <w:r w:rsidRPr="00F44DEE">
            <w:rPr>
              <w:rFonts w:cs="Times New Roman"/>
              <w:szCs w:val="24"/>
            </w:rPr>
            <w:fldChar w:fldCharType="begin"/>
          </w:r>
          <w:r w:rsidRPr="00F44DEE">
            <w:rPr>
              <w:rFonts w:cs="Times New Roman"/>
              <w:szCs w:val="24"/>
            </w:rPr>
            <w:instrText xml:space="preserve"> TOC \o "1-3" \h \z \u </w:instrText>
          </w:r>
          <w:r w:rsidRPr="00F44DEE">
            <w:rPr>
              <w:rFonts w:cs="Times New Roman"/>
              <w:szCs w:val="24"/>
            </w:rPr>
            <w:fldChar w:fldCharType="separate"/>
          </w:r>
          <w:hyperlink w:anchor="_Toc133564580" w:history="1">
            <w:r w:rsidRPr="00F44DEE">
              <w:rPr>
                <w:rStyle w:val="Hyperlink"/>
                <w:rFonts w:cs="Times New Roman"/>
                <w:noProof/>
                <w:szCs w:val="24"/>
              </w:rPr>
              <w:t>Introduction</w:t>
            </w:r>
            <w:r w:rsidRPr="00F44DEE">
              <w:rPr>
                <w:rFonts w:cs="Times New Roman"/>
                <w:noProof/>
                <w:webHidden/>
                <w:szCs w:val="24"/>
              </w:rPr>
              <w:tab/>
            </w:r>
            <w:r w:rsidRPr="00F44DEE">
              <w:rPr>
                <w:rFonts w:cs="Times New Roman"/>
                <w:noProof/>
                <w:webHidden/>
                <w:szCs w:val="24"/>
              </w:rPr>
              <w:fldChar w:fldCharType="begin"/>
            </w:r>
            <w:r w:rsidRPr="00F44DEE">
              <w:rPr>
                <w:rFonts w:cs="Times New Roman"/>
                <w:noProof/>
                <w:webHidden/>
                <w:szCs w:val="24"/>
              </w:rPr>
              <w:instrText xml:space="preserve"> PAGEREF _Toc133564580 \h </w:instrText>
            </w:r>
            <w:r w:rsidRPr="00F44DEE">
              <w:rPr>
                <w:rFonts w:cs="Times New Roman"/>
                <w:noProof/>
                <w:webHidden/>
                <w:szCs w:val="24"/>
              </w:rPr>
            </w:r>
            <w:r w:rsidRPr="00F44DEE">
              <w:rPr>
                <w:rFonts w:cs="Times New Roman"/>
                <w:noProof/>
                <w:webHidden/>
                <w:szCs w:val="24"/>
              </w:rPr>
              <w:fldChar w:fldCharType="separate"/>
            </w:r>
            <w:r w:rsidRPr="00F44DEE">
              <w:rPr>
                <w:rFonts w:cs="Times New Roman"/>
                <w:noProof/>
                <w:webHidden/>
                <w:szCs w:val="24"/>
              </w:rPr>
              <w:t>3</w:t>
            </w:r>
            <w:r w:rsidRPr="00F44DEE">
              <w:rPr>
                <w:rFonts w:cs="Times New Roman"/>
                <w:noProof/>
                <w:webHidden/>
                <w:szCs w:val="24"/>
              </w:rPr>
              <w:fldChar w:fldCharType="end"/>
            </w:r>
          </w:hyperlink>
        </w:p>
        <w:p w14:paraId="7236CB76" w14:textId="77777777" w:rsidR="00F44DEE" w:rsidRPr="00F44DEE" w:rsidRDefault="00BD2D4E">
          <w:pPr>
            <w:pStyle w:val="TOC1"/>
            <w:tabs>
              <w:tab w:val="right" w:leader="dot" w:pos="9016"/>
            </w:tabs>
            <w:rPr>
              <w:rFonts w:cs="Times New Roman"/>
              <w:noProof/>
              <w:szCs w:val="24"/>
            </w:rPr>
          </w:pPr>
          <w:hyperlink w:anchor="_Toc133564581" w:history="1">
            <w:r w:rsidR="00F44DEE" w:rsidRPr="00F44DEE">
              <w:rPr>
                <w:rStyle w:val="Hyperlink"/>
                <w:rFonts w:cs="Times New Roman"/>
                <w:noProof/>
                <w:szCs w:val="24"/>
              </w:rPr>
              <w:t>The Argument in Favour of the Hinkley Point C Project as a Success for the UK Energy Sector</w:t>
            </w:r>
            <w:r w:rsidR="00F44DEE" w:rsidRPr="00F44DEE">
              <w:rPr>
                <w:rFonts w:cs="Times New Roman"/>
                <w:noProof/>
                <w:webHidden/>
                <w:szCs w:val="24"/>
              </w:rPr>
              <w:tab/>
            </w:r>
            <w:r w:rsidR="00F44DEE" w:rsidRPr="00F44DEE">
              <w:rPr>
                <w:rFonts w:cs="Times New Roman"/>
                <w:noProof/>
                <w:webHidden/>
                <w:szCs w:val="24"/>
              </w:rPr>
              <w:fldChar w:fldCharType="begin"/>
            </w:r>
            <w:r w:rsidR="00F44DEE" w:rsidRPr="00F44DEE">
              <w:rPr>
                <w:rFonts w:cs="Times New Roman"/>
                <w:noProof/>
                <w:webHidden/>
                <w:szCs w:val="24"/>
              </w:rPr>
              <w:instrText xml:space="preserve"> PAGEREF _Toc133564581 \h </w:instrText>
            </w:r>
            <w:r w:rsidR="00F44DEE" w:rsidRPr="00F44DEE">
              <w:rPr>
                <w:rFonts w:cs="Times New Roman"/>
                <w:noProof/>
                <w:webHidden/>
                <w:szCs w:val="24"/>
              </w:rPr>
            </w:r>
            <w:r w:rsidR="00F44DEE" w:rsidRPr="00F44DEE">
              <w:rPr>
                <w:rFonts w:cs="Times New Roman"/>
                <w:noProof/>
                <w:webHidden/>
                <w:szCs w:val="24"/>
              </w:rPr>
              <w:fldChar w:fldCharType="separate"/>
            </w:r>
            <w:r w:rsidR="00F44DEE" w:rsidRPr="00F44DEE">
              <w:rPr>
                <w:rFonts w:cs="Times New Roman"/>
                <w:noProof/>
                <w:webHidden/>
                <w:szCs w:val="24"/>
              </w:rPr>
              <w:t>3</w:t>
            </w:r>
            <w:r w:rsidR="00F44DEE" w:rsidRPr="00F44DEE">
              <w:rPr>
                <w:rFonts w:cs="Times New Roman"/>
                <w:noProof/>
                <w:webHidden/>
                <w:szCs w:val="24"/>
              </w:rPr>
              <w:fldChar w:fldCharType="end"/>
            </w:r>
          </w:hyperlink>
        </w:p>
        <w:p w14:paraId="3B285831" w14:textId="77777777" w:rsidR="00F44DEE" w:rsidRPr="00F44DEE" w:rsidRDefault="00BD2D4E">
          <w:pPr>
            <w:pStyle w:val="TOC2"/>
            <w:tabs>
              <w:tab w:val="right" w:leader="dot" w:pos="9016"/>
            </w:tabs>
            <w:rPr>
              <w:rFonts w:cs="Times New Roman"/>
              <w:noProof/>
              <w:szCs w:val="24"/>
            </w:rPr>
          </w:pPr>
          <w:hyperlink w:anchor="_Toc133564582" w:history="1">
            <w:r w:rsidR="00F44DEE" w:rsidRPr="00F44DEE">
              <w:rPr>
                <w:rStyle w:val="Hyperlink"/>
                <w:rFonts w:cs="Times New Roman"/>
                <w:noProof/>
                <w:szCs w:val="24"/>
              </w:rPr>
              <w:t>A Reduction in Carbon Emissions</w:t>
            </w:r>
            <w:r w:rsidR="00F44DEE" w:rsidRPr="00F44DEE">
              <w:rPr>
                <w:rFonts w:cs="Times New Roman"/>
                <w:noProof/>
                <w:webHidden/>
                <w:szCs w:val="24"/>
              </w:rPr>
              <w:tab/>
            </w:r>
            <w:r w:rsidR="00F44DEE" w:rsidRPr="00F44DEE">
              <w:rPr>
                <w:rFonts w:cs="Times New Roman"/>
                <w:noProof/>
                <w:webHidden/>
                <w:szCs w:val="24"/>
              </w:rPr>
              <w:fldChar w:fldCharType="begin"/>
            </w:r>
            <w:r w:rsidR="00F44DEE" w:rsidRPr="00F44DEE">
              <w:rPr>
                <w:rFonts w:cs="Times New Roman"/>
                <w:noProof/>
                <w:webHidden/>
                <w:szCs w:val="24"/>
              </w:rPr>
              <w:instrText xml:space="preserve"> PAGEREF _Toc133564582 \h </w:instrText>
            </w:r>
            <w:r w:rsidR="00F44DEE" w:rsidRPr="00F44DEE">
              <w:rPr>
                <w:rFonts w:cs="Times New Roman"/>
                <w:noProof/>
                <w:webHidden/>
                <w:szCs w:val="24"/>
              </w:rPr>
            </w:r>
            <w:r w:rsidR="00F44DEE" w:rsidRPr="00F44DEE">
              <w:rPr>
                <w:rFonts w:cs="Times New Roman"/>
                <w:noProof/>
                <w:webHidden/>
                <w:szCs w:val="24"/>
              </w:rPr>
              <w:fldChar w:fldCharType="separate"/>
            </w:r>
            <w:r w:rsidR="00F44DEE" w:rsidRPr="00F44DEE">
              <w:rPr>
                <w:rFonts w:cs="Times New Roman"/>
                <w:noProof/>
                <w:webHidden/>
                <w:szCs w:val="24"/>
              </w:rPr>
              <w:t>4</w:t>
            </w:r>
            <w:r w:rsidR="00F44DEE" w:rsidRPr="00F44DEE">
              <w:rPr>
                <w:rFonts w:cs="Times New Roman"/>
                <w:noProof/>
                <w:webHidden/>
                <w:szCs w:val="24"/>
              </w:rPr>
              <w:fldChar w:fldCharType="end"/>
            </w:r>
          </w:hyperlink>
        </w:p>
        <w:p w14:paraId="15CC200D" w14:textId="77777777" w:rsidR="00F44DEE" w:rsidRPr="00F44DEE" w:rsidRDefault="00BD2D4E">
          <w:pPr>
            <w:pStyle w:val="TOC2"/>
            <w:tabs>
              <w:tab w:val="right" w:leader="dot" w:pos="9016"/>
            </w:tabs>
            <w:rPr>
              <w:rFonts w:cs="Times New Roman"/>
              <w:noProof/>
              <w:szCs w:val="24"/>
            </w:rPr>
          </w:pPr>
          <w:hyperlink w:anchor="_Toc133564583" w:history="1">
            <w:r w:rsidR="00F44DEE" w:rsidRPr="00F44DEE">
              <w:rPr>
                <w:rStyle w:val="Hyperlink"/>
                <w:rFonts w:cs="Times New Roman"/>
                <w:noProof/>
                <w:szCs w:val="24"/>
              </w:rPr>
              <w:t>Increased Energy Supply and Contribution to the Economy</w:t>
            </w:r>
            <w:r w:rsidR="00F44DEE" w:rsidRPr="00F44DEE">
              <w:rPr>
                <w:rFonts w:cs="Times New Roman"/>
                <w:noProof/>
                <w:webHidden/>
                <w:szCs w:val="24"/>
              </w:rPr>
              <w:tab/>
            </w:r>
            <w:r w:rsidR="00F44DEE" w:rsidRPr="00F44DEE">
              <w:rPr>
                <w:rFonts w:cs="Times New Roman"/>
                <w:noProof/>
                <w:webHidden/>
                <w:szCs w:val="24"/>
              </w:rPr>
              <w:fldChar w:fldCharType="begin"/>
            </w:r>
            <w:r w:rsidR="00F44DEE" w:rsidRPr="00F44DEE">
              <w:rPr>
                <w:rFonts w:cs="Times New Roman"/>
                <w:noProof/>
                <w:webHidden/>
                <w:szCs w:val="24"/>
              </w:rPr>
              <w:instrText xml:space="preserve"> PAGEREF _Toc133564583 \h </w:instrText>
            </w:r>
            <w:r w:rsidR="00F44DEE" w:rsidRPr="00F44DEE">
              <w:rPr>
                <w:rFonts w:cs="Times New Roman"/>
                <w:noProof/>
                <w:webHidden/>
                <w:szCs w:val="24"/>
              </w:rPr>
            </w:r>
            <w:r w:rsidR="00F44DEE" w:rsidRPr="00F44DEE">
              <w:rPr>
                <w:rFonts w:cs="Times New Roman"/>
                <w:noProof/>
                <w:webHidden/>
                <w:szCs w:val="24"/>
              </w:rPr>
              <w:fldChar w:fldCharType="separate"/>
            </w:r>
            <w:r w:rsidR="00F44DEE" w:rsidRPr="00F44DEE">
              <w:rPr>
                <w:rFonts w:cs="Times New Roman"/>
                <w:noProof/>
                <w:webHidden/>
                <w:szCs w:val="24"/>
              </w:rPr>
              <w:t>5</w:t>
            </w:r>
            <w:r w:rsidR="00F44DEE" w:rsidRPr="00F44DEE">
              <w:rPr>
                <w:rFonts w:cs="Times New Roman"/>
                <w:noProof/>
                <w:webHidden/>
                <w:szCs w:val="24"/>
              </w:rPr>
              <w:fldChar w:fldCharType="end"/>
            </w:r>
          </w:hyperlink>
        </w:p>
        <w:p w14:paraId="52F65ACE" w14:textId="77777777" w:rsidR="00F44DEE" w:rsidRPr="00F44DEE" w:rsidRDefault="00BD2D4E">
          <w:pPr>
            <w:pStyle w:val="TOC2"/>
            <w:tabs>
              <w:tab w:val="right" w:leader="dot" w:pos="9016"/>
            </w:tabs>
            <w:rPr>
              <w:rFonts w:cs="Times New Roman"/>
              <w:noProof/>
              <w:szCs w:val="24"/>
            </w:rPr>
          </w:pPr>
          <w:hyperlink w:anchor="_Toc133564584" w:history="1">
            <w:r w:rsidR="00F44DEE" w:rsidRPr="00F44DEE">
              <w:rPr>
                <w:rStyle w:val="Hyperlink"/>
                <w:rFonts w:cs="Times New Roman"/>
                <w:noProof/>
                <w:szCs w:val="24"/>
              </w:rPr>
              <w:t>Cost-Competitiveness Compared to Other Sources of Energy</w:t>
            </w:r>
            <w:r w:rsidR="00F44DEE" w:rsidRPr="00F44DEE">
              <w:rPr>
                <w:rFonts w:cs="Times New Roman"/>
                <w:noProof/>
                <w:webHidden/>
                <w:szCs w:val="24"/>
              </w:rPr>
              <w:tab/>
            </w:r>
            <w:r w:rsidR="00F44DEE" w:rsidRPr="00F44DEE">
              <w:rPr>
                <w:rFonts w:cs="Times New Roman"/>
                <w:noProof/>
                <w:webHidden/>
                <w:szCs w:val="24"/>
              </w:rPr>
              <w:fldChar w:fldCharType="begin"/>
            </w:r>
            <w:r w:rsidR="00F44DEE" w:rsidRPr="00F44DEE">
              <w:rPr>
                <w:rFonts w:cs="Times New Roman"/>
                <w:noProof/>
                <w:webHidden/>
                <w:szCs w:val="24"/>
              </w:rPr>
              <w:instrText xml:space="preserve"> PAGEREF _Toc133564584 \h </w:instrText>
            </w:r>
            <w:r w:rsidR="00F44DEE" w:rsidRPr="00F44DEE">
              <w:rPr>
                <w:rFonts w:cs="Times New Roman"/>
                <w:noProof/>
                <w:webHidden/>
                <w:szCs w:val="24"/>
              </w:rPr>
            </w:r>
            <w:r w:rsidR="00F44DEE" w:rsidRPr="00F44DEE">
              <w:rPr>
                <w:rFonts w:cs="Times New Roman"/>
                <w:noProof/>
                <w:webHidden/>
                <w:szCs w:val="24"/>
              </w:rPr>
              <w:fldChar w:fldCharType="separate"/>
            </w:r>
            <w:r w:rsidR="00F44DEE" w:rsidRPr="00F44DEE">
              <w:rPr>
                <w:rFonts w:cs="Times New Roman"/>
                <w:noProof/>
                <w:webHidden/>
                <w:szCs w:val="24"/>
              </w:rPr>
              <w:t>7</w:t>
            </w:r>
            <w:r w:rsidR="00F44DEE" w:rsidRPr="00F44DEE">
              <w:rPr>
                <w:rFonts w:cs="Times New Roman"/>
                <w:noProof/>
                <w:webHidden/>
                <w:szCs w:val="24"/>
              </w:rPr>
              <w:fldChar w:fldCharType="end"/>
            </w:r>
          </w:hyperlink>
        </w:p>
        <w:p w14:paraId="500660A2" w14:textId="77777777" w:rsidR="00F44DEE" w:rsidRPr="00F44DEE" w:rsidRDefault="00BD2D4E">
          <w:pPr>
            <w:pStyle w:val="TOC2"/>
            <w:tabs>
              <w:tab w:val="right" w:leader="dot" w:pos="9016"/>
            </w:tabs>
            <w:rPr>
              <w:rFonts w:cs="Times New Roman"/>
              <w:noProof/>
              <w:szCs w:val="24"/>
            </w:rPr>
          </w:pPr>
          <w:hyperlink w:anchor="_Toc133564585" w:history="1">
            <w:r w:rsidR="00F44DEE" w:rsidRPr="00F44DEE">
              <w:rPr>
                <w:rStyle w:val="Hyperlink"/>
                <w:rFonts w:cs="Times New Roman"/>
                <w:noProof/>
                <w:szCs w:val="24"/>
              </w:rPr>
              <w:t>Cost to the Consumers</w:t>
            </w:r>
            <w:r w:rsidR="00F44DEE" w:rsidRPr="00F44DEE">
              <w:rPr>
                <w:rFonts w:cs="Times New Roman"/>
                <w:noProof/>
                <w:webHidden/>
                <w:szCs w:val="24"/>
              </w:rPr>
              <w:tab/>
            </w:r>
            <w:r w:rsidR="00F44DEE" w:rsidRPr="00F44DEE">
              <w:rPr>
                <w:rFonts w:cs="Times New Roman"/>
                <w:noProof/>
                <w:webHidden/>
                <w:szCs w:val="24"/>
              </w:rPr>
              <w:fldChar w:fldCharType="begin"/>
            </w:r>
            <w:r w:rsidR="00F44DEE" w:rsidRPr="00F44DEE">
              <w:rPr>
                <w:rFonts w:cs="Times New Roman"/>
                <w:noProof/>
                <w:webHidden/>
                <w:szCs w:val="24"/>
              </w:rPr>
              <w:instrText xml:space="preserve"> PAGEREF _Toc133564585 \h </w:instrText>
            </w:r>
            <w:r w:rsidR="00F44DEE" w:rsidRPr="00F44DEE">
              <w:rPr>
                <w:rFonts w:cs="Times New Roman"/>
                <w:noProof/>
                <w:webHidden/>
                <w:szCs w:val="24"/>
              </w:rPr>
            </w:r>
            <w:r w:rsidR="00F44DEE" w:rsidRPr="00F44DEE">
              <w:rPr>
                <w:rFonts w:cs="Times New Roman"/>
                <w:noProof/>
                <w:webHidden/>
                <w:szCs w:val="24"/>
              </w:rPr>
              <w:fldChar w:fldCharType="separate"/>
            </w:r>
            <w:r w:rsidR="00F44DEE" w:rsidRPr="00F44DEE">
              <w:rPr>
                <w:rFonts w:cs="Times New Roman"/>
                <w:noProof/>
                <w:webHidden/>
                <w:szCs w:val="24"/>
              </w:rPr>
              <w:t>9</w:t>
            </w:r>
            <w:r w:rsidR="00F44DEE" w:rsidRPr="00F44DEE">
              <w:rPr>
                <w:rFonts w:cs="Times New Roman"/>
                <w:noProof/>
                <w:webHidden/>
                <w:szCs w:val="24"/>
              </w:rPr>
              <w:fldChar w:fldCharType="end"/>
            </w:r>
          </w:hyperlink>
        </w:p>
        <w:p w14:paraId="1FB611DA" w14:textId="77777777" w:rsidR="00F44DEE" w:rsidRPr="00F44DEE" w:rsidRDefault="00BD2D4E">
          <w:pPr>
            <w:pStyle w:val="TOC2"/>
            <w:tabs>
              <w:tab w:val="right" w:leader="dot" w:pos="9016"/>
            </w:tabs>
            <w:rPr>
              <w:rFonts w:cs="Times New Roman"/>
              <w:noProof/>
              <w:szCs w:val="24"/>
            </w:rPr>
          </w:pPr>
          <w:hyperlink w:anchor="_Toc133564586" w:history="1">
            <w:r w:rsidR="00F44DEE" w:rsidRPr="00F44DEE">
              <w:rPr>
                <w:rStyle w:val="Hyperlink"/>
                <w:rFonts w:cs="Times New Roman"/>
                <w:noProof/>
                <w:szCs w:val="24"/>
              </w:rPr>
              <w:t>Supporting the Environment</w:t>
            </w:r>
            <w:r w:rsidR="00F44DEE" w:rsidRPr="00F44DEE">
              <w:rPr>
                <w:rFonts w:cs="Times New Roman"/>
                <w:noProof/>
                <w:webHidden/>
                <w:szCs w:val="24"/>
              </w:rPr>
              <w:tab/>
            </w:r>
            <w:r w:rsidR="00F44DEE" w:rsidRPr="00F44DEE">
              <w:rPr>
                <w:rFonts w:cs="Times New Roman"/>
                <w:noProof/>
                <w:webHidden/>
                <w:szCs w:val="24"/>
              </w:rPr>
              <w:fldChar w:fldCharType="begin"/>
            </w:r>
            <w:r w:rsidR="00F44DEE" w:rsidRPr="00F44DEE">
              <w:rPr>
                <w:rFonts w:cs="Times New Roman"/>
                <w:noProof/>
                <w:webHidden/>
                <w:szCs w:val="24"/>
              </w:rPr>
              <w:instrText xml:space="preserve"> PAGEREF _Toc133564586 \h </w:instrText>
            </w:r>
            <w:r w:rsidR="00F44DEE" w:rsidRPr="00F44DEE">
              <w:rPr>
                <w:rFonts w:cs="Times New Roman"/>
                <w:noProof/>
                <w:webHidden/>
                <w:szCs w:val="24"/>
              </w:rPr>
            </w:r>
            <w:r w:rsidR="00F44DEE" w:rsidRPr="00F44DEE">
              <w:rPr>
                <w:rFonts w:cs="Times New Roman"/>
                <w:noProof/>
                <w:webHidden/>
                <w:szCs w:val="24"/>
              </w:rPr>
              <w:fldChar w:fldCharType="separate"/>
            </w:r>
            <w:r w:rsidR="00F44DEE" w:rsidRPr="00F44DEE">
              <w:rPr>
                <w:rFonts w:cs="Times New Roman"/>
                <w:noProof/>
                <w:webHidden/>
                <w:szCs w:val="24"/>
              </w:rPr>
              <w:t>9</w:t>
            </w:r>
            <w:r w:rsidR="00F44DEE" w:rsidRPr="00F44DEE">
              <w:rPr>
                <w:rFonts w:cs="Times New Roman"/>
                <w:noProof/>
                <w:webHidden/>
                <w:szCs w:val="24"/>
              </w:rPr>
              <w:fldChar w:fldCharType="end"/>
            </w:r>
          </w:hyperlink>
        </w:p>
        <w:p w14:paraId="26D79A5C" w14:textId="77777777" w:rsidR="00F44DEE" w:rsidRPr="00F44DEE" w:rsidRDefault="00BD2D4E">
          <w:pPr>
            <w:pStyle w:val="TOC1"/>
            <w:tabs>
              <w:tab w:val="right" w:leader="dot" w:pos="9016"/>
            </w:tabs>
            <w:rPr>
              <w:rFonts w:cs="Times New Roman"/>
              <w:noProof/>
              <w:szCs w:val="24"/>
            </w:rPr>
          </w:pPr>
          <w:hyperlink w:anchor="_Toc133564587" w:history="1">
            <w:r w:rsidR="00F44DEE" w:rsidRPr="00F44DEE">
              <w:rPr>
                <w:rStyle w:val="Hyperlink"/>
                <w:rFonts w:cs="Times New Roman"/>
                <w:noProof/>
                <w:szCs w:val="24"/>
              </w:rPr>
              <w:t>Lessons from the Hinkley Point C Project</w:t>
            </w:r>
            <w:r w:rsidR="00F44DEE" w:rsidRPr="00F44DEE">
              <w:rPr>
                <w:rFonts w:cs="Times New Roman"/>
                <w:noProof/>
                <w:webHidden/>
                <w:szCs w:val="24"/>
              </w:rPr>
              <w:tab/>
            </w:r>
            <w:r w:rsidR="00F44DEE" w:rsidRPr="00F44DEE">
              <w:rPr>
                <w:rFonts w:cs="Times New Roman"/>
                <w:noProof/>
                <w:webHidden/>
                <w:szCs w:val="24"/>
              </w:rPr>
              <w:fldChar w:fldCharType="begin"/>
            </w:r>
            <w:r w:rsidR="00F44DEE" w:rsidRPr="00F44DEE">
              <w:rPr>
                <w:rFonts w:cs="Times New Roman"/>
                <w:noProof/>
                <w:webHidden/>
                <w:szCs w:val="24"/>
              </w:rPr>
              <w:instrText xml:space="preserve"> PAGEREF _Toc133564587 \h </w:instrText>
            </w:r>
            <w:r w:rsidR="00F44DEE" w:rsidRPr="00F44DEE">
              <w:rPr>
                <w:rFonts w:cs="Times New Roman"/>
                <w:noProof/>
                <w:webHidden/>
                <w:szCs w:val="24"/>
              </w:rPr>
            </w:r>
            <w:r w:rsidR="00F44DEE" w:rsidRPr="00F44DEE">
              <w:rPr>
                <w:rFonts w:cs="Times New Roman"/>
                <w:noProof/>
                <w:webHidden/>
                <w:szCs w:val="24"/>
              </w:rPr>
              <w:fldChar w:fldCharType="separate"/>
            </w:r>
            <w:r w:rsidR="00F44DEE" w:rsidRPr="00F44DEE">
              <w:rPr>
                <w:rFonts w:cs="Times New Roman"/>
                <w:noProof/>
                <w:webHidden/>
                <w:szCs w:val="24"/>
              </w:rPr>
              <w:t>10</w:t>
            </w:r>
            <w:r w:rsidR="00F44DEE" w:rsidRPr="00F44DEE">
              <w:rPr>
                <w:rFonts w:cs="Times New Roman"/>
                <w:noProof/>
                <w:webHidden/>
                <w:szCs w:val="24"/>
              </w:rPr>
              <w:fldChar w:fldCharType="end"/>
            </w:r>
          </w:hyperlink>
        </w:p>
        <w:p w14:paraId="38497DCF" w14:textId="77777777" w:rsidR="00F44DEE" w:rsidRPr="00F44DEE" w:rsidRDefault="00BD2D4E">
          <w:pPr>
            <w:pStyle w:val="TOC1"/>
            <w:tabs>
              <w:tab w:val="right" w:leader="dot" w:pos="9016"/>
            </w:tabs>
            <w:rPr>
              <w:rFonts w:cs="Times New Roman"/>
              <w:noProof/>
              <w:szCs w:val="24"/>
            </w:rPr>
          </w:pPr>
          <w:hyperlink w:anchor="_Toc133564588" w:history="1">
            <w:r w:rsidR="00F44DEE" w:rsidRPr="00F44DEE">
              <w:rPr>
                <w:rStyle w:val="Hyperlink"/>
                <w:rFonts w:cs="Times New Roman"/>
                <w:noProof/>
                <w:szCs w:val="24"/>
              </w:rPr>
              <w:t>Conclusion</w:t>
            </w:r>
            <w:r w:rsidR="00F44DEE" w:rsidRPr="00F44DEE">
              <w:rPr>
                <w:rFonts w:cs="Times New Roman"/>
                <w:noProof/>
                <w:webHidden/>
                <w:szCs w:val="24"/>
              </w:rPr>
              <w:tab/>
            </w:r>
            <w:r w:rsidR="00F44DEE" w:rsidRPr="00F44DEE">
              <w:rPr>
                <w:rFonts w:cs="Times New Roman"/>
                <w:noProof/>
                <w:webHidden/>
                <w:szCs w:val="24"/>
              </w:rPr>
              <w:fldChar w:fldCharType="begin"/>
            </w:r>
            <w:r w:rsidR="00F44DEE" w:rsidRPr="00F44DEE">
              <w:rPr>
                <w:rFonts w:cs="Times New Roman"/>
                <w:noProof/>
                <w:webHidden/>
                <w:szCs w:val="24"/>
              </w:rPr>
              <w:instrText xml:space="preserve"> PAGEREF _Toc133564588 \h </w:instrText>
            </w:r>
            <w:r w:rsidR="00F44DEE" w:rsidRPr="00F44DEE">
              <w:rPr>
                <w:rFonts w:cs="Times New Roman"/>
                <w:noProof/>
                <w:webHidden/>
                <w:szCs w:val="24"/>
              </w:rPr>
            </w:r>
            <w:r w:rsidR="00F44DEE" w:rsidRPr="00F44DEE">
              <w:rPr>
                <w:rFonts w:cs="Times New Roman"/>
                <w:noProof/>
                <w:webHidden/>
                <w:szCs w:val="24"/>
              </w:rPr>
              <w:fldChar w:fldCharType="separate"/>
            </w:r>
            <w:r w:rsidR="00F44DEE" w:rsidRPr="00F44DEE">
              <w:rPr>
                <w:rFonts w:cs="Times New Roman"/>
                <w:noProof/>
                <w:webHidden/>
                <w:szCs w:val="24"/>
              </w:rPr>
              <w:t>11</w:t>
            </w:r>
            <w:r w:rsidR="00F44DEE" w:rsidRPr="00F44DEE">
              <w:rPr>
                <w:rFonts w:cs="Times New Roman"/>
                <w:noProof/>
                <w:webHidden/>
                <w:szCs w:val="24"/>
              </w:rPr>
              <w:fldChar w:fldCharType="end"/>
            </w:r>
          </w:hyperlink>
        </w:p>
        <w:p w14:paraId="766C457D" w14:textId="77777777" w:rsidR="00F44DEE" w:rsidRPr="00F44DEE" w:rsidRDefault="00BD2D4E">
          <w:pPr>
            <w:pStyle w:val="TOC1"/>
            <w:tabs>
              <w:tab w:val="right" w:leader="dot" w:pos="9016"/>
            </w:tabs>
            <w:rPr>
              <w:rFonts w:cs="Times New Roman"/>
              <w:noProof/>
              <w:szCs w:val="24"/>
            </w:rPr>
          </w:pPr>
          <w:hyperlink w:anchor="_Toc133564589" w:history="1">
            <w:r w:rsidR="00F44DEE" w:rsidRPr="00F44DEE">
              <w:rPr>
                <w:rStyle w:val="Hyperlink"/>
                <w:rFonts w:cs="Times New Roman"/>
                <w:noProof/>
                <w:szCs w:val="24"/>
              </w:rPr>
              <w:t>References List</w:t>
            </w:r>
            <w:r w:rsidR="00F44DEE" w:rsidRPr="00F44DEE">
              <w:rPr>
                <w:rFonts w:cs="Times New Roman"/>
                <w:noProof/>
                <w:webHidden/>
                <w:szCs w:val="24"/>
              </w:rPr>
              <w:tab/>
            </w:r>
            <w:r w:rsidR="00F44DEE" w:rsidRPr="00F44DEE">
              <w:rPr>
                <w:rFonts w:cs="Times New Roman"/>
                <w:noProof/>
                <w:webHidden/>
                <w:szCs w:val="24"/>
              </w:rPr>
              <w:fldChar w:fldCharType="begin"/>
            </w:r>
            <w:r w:rsidR="00F44DEE" w:rsidRPr="00F44DEE">
              <w:rPr>
                <w:rFonts w:cs="Times New Roman"/>
                <w:noProof/>
                <w:webHidden/>
                <w:szCs w:val="24"/>
              </w:rPr>
              <w:instrText xml:space="preserve"> PAGEREF _Toc133564589 \h </w:instrText>
            </w:r>
            <w:r w:rsidR="00F44DEE" w:rsidRPr="00F44DEE">
              <w:rPr>
                <w:rFonts w:cs="Times New Roman"/>
                <w:noProof/>
                <w:webHidden/>
                <w:szCs w:val="24"/>
              </w:rPr>
            </w:r>
            <w:r w:rsidR="00F44DEE" w:rsidRPr="00F44DEE">
              <w:rPr>
                <w:rFonts w:cs="Times New Roman"/>
                <w:noProof/>
                <w:webHidden/>
                <w:szCs w:val="24"/>
              </w:rPr>
              <w:fldChar w:fldCharType="separate"/>
            </w:r>
            <w:r w:rsidR="00F44DEE" w:rsidRPr="00F44DEE">
              <w:rPr>
                <w:rFonts w:cs="Times New Roman"/>
                <w:noProof/>
                <w:webHidden/>
                <w:szCs w:val="24"/>
              </w:rPr>
              <w:t>12</w:t>
            </w:r>
            <w:r w:rsidR="00F44DEE" w:rsidRPr="00F44DEE">
              <w:rPr>
                <w:rFonts w:cs="Times New Roman"/>
                <w:noProof/>
                <w:webHidden/>
                <w:szCs w:val="24"/>
              </w:rPr>
              <w:fldChar w:fldCharType="end"/>
            </w:r>
          </w:hyperlink>
        </w:p>
        <w:p w14:paraId="32B2BDB4" w14:textId="77777777" w:rsidR="00F44DEE" w:rsidRDefault="00F44DEE">
          <w:r w:rsidRPr="00F44DEE">
            <w:rPr>
              <w:rFonts w:cs="Times New Roman"/>
              <w:b/>
              <w:bCs/>
              <w:noProof/>
              <w:szCs w:val="24"/>
            </w:rPr>
            <w:fldChar w:fldCharType="end"/>
          </w:r>
        </w:p>
      </w:sdtContent>
    </w:sdt>
    <w:p w14:paraId="0E246E72" w14:textId="77777777" w:rsidR="0015146C" w:rsidRPr="00B122FB" w:rsidRDefault="00F44DEE" w:rsidP="00F44DEE">
      <w:r>
        <w:br w:type="page"/>
      </w:r>
    </w:p>
    <w:p w14:paraId="26ADCCE7" w14:textId="77777777" w:rsidR="006F4857" w:rsidRPr="00B122FB" w:rsidRDefault="004210C2" w:rsidP="00B122FB">
      <w:pPr>
        <w:pStyle w:val="Heading1"/>
        <w:contextualSpacing/>
      </w:pPr>
      <w:bookmarkStart w:id="0" w:name="_Toc133564580"/>
      <w:r w:rsidRPr="00B122FB">
        <w:lastRenderedPageBreak/>
        <w:t>Introduction</w:t>
      </w:r>
      <w:bookmarkEnd w:id="0"/>
    </w:p>
    <w:p w14:paraId="749A8A50" w14:textId="77777777" w:rsidR="00736F09" w:rsidRDefault="00B122FB" w:rsidP="00B122FB">
      <w:pPr>
        <w:spacing w:line="480" w:lineRule="auto"/>
        <w:ind w:firstLine="720"/>
        <w:contextualSpacing/>
        <w:rPr>
          <w:rFonts w:cs="Times New Roman"/>
          <w:szCs w:val="24"/>
        </w:rPr>
      </w:pPr>
      <w:r>
        <w:t xml:space="preserve">Over the last few decades, there have been concerted global efforts to reduce carbon emissions by introducing low-carbon sources of energy or moving completely to renewable sources of energy. Indeed, the United Nations envisions that global carbon emissions should decline by 43% by 2030, and eventually reduce to zero by 2030. Therefore, the Hinkley Point C project of the UK is a relevant project because besides seeking to ensure sustainable sources of energy for households and companies in the United Kingdom, the project aims to reduce the carbon emission resulting from electricity generation. </w:t>
      </w:r>
      <w:r w:rsidR="00AE5DAE">
        <w:t xml:space="preserve">Currently, the estimated completion budget for the project is between </w:t>
      </w:r>
      <w:r w:rsidR="00AE5DAE" w:rsidRPr="00E87AF0">
        <w:rPr>
          <w:rFonts w:cs="Times New Roman"/>
          <w:szCs w:val="24"/>
        </w:rPr>
        <w:t>£</w:t>
      </w:r>
      <w:r w:rsidR="00AE5DAE">
        <w:rPr>
          <w:rFonts w:cs="Times New Roman"/>
          <w:szCs w:val="24"/>
        </w:rPr>
        <w:t xml:space="preserve">25 billion and </w:t>
      </w:r>
      <w:r w:rsidR="00AE5DAE" w:rsidRPr="00E87AF0">
        <w:rPr>
          <w:rFonts w:cs="Times New Roman"/>
          <w:szCs w:val="24"/>
        </w:rPr>
        <w:t>£</w:t>
      </w:r>
      <w:r w:rsidR="00AE5DAE">
        <w:rPr>
          <w:rFonts w:cs="Times New Roman"/>
          <w:szCs w:val="24"/>
        </w:rPr>
        <w:t xml:space="preserve">26 billion, making the cost implications the premise of the critique that has been advanced towards the project. However, the following discussion will </w:t>
      </w:r>
      <w:r w:rsidR="005501CA">
        <w:rPr>
          <w:rFonts w:cs="Times New Roman"/>
          <w:szCs w:val="24"/>
        </w:rPr>
        <w:t xml:space="preserve">show that despite the cost-related concerns, the Hinkley Point C project has a significant positive impact on the UK’s energy sector. </w:t>
      </w:r>
    </w:p>
    <w:p w14:paraId="67B91B71" w14:textId="77777777" w:rsidR="005501CA" w:rsidRDefault="00D2551C" w:rsidP="00B122FB">
      <w:pPr>
        <w:spacing w:line="480" w:lineRule="auto"/>
        <w:ind w:firstLine="720"/>
        <w:contextualSpacing/>
      </w:pPr>
      <w:r>
        <w:t xml:space="preserve">There are several ways to </w:t>
      </w:r>
      <w:r w:rsidR="00743272">
        <w:t xml:space="preserve">determine to evaluate the benefits of the project to the energy sector in the UK including the overall reduction in carbon emissions, the projected number of homes to be powered by the project, the overall cost of the project, the prospect of eliminating the social burden of high-carbon energy sources, and the new cost of energy to UK consumers. </w:t>
      </w:r>
      <w:r w:rsidR="00911F81">
        <w:t xml:space="preserve">Based on these metrics and the notable shortfalls of the project including the budget overrun, the discussion will enumerate the lessons that can be used in other projects within the UK and the globe. </w:t>
      </w:r>
    </w:p>
    <w:p w14:paraId="435EABF9" w14:textId="77777777" w:rsidR="000C1012" w:rsidRDefault="00394E04" w:rsidP="00394E04">
      <w:pPr>
        <w:pStyle w:val="Heading1"/>
      </w:pPr>
      <w:bookmarkStart w:id="1" w:name="_Toc133564581"/>
      <w:r>
        <w:t xml:space="preserve">The </w:t>
      </w:r>
      <w:r w:rsidR="00F31D15">
        <w:t>Argument</w:t>
      </w:r>
      <w:r>
        <w:t xml:space="preserve"> in Favour of the Hinkley Point C Project as a Success for the UK Energy Sector</w:t>
      </w:r>
      <w:bookmarkEnd w:id="1"/>
    </w:p>
    <w:p w14:paraId="21F834D8" w14:textId="77777777" w:rsidR="00394E04" w:rsidRDefault="00D72D04" w:rsidP="00B122FB">
      <w:pPr>
        <w:spacing w:line="480" w:lineRule="auto"/>
        <w:ind w:firstLine="720"/>
        <w:contextualSpacing/>
      </w:pPr>
      <w:r>
        <w:t xml:space="preserve">The commissioning date for the Hinkley Point C project is expected to be around June 2027, following a series of </w:t>
      </w:r>
      <w:r w:rsidR="00AA17D2">
        <w:t xml:space="preserve">extensions. Despite this, the UK government and EDF Energy, the lead contractor for the project, remain optimistic that the adverse effects of the delays such as </w:t>
      </w:r>
      <w:r w:rsidR="00AA17D2">
        <w:lastRenderedPageBreak/>
        <w:t xml:space="preserve">the budget overruns will be overcome by the numerous benefits. </w:t>
      </w:r>
      <w:r w:rsidR="00E23108">
        <w:t xml:space="preserve">Overall, the project should be considered a success for the UK energy sector based on the following reasons. </w:t>
      </w:r>
    </w:p>
    <w:p w14:paraId="4A0FFD96" w14:textId="77777777" w:rsidR="00E23108" w:rsidRDefault="00593D58" w:rsidP="00593D58">
      <w:pPr>
        <w:pStyle w:val="Heading2"/>
      </w:pPr>
      <w:bookmarkStart w:id="2" w:name="_Toc133564582"/>
      <w:r>
        <w:t>A Reduction in Carbon Emissions</w:t>
      </w:r>
      <w:bookmarkEnd w:id="2"/>
    </w:p>
    <w:p w14:paraId="62804965" w14:textId="77777777" w:rsidR="00E40071" w:rsidRDefault="00DE2B7C" w:rsidP="00B122FB">
      <w:pPr>
        <w:spacing w:line="480" w:lineRule="auto"/>
        <w:ind w:firstLine="720"/>
        <w:contextualSpacing/>
      </w:pPr>
      <w:r>
        <w:t xml:space="preserve">The United Kingdom is one of the greatest contributors to greenhouse gas emissions in Europe and by extension the world. Specifically, The UK is the </w:t>
      </w:r>
      <w:r w:rsidR="0002055F">
        <w:t>second largest emitter of greenhouse gases in Europe, only coming behind Germany. The greenhouse house emissions, particularly carbon dioxide stem from the production of traditional energy, whereby a majority of the electricity that is used in the United Kingdom comes from fossil fuels</w:t>
      </w:r>
      <w:r w:rsidR="00502AF3">
        <w:t xml:space="preserve"> (Christenson, 2022)</w:t>
      </w:r>
      <w:r w:rsidR="0002055F">
        <w:t xml:space="preserve">. This primarily includes gases and coal, which are the greatest contributors to carbon emissions. It is, therefore, plausible to contend that the introduction </w:t>
      </w:r>
      <w:r w:rsidR="00E40071">
        <w:t xml:space="preserve">of zero-emission energy sources projects such as the Hinkley Point C project will play a major role in reducing carbon emissions in the UK. </w:t>
      </w:r>
      <w:r w:rsidR="00E7264E">
        <w:t xml:space="preserve">The chart below shows the ranking of the largest carbon emitters in Europe, showing that the UK comes second after Germany. </w:t>
      </w:r>
    </w:p>
    <w:p w14:paraId="6E8C82BA" w14:textId="77777777" w:rsidR="00593D58" w:rsidRDefault="0002055F" w:rsidP="00B122FB">
      <w:pPr>
        <w:spacing w:line="480" w:lineRule="auto"/>
        <w:ind w:firstLine="720"/>
        <w:contextualSpacing/>
      </w:pPr>
      <w:r>
        <w:t xml:space="preserve"> </w:t>
      </w:r>
      <w:r w:rsidR="00E7264E">
        <w:rPr>
          <w:noProof/>
          <w:lang w:eastAsia="en-GB"/>
        </w:rPr>
        <w:drawing>
          <wp:inline distT="0" distB="0" distL="0" distR="0" wp14:anchorId="30B7207C" wp14:editId="7C65EF43">
            <wp:extent cx="5552246" cy="3086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560083" cy="3090456"/>
                    </a:xfrm>
                    <a:prstGeom prst="rect">
                      <a:avLst/>
                    </a:prstGeom>
                  </pic:spPr>
                </pic:pic>
              </a:graphicData>
            </a:graphic>
          </wp:inline>
        </w:drawing>
      </w:r>
    </w:p>
    <w:p w14:paraId="1F800E03" w14:textId="77777777" w:rsidR="003C4801" w:rsidRDefault="002657B5" w:rsidP="002657B5">
      <w:pPr>
        <w:spacing w:line="480" w:lineRule="auto"/>
        <w:ind w:firstLine="720"/>
        <w:contextualSpacing/>
        <w:jc w:val="center"/>
      </w:pPr>
      <w:r>
        <w:t>Source:</w:t>
      </w:r>
      <w:r w:rsidR="008E5C88" w:rsidRPr="008E5C88">
        <w:t xml:space="preserve"> </w:t>
      </w:r>
      <w:r w:rsidR="008E5C88">
        <w:t>(Egbumokei, 2022)</w:t>
      </w:r>
    </w:p>
    <w:p w14:paraId="0EA6470F" w14:textId="77777777" w:rsidR="00BE5582" w:rsidRDefault="00AB266C" w:rsidP="00B122FB">
      <w:pPr>
        <w:spacing w:line="480" w:lineRule="auto"/>
        <w:ind w:firstLine="720"/>
        <w:contextualSpacing/>
      </w:pPr>
      <w:r>
        <w:lastRenderedPageBreak/>
        <w:t xml:space="preserve">In 2021, it is estimated that 77.3% of carbon emissions in the United Kingdom came from the use of </w:t>
      </w:r>
      <w:r w:rsidR="00C32C17">
        <w:t>fossil fuels which includes the use of fossil fuels to produce electricity. Additionally, the UK produce about 345 million tonnes of carbon emissions in 2021</w:t>
      </w:r>
      <w:r w:rsidR="00502AF3">
        <w:t>(Statista, 2023)</w:t>
      </w:r>
      <w:r w:rsidR="00C32C17">
        <w:t xml:space="preserve">. This is attributable to the economic growth in the country associated with the increased use of automobiles, electricity, and industrialisation. However, to meet the UN sustainable development goals, it is important to ensure that there is a significant decline in carbon emissions. To this end, the Hinkley Point C project is expected to offset about 600 million tons of carbon emissions </w:t>
      </w:r>
      <w:r w:rsidR="00A05D5E">
        <w:t>in total translating to an annual rate of 9 million tonnes</w:t>
      </w:r>
      <w:r w:rsidR="00C32C17">
        <w:t xml:space="preserve"> over the project’s life of 60 years</w:t>
      </w:r>
      <w:r w:rsidR="00502AF3">
        <w:t xml:space="preserve"> (EDF, 2023)</w:t>
      </w:r>
      <w:r w:rsidR="00C32C17">
        <w:t xml:space="preserve">. </w:t>
      </w:r>
      <w:r w:rsidR="00A05D5E">
        <w:t xml:space="preserve">This translates to a reduction of carbon emissions from the energy sector by about 2.61%, a </w:t>
      </w:r>
      <w:r w:rsidR="00192DDC">
        <w:t>unique contribution because it implies that the UK’s energy sector will solidify its global position as one of the least contributors to carbon emi</w:t>
      </w:r>
      <w:r w:rsidR="007C3801">
        <w:t xml:space="preserve">ssions. </w:t>
      </w:r>
    </w:p>
    <w:p w14:paraId="1C00C63F" w14:textId="77777777" w:rsidR="007C3801" w:rsidRDefault="00EC2E76" w:rsidP="00B122FB">
      <w:pPr>
        <w:spacing w:line="480" w:lineRule="auto"/>
        <w:ind w:firstLine="720"/>
        <w:contextualSpacing/>
      </w:pPr>
      <w:r>
        <w:t xml:space="preserve">Households and companies within the UK will be the greatest beneficiaries of the Hinkley Point C project. It is projected that the project will support the electricity needs </w:t>
      </w:r>
      <w:r w:rsidR="00351B27">
        <w:t>of</w:t>
      </w:r>
      <w:r>
        <w:t xml:space="preserve"> about 6 million households, accounting for about 7% of the aggregate </w:t>
      </w:r>
      <w:r w:rsidR="00351B27">
        <w:t>electricity demand in the United Kingdom</w:t>
      </w:r>
      <w:r w:rsidR="00502AF3">
        <w:t xml:space="preserve"> (EDF, 2023)</w:t>
      </w:r>
      <w:r w:rsidR="00351B27">
        <w:t xml:space="preserve">. For companies using nuclear energy, it means that their carbon emissions will greatly decline, eliminating the burden of paying the emission tax imposed by the government. Consequently, the manufacturing industry will become more efficient mainly through improved cost savings and profitability margins. </w:t>
      </w:r>
      <w:r w:rsidR="00072345">
        <w:t xml:space="preserve">This is a positive impact on the UK’s energy sector because it means that the sector is playing its role as a facilitator of business and not a deterrent through the carbon tax. </w:t>
      </w:r>
    </w:p>
    <w:p w14:paraId="64C2106A" w14:textId="77777777" w:rsidR="00072345" w:rsidRDefault="00A64DE6" w:rsidP="003E7E5C">
      <w:pPr>
        <w:pStyle w:val="Heading2"/>
      </w:pPr>
      <w:bookmarkStart w:id="3" w:name="_Toc133564583"/>
      <w:r>
        <w:t xml:space="preserve">Increased Energy Supply </w:t>
      </w:r>
      <w:r w:rsidR="003E7E5C">
        <w:t>and Contribution to the Economy</w:t>
      </w:r>
      <w:bookmarkEnd w:id="3"/>
    </w:p>
    <w:p w14:paraId="03FC8ED3" w14:textId="77777777" w:rsidR="003E7E5C" w:rsidRDefault="00451C92" w:rsidP="00B122FB">
      <w:pPr>
        <w:spacing w:line="480" w:lineRule="auto"/>
        <w:ind w:firstLine="720"/>
        <w:contextualSpacing/>
      </w:pPr>
      <w:r>
        <w:t xml:space="preserve">The annual electricity in the United Kingdom has continued to decline over the years. Currently, the aggregate demand for electricity is about 334.41 Terawatt per hour. The decline is attributable to increase innovation in manufacturing electrical appliances that </w:t>
      </w:r>
      <w:r>
        <w:lastRenderedPageBreak/>
        <w:t>consume less energy as well as more ef</w:t>
      </w:r>
      <w:r w:rsidR="000E51B8">
        <w:t>ficient energy sources</w:t>
      </w:r>
      <w:r w:rsidR="00AD7761">
        <w:t xml:space="preserve"> (Vella, 2020)</w:t>
      </w:r>
      <w:r w:rsidR="000E51B8">
        <w:t xml:space="preserve">. Despite the decline </w:t>
      </w:r>
      <w:r w:rsidR="005762AC">
        <w:t xml:space="preserve">in the absolute demand for electricity, there is a change in dynamic in that there is an increase in demand for low-carbon electricity in the UK. </w:t>
      </w:r>
      <w:r w:rsidR="00BC5921">
        <w:t xml:space="preserve">The following chart shows the mix of the various sources of energy in the UK. </w:t>
      </w:r>
    </w:p>
    <w:p w14:paraId="0AFFDFBD" w14:textId="77777777" w:rsidR="00BC5921" w:rsidRDefault="00E62468" w:rsidP="00B122FB">
      <w:pPr>
        <w:spacing w:line="480" w:lineRule="auto"/>
        <w:ind w:firstLine="720"/>
        <w:contextualSpacing/>
      </w:pPr>
      <w:r>
        <w:rPr>
          <w:noProof/>
          <w:lang w:eastAsia="en-GB"/>
        </w:rPr>
        <w:drawing>
          <wp:inline distT="0" distB="0" distL="0" distR="0" wp14:anchorId="6D98E2B6" wp14:editId="1D3E463F">
            <wp:extent cx="5143500" cy="3924300"/>
            <wp:effectExtent l="0" t="0" r="0" b="0"/>
            <wp:docPr id="2" name="Picture 2" descr="Share -uk -power -m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re -uk -power -mix"/>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43500" cy="3924300"/>
                    </a:xfrm>
                    <a:prstGeom prst="rect">
                      <a:avLst/>
                    </a:prstGeom>
                    <a:noFill/>
                    <a:ln>
                      <a:noFill/>
                    </a:ln>
                  </pic:spPr>
                </pic:pic>
              </a:graphicData>
            </a:graphic>
          </wp:inline>
        </w:drawing>
      </w:r>
    </w:p>
    <w:p w14:paraId="15371A26" w14:textId="77777777" w:rsidR="00963AD5" w:rsidRDefault="00963AD5" w:rsidP="00963AD5">
      <w:pPr>
        <w:spacing w:line="480" w:lineRule="auto"/>
        <w:ind w:firstLine="720"/>
        <w:contextualSpacing/>
        <w:jc w:val="center"/>
      </w:pPr>
      <w:r>
        <w:t>Source: (Evans, 2016)</w:t>
      </w:r>
    </w:p>
    <w:p w14:paraId="7DF2D807" w14:textId="77777777" w:rsidR="00E62468" w:rsidRDefault="00E62468" w:rsidP="00B122FB">
      <w:pPr>
        <w:spacing w:line="480" w:lineRule="auto"/>
        <w:ind w:firstLine="720"/>
        <w:contextualSpacing/>
      </w:pPr>
      <w:r>
        <w:t>The deduction is that Gas and Coal still account for a significant source of energy in the United Kingdom, with renewable energy accounting for a relatively low percentage of the sources of energy. Additionally, it is notable that nuclear energy only accounts for 19% of the energy sources before the completion of the Hinkley Point C project</w:t>
      </w:r>
      <w:r w:rsidR="00AD7761">
        <w:t xml:space="preserve"> (Evans, 2016)</w:t>
      </w:r>
      <w:r>
        <w:t xml:space="preserve">. Therefore, the completion of the project will help to boost the share of nuclear energy in supporting the energy needs of the UK population. It is also notable that </w:t>
      </w:r>
      <w:r w:rsidR="009360CF">
        <w:t xml:space="preserve">households are the greatest consumers of energy in the UK, following the transport sector. Consequently, the prospect of the Hinkley Point C project to support about 6 million households </w:t>
      </w:r>
      <w:r w:rsidR="0051718D">
        <w:t xml:space="preserve">will be critical </w:t>
      </w:r>
      <w:r w:rsidR="0051718D">
        <w:lastRenderedPageBreak/>
        <w:t>in ensuring that the vast majority of the energy users in the UK have access to efficient and cost-optimal sources</w:t>
      </w:r>
      <w:r w:rsidR="00084196">
        <w:t xml:space="preserve"> of energy. </w:t>
      </w:r>
    </w:p>
    <w:p w14:paraId="68567588" w14:textId="77777777" w:rsidR="00911ECA" w:rsidRDefault="00911ECA" w:rsidP="00B122FB">
      <w:pPr>
        <w:spacing w:line="480" w:lineRule="auto"/>
        <w:ind w:firstLine="720"/>
        <w:contextualSpacing/>
      </w:pPr>
      <w:r>
        <w:t>Besides bridging the demand</w:t>
      </w:r>
      <w:r w:rsidR="006101BD">
        <w:t xml:space="preserve"> for efficient</w:t>
      </w:r>
      <w:r>
        <w:t xml:space="preserve"> and low-carbon </w:t>
      </w:r>
      <w:r w:rsidR="006101BD">
        <w:t>sources of electricity</w:t>
      </w:r>
      <w:r w:rsidR="00601E7F">
        <w:t xml:space="preserve">, </w:t>
      </w:r>
      <w:r w:rsidR="00BB35B5">
        <w:t xml:space="preserve">the Hinkley Point C project is a success in the UK’s energy sector because of its contribution to the economy. </w:t>
      </w:r>
      <w:r w:rsidR="00DF146C">
        <w:t xml:space="preserve">At the current completion stage, the project has created </w:t>
      </w:r>
      <w:r w:rsidR="004523B6">
        <w:t>employment for about 22,000 people who are currently working on the project</w:t>
      </w:r>
      <w:r w:rsidR="008F24E8">
        <w:t xml:space="preserve"> (EDF, 2023)</w:t>
      </w:r>
      <w:r w:rsidR="004523B6">
        <w:t xml:space="preserve">. This is critical because it shows that despite improving the supply of energy in the country, the project has enhanced the growth of the economy by supporting employment. Indeed, the stakeholder theory of management contends that the sole goal of any organisation is not to maximise profit. Rather, every organisation should identify avenues through which it can maximise the welfare of other stakeholders. By creating employment for more than 22,000 UK citizens, the project is a success for the UK’s energy sector. Additionally, </w:t>
      </w:r>
      <w:r w:rsidR="0019167E">
        <w:t xml:space="preserve">the project has invested about </w:t>
      </w:r>
      <w:r w:rsidR="0019167E" w:rsidRPr="0019167E">
        <w:t>£</w:t>
      </w:r>
      <w:r w:rsidR="0019167E">
        <w:t>24 million in education and imparting employment-preparatory skills, as well as trained about 1,131 apprentices</w:t>
      </w:r>
      <w:r w:rsidR="008F24E8">
        <w:t xml:space="preserve"> (EDF, 2023)</w:t>
      </w:r>
      <w:r w:rsidR="0019167E">
        <w:t xml:space="preserve">. The hallmark effect of these factors is to accelerate the growth of the UK’s economy. Also, the extensive training will impart skills that will stimulate future innovations in the UK’s energy sector. </w:t>
      </w:r>
    </w:p>
    <w:p w14:paraId="57E7DF50" w14:textId="77777777" w:rsidR="0019167E" w:rsidRDefault="00D702DD" w:rsidP="00D702DD">
      <w:pPr>
        <w:pStyle w:val="Heading2"/>
      </w:pPr>
      <w:bookmarkStart w:id="4" w:name="_Toc133564584"/>
      <w:r>
        <w:t>Cost-Competitiveness Compared to Other Sources of Energy</w:t>
      </w:r>
      <w:bookmarkEnd w:id="4"/>
    </w:p>
    <w:p w14:paraId="756ED208" w14:textId="77777777" w:rsidR="00D702DD" w:rsidRDefault="007A40C2" w:rsidP="00B122FB">
      <w:pPr>
        <w:spacing w:line="480" w:lineRule="auto"/>
        <w:ind w:firstLine="720"/>
        <w:contextualSpacing/>
        <w:rPr>
          <w:rFonts w:cs="Times New Roman"/>
          <w:szCs w:val="24"/>
        </w:rPr>
      </w:pPr>
      <w:r>
        <w:t xml:space="preserve">The cost competitiveness of a project is one of the primary metrics </w:t>
      </w:r>
      <w:r w:rsidR="004822DE">
        <w:t>for</w:t>
      </w:r>
      <w:r>
        <w:t xml:space="preserve"> evaluating the success of </w:t>
      </w:r>
      <w:r w:rsidR="004822DE">
        <w:t xml:space="preserve">that project. However, it is important to evaluate these costs against the projected benefits. For the Hinkley Point C project, the cost can be measured by the strike price of </w:t>
      </w:r>
      <w:r w:rsidR="004822DE" w:rsidRPr="00E87AF0">
        <w:rPr>
          <w:rFonts w:cs="Times New Roman"/>
          <w:szCs w:val="24"/>
        </w:rPr>
        <w:t>£</w:t>
      </w:r>
      <w:r w:rsidR="004822DE">
        <w:rPr>
          <w:rFonts w:cs="Times New Roman"/>
          <w:szCs w:val="24"/>
        </w:rPr>
        <w:t>92.5 per MWh</w:t>
      </w:r>
      <w:r w:rsidR="00225819" w:rsidRPr="00225819">
        <w:t xml:space="preserve"> </w:t>
      </w:r>
      <w:r w:rsidR="00225819">
        <w:t>(GOV.UK, 2018)</w:t>
      </w:r>
      <w:r w:rsidR="004822DE">
        <w:rPr>
          <w:rFonts w:cs="Times New Roman"/>
          <w:szCs w:val="24"/>
        </w:rPr>
        <w:t xml:space="preserve">. </w:t>
      </w:r>
      <w:r w:rsidR="00DC7530">
        <w:rPr>
          <w:rFonts w:cs="Times New Roman"/>
          <w:szCs w:val="24"/>
        </w:rPr>
        <w:t xml:space="preserve">Notably, in this analysis, there is no comparison between the Hinkley Point C project and other nuclear sources of energy because of the unavailability of reliable data. Therefore, the comparison is against sources of electricity such as natural gas, onshore wind, large-scale solar energy, offshore wind, and </w:t>
      </w:r>
      <w:r w:rsidR="00DC7530" w:rsidRPr="00DC7530">
        <w:rPr>
          <w:rFonts w:cs="Times New Roman"/>
          <w:szCs w:val="24"/>
        </w:rPr>
        <w:t>Commercial FOAK CCS</w:t>
      </w:r>
      <w:r w:rsidR="00DC7530">
        <w:rPr>
          <w:rFonts w:cs="Times New Roman"/>
          <w:szCs w:val="24"/>
        </w:rPr>
        <w:t xml:space="preserve">. </w:t>
      </w:r>
      <w:r w:rsidR="00B63044">
        <w:rPr>
          <w:rFonts w:cs="Times New Roman"/>
          <w:szCs w:val="24"/>
        </w:rPr>
        <w:t xml:space="preserve">In comparing the strike price of the Hinkley Point C project against the noted alternatives, </w:t>
      </w:r>
      <w:r w:rsidR="00B63044">
        <w:rPr>
          <w:rFonts w:cs="Times New Roman"/>
          <w:szCs w:val="24"/>
        </w:rPr>
        <w:lastRenderedPageBreak/>
        <w:t xml:space="preserve">observations are made about the qualitative benefits </w:t>
      </w:r>
      <w:r w:rsidR="007C4E5E">
        <w:rPr>
          <w:rFonts w:cs="Times New Roman"/>
          <w:szCs w:val="24"/>
        </w:rPr>
        <w:t xml:space="preserve">of nuclear energy against the alternatives. </w:t>
      </w:r>
    </w:p>
    <w:p w14:paraId="377C722B" w14:textId="77777777" w:rsidR="00C34212" w:rsidRDefault="000C55B8" w:rsidP="00B122FB">
      <w:pPr>
        <w:spacing w:line="480" w:lineRule="auto"/>
        <w:ind w:firstLine="720"/>
        <w:contextualSpacing/>
        <w:rPr>
          <w:rFonts w:cs="Times New Roman"/>
          <w:szCs w:val="24"/>
        </w:rPr>
      </w:pPr>
      <w:r>
        <w:t xml:space="preserve">The average strike price for producing electricity from natural gas is about </w:t>
      </w:r>
      <w:r w:rsidRPr="00E87AF0">
        <w:rPr>
          <w:rFonts w:cs="Times New Roman"/>
          <w:szCs w:val="24"/>
        </w:rPr>
        <w:t>£</w:t>
      </w:r>
      <w:r>
        <w:rPr>
          <w:rFonts w:cs="Times New Roman"/>
          <w:szCs w:val="24"/>
        </w:rPr>
        <w:t>72 per MWh. This is about 16% lower than the cost of producing electricity from the Hinkley Point C project.  Although this cost is higher, it is important to note that using natural gases to produce energy is the largest contributor to carbon emissions in the UK economy</w:t>
      </w:r>
      <w:r w:rsidR="00225819" w:rsidRPr="00225819">
        <w:t xml:space="preserve"> </w:t>
      </w:r>
      <w:r w:rsidR="00225819">
        <w:t>(GOV.UK, 2018)</w:t>
      </w:r>
      <w:r>
        <w:rPr>
          <w:rFonts w:cs="Times New Roman"/>
          <w:szCs w:val="24"/>
        </w:rPr>
        <w:t xml:space="preserve">. Therefore, the marginal variance of 16% is justified because it accounts for the achievements in reducing carbon emissions, eliminating the carbon tax on UK households and companies, and </w:t>
      </w:r>
      <w:r w:rsidR="00BB5D57">
        <w:rPr>
          <w:rFonts w:cs="Times New Roman"/>
          <w:szCs w:val="24"/>
        </w:rPr>
        <w:t xml:space="preserve">the </w:t>
      </w:r>
      <w:r>
        <w:rPr>
          <w:rFonts w:cs="Times New Roman"/>
          <w:szCs w:val="24"/>
        </w:rPr>
        <w:t xml:space="preserve">overall social burden of high emissions. </w:t>
      </w:r>
    </w:p>
    <w:p w14:paraId="3C34BFCD" w14:textId="77777777" w:rsidR="007C4E5E" w:rsidRDefault="00BB5D57" w:rsidP="00B122FB">
      <w:pPr>
        <w:spacing w:line="480" w:lineRule="auto"/>
        <w:ind w:firstLine="720"/>
        <w:contextualSpacing/>
        <w:rPr>
          <w:rFonts w:cs="Times New Roman"/>
          <w:szCs w:val="24"/>
        </w:rPr>
      </w:pPr>
      <w:r>
        <w:rPr>
          <w:rFonts w:cs="Times New Roman"/>
          <w:szCs w:val="24"/>
        </w:rPr>
        <w:t xml:space="preserve">Similarly, the strike price for onshore and offshore wind power sources is </w:t>
      </w:r>
      <w:r w:rsidRPr="00E87AF0">
        <w:rPr>
          <w:rFonts w:cs="Times New Roman"/>
          <w:szCs w:val="24"/>
        </w:rPr>
        <w:t>£</w:t>
      </w:r>
      <w:r>
        <w:rPr>
          <w:rFonts w:cs="Times New Roman"/>
          <w:szCs w:val="24"/>
        </w:rPr>
        <w:t xml:space="preserve">71 and </w:t>
      </w:r>
      <w:r w:rsidRPr="00E87AF0">
        <w:rPr>
          <w:rFonts w:cs="Times New Roman"/>
          <w:szCs w:val="24"/>
        </w:rPr>
        <w:t>£</w:t>
      </w:r>
      <w:r>
        <w:rPr>
          <w:rFonts w:cs="Times New Roman"/>
          <w:szCs w:val="24"/>
        </w:rPr>
        <w:t xml:space="preserve">91 per MWh respectively. The notable feature is that the cost variances are marginal. The drawback of using offshore and onshore wind energy is that although these sources are renewable, they are not reliable hence the power output cannot be </w:t>
      </w:r>
      <w:r w:rsidR="00A573F4">
        <w:rPr>
          <w:rFonts w:cs="Times New Roman"/>
          <w:szCs w:val="24"/>
        </w:rPr>
        <w:t>reliably</w:t>
      </w:r>
      <w:r>
        <w:rPr>
          <w:rFonts w:cs="Times New Roman"/>
          <w:szCs w:val="24"/>
        </w:rPr>
        <w:t xml:space="preserve"> estimated</w:t>
      </w:r>
      <w:r w:rsidR="008E5C88">
        <w:rPr>
          <w:rFonts w:cs="Times New Roman"/>
          <w:szCs w:val="24"/>
        </w:rPr>
        <w:t xml:space="preserve"> </w:t>
      </w:r>
      <w:r w:rsidR="008E5C88">
        <w:t>(Smyth et al., 2018)</w:t>
      </w:r>
      <w:r>
        <w:rPr>
          <w:rFonts w:cs="Times New Roman"/>
          <w:szCs w:val="24"/>
        </w:rPr>
        <w:t xml:space="preserve">. In contrast, </w:t>
      </w:r>
      <w:r w:rsidR="00A573F4">
        <w:rPr>
          <w:rFonts w:cs="Times New Roman"/>
          <w:szCs w:val="24"/>
        </w:rPr>
        <w:t>the power output from the Hinkley Point C project can be reliably estimated for the next 60 years from the date the plan becomes operational</w:t>
      </w:r>
      <w:r w:rsidR="00225819" w:rsidRPr="00225819">
        <w:t xml:space="preserve"> </w:t>
      </w:r>
      <w:r w:rsidR="00225819">
        <w:t>(GOV.UK, 2018)</w:t>
      </w:r>
      <w:r w:rsidR="00A573F4">
        <w:rPr>
          <w:rFonts w:cs="Times New Roman"/>
          <w:szCs w:val="24"/>
        </w:rPr>
        <w:t xml:space="preserve">. </w:t>
      </w:r>
      <w:r w:rsidR="00105ACB">
        <w:rPr>
          <w:rFonts w:cs="Times New Roman"/>
          <w:szCs w:val="24"/>
        </w:rPr>
        <w:t xml:space="preserve">Drawing from these observations, it is prudent to contend that the Hinkley Point C project is a significant success </w:t>
      </w:r>
      <w:r w:rsidR="008258FA">
        <w:rPr>
          <w:rFonts w:cs="Times New Roman"/>
          <w:szCs w:val="24"/>
        </w:rPr>
        <w:t>for</w:t>
      </w:r>
      <w:r w:rsidR="00105ACB">
        <w:rPr>
          <w:rFonts w:cs="Times New Roman"/>
          <w:szCs w:val="24"/>
        </w:rPr>
        <w:t xml:space="preserve"> the UK’s energy sector. </w:t>
      </w:r>
    </w:p>
    <w:p w14:paraId="4EAEEFB1" w14:textId="77777777" w:rsidR="00105ACB" w:rsidRDefault="00C17EA2" w:rsidP="000722CD">
      <w:pPr>
        <w:spacing w:line="480" w:lineRule="auto"/>
        <w:ind w:firstLine="720"/>
        <w:contextualSpacing/>
        <w:rPr>
          <w:rFonts w:cs="Times New Roman"/>
          <w:szCs w:val="24"/>
        </w:rPr>
      </w:pPr>
      <w:r w:rsidRPr="00DC7530">
        <w:rPr>
          <w:rFonts w:cs="Times New Roman"/>
          <w:szCs w:val="24"/>
        </w:rPr>
        <w:t>Commercial FOAK CCS</w:t>
      </w:r>
      <w:r>
        <w:rPr>
          <w:rFonts w:cs="Times New Roman"/>
          <w:szCs w:val="24"/>
        </w:rPr>
        <w:t xml:space="preserve"> has the same objective as nuclear energy sources in that the goal is to reduce carbon emissions. </w:t>
      </w:r>
      <w:r w:rsidR="000722CD">
        <w:rPr>
          <w:rFonts w:cs="Times New Roman"/>
          <w:szCs w:val="24"/>
        </w:rPr>
        <w:t>However, the process of achieving this outcome for the former is more complicated making it more expensive than nuclear energy</w:t>
      </w:r>
      <w:r w:rsidR="00225819" w:rsidRPr="00225819">
        <w:t xml:space="preserve"> </w:t>
      </w:r>
      <w:r w:rsidR="00225819">
        <w:t>(Budinis et al., 2018)</w:t>
      </w:r>
      <w:r w:rsidR="000722CD">
        <w:rPr>
          <w:rFonts w:cs="Times New Roman"/>
          <w:szCs w:val="24"/>
        </w:rPr>
        <w:t xml:space="preserve">. Specifically, the strike price for </w:t>
      </w:r>
      <w:r w:rsidR="000722CD" w:rsidRPr="00DC7530">
        <w:rPr>
          <w:rFonts w:cs="Times New Roman"/>
          <w:szCs w:val="24"/>
        </w:rPr>
        <w:t>Commercial FOAK CCS</w:t>
      </w:r>
      <w:r w:rsidR="000722CD">
        <w:rPr>
          <w:rFonts w:cs="Times New Roman"/>
          <w:szCs w:val="24"/>
        </w:rPr>
        <w:t xml:space="preserve"> is about </w:t>
      </w:r>
      <w:r w:rsidR="000722CD" w:rsidRPr="000722CD">
        <w:rPr>
          <w:rFonts w:cs="Times New Roman"/>
          <w:szCs w:val="24"/>
        </w:rPr>
        <w:t>£</w:t>
      </w:r>
      <w:r w:rsidR="000722CD">
        <w:rPr>
          <w:rFonts w:cs="Times New Roman"/>
          <w:szCs w:val="24"/>
        </w:rPr>
        <w:t xml:space="preserve">155 making it about 67.57% more expensive than nuclear energy. It is also critical to note that since </w:t>
      </w:r>
      <w:r w:rsidR="000722CD" w:rsidRPr="00DC7530">
        <w:rPr>
          <w:rFonts w:cs="Times New Roman"/>
          <w:szCs w:val="24"/>
        </w:rPr>
        <w:t>Commercial FOAK CCS</w:t>
      </w:r>
      <w:r w:rsidR="000722CD">
        <w:rPr>
          <w:rFonts w:cs="Times New Roman"/>
          <w:szCs w:val="24"/>
        </w:rPr>
        <w:t xml:space="preserve"> involves a specific type of carbon recycling, its reliability cannot be </w:t>
      </w:r>
      <w:r w:rsidR="00C33F94">
        <w:rPr>
          <w:rFonts w:cs="Times New Roman"/>
          <w:szCs w:val="24"/>
        </w:rPr>
        <w:t>reliably</w:t>
      </w:r>
      <w:r w:rsidR="000722CD">
        <w:rPr>
          <w:rFonts w:cs="Times New Roman"/>
          <w:szCs w:val="24"/>
        </w:rPr>
        <w:t xml:space="preserve"> determined</w:t>
      </w:r>
      <w:r w:rsidR="00225819" w:rsidRPr="00225819">
        <w:t xml:space="preserve"> </w:t>
      </w:r>
      <w:r w:rsidR="00225819">
        <w:t>(Budinis et al., 2018)</w:t>
      </w:r>
      <w:r w:rsidR="000722CD">
        <w:rPr>
          <w:rFonts w:cs="Times New Roman"/>
          <w:szCs w:val="24"/>
        </w:rPr>
        <w:t xml:space="preserve">. Further, the energy from </w:t>
      </w:r>
      <w:r w:rsidR="000722CD" w:rsidRPr="00DC7530">
        <w:rPr>
          <w:rFonts w:cs="Times New Roman"/>
          <w:szCs w:val="24"/>
        </w:rPr>
        <w:t>Commercial FOAK CCS</w:t>
      </w:r>
      <w:r w:rsidR="000722CD">
        <w:rPr>
          <w:rFonts w:cs="Times New Roman"/>
          <w:szCs w:val="24"/>
        </w:rPr>
        <w:t xml:space="preserve"> is not consistent and cannot be forecasted over a long period of time. In contrast, the nuclear </w:t>
      </w:r>
      <w:r w:rsidR="000722CD">
        <w:rPr>
          <w:rFonts w:cs="Times New Roman"/>
          <w:szCs w:val="24"/>
        </w:rPr>
        <w:lastRenderedPageBreak/>
        <w:t xml:space="preserve">energy from the Hinkley Point C project </w:t>
      </w:r>
      <w:r w:rsidR="00C33F94">
        <w:rPr>
          <w:rFonts w:cs="Times New Roman"/>
          <w:szCs w:val="24"/>
        </w:rPr>
        <w:t xml:space="preserve">can be reliably estimated for the 60 years of the project’s operational life, and the extension thereafter. Therefore, even at the current completion stage, it is valid to contend that the project is a success for the UK’s energy sector, mainly because although the strike price is higher than alternatives when </w:t>
      </w:r>
      <w:r w:rsidR="00B87E22">
        <w:rPr>
          <w:rFonts w:cs="Times New Roman"/>
          <w:szCs w:val="24"/>
        </w:rPr>
        <w:t>measured</w:t>
      </w:r>
      <w:r w:rsidR="00C33F94">
        <w:rPr>
          <w:rFonts w:cs="Times New Roman"/>
          <w:szCs w:val="24"/>
        </w:rPr>
        <w:t xml:space="preserve"> in absolute terms, it is optimal when adjusted for the quantitative and qualitative benefits that are not factors in the primary strike price. </w:t>
      </w:r>
    </w:p>
    <w:p w14:paraId="282E3970" w14:textId="77777777" w:rsidR="0024296C" w:rsidRDefault="00E8134E" w:rsidP="00E8134E">
      <w:pPr>
        <w:pStyle w:val="Heading2"/>
      </w:pPr>
      <w:bookmarkStart w:id="5" w:name="_Toc133564585"/>
      <w:r>
        <w:t>Cost to the Consumers</w:t>
      </w:r>
      <w:bookmarkEnd w:id="5"/>
    </w:p>
    <w:p w14:paraId="105E32E4" w14:textId="77777777" w:rsidR="00E8134E" w:rsidRDefault="000C775A" w:rsidP="000722CD">
      <w:pPr>
        <w:spacing w:line="480" w:lineRule="auto"/>
        <w:ind w:firstLine="720"/>
        <w:contextualSpacing/>
        <w:rPr>
          <w:rFonts w:cs="Times New Roman"/>
          <w:szCs w:val="24"/>
        </w:rPr>
      </w:pPr>
      <w:r>
        <w:rPr>
          <w:rFonts w:cs="Times New Roman"/>
          <w:szCs w:val="24"/>
        </w:rPr>
        <w:t xml:space="preserve">The value of any source of energy is maximised when the purchasing price for the consumers is competitive against </w:t>
      </w:r>
      <w:r w:rsidR="00100FB8">
        <w:rPr>
          <w:rFonts w:cs="Times New Roman"/>
          <w:szCs w:val="24"/>
        </w:rPr>
        <w:t>the alternatives in the market. One of the concerns for the Hinkley Point C project is that due to the cost overruns and the extensive delay in the completion of the project, there would be critical cost implications with the burden being passed on to the consumers. However, the structure of the financing contract of the project protects consumers from price increments resulting from budget overruns</w:t>
      </w:r>
      <w:r w:rsidR="00A21F33">
        <w:rPr>
          <w:rFonts w:cs="Times New Roman"/>
          <w:szCs w:val="24"/>
        </w:rPr>
        <w:t xml:space="preserve"> </w:t>
      </w:r>
      <w:r w:rsidR="00A21F33">
        <w:t>(GOV.UK, 2018)</w:t>
      </w:r>
      <w:r w:rsidR="00100FB8">
        <w:rPr>
          <w:rFonts w:cs="Times New Roman"/>
          <w:szCs w:val="24"/>
        </w:rPr>
        <w:t>. Specifically</w:t>
      </w:r>
      <w:r w:rsidR="00AC3E4A">
        <w:rPr>
          <w:rFonts w:cs="Times New Roman"/>
          <w:szCs w:val="24"/>
        </w:rPr>
        <w:t xml:space="preserve">, </w:t>
      </w:r>
      <w:r w:rsidR="00380ED4">
        <w:rPr>
          <w:rFonts w:cs="Times New Roman"/>
          <w:szCs w:val="24"/>
        </w:rPr>
        <w:t xml:space="preserve">the contract stipulates the contractor will offset the financial burden if the completion cost exceeds the budget. Further, the government has set the consumer prices at the strike price of </w:t>
      </w:r>
      <w:r w:rsidR="00380ED4" w:rsidRPr="00E87AF0">
        <w:rPr>
          <w:rFonts w:cs="Times New Roman"/>
          <w:szCs w:val="24"/>
        </w:rPr>
        <w:t>£</w:t>
      </w:r>
      <w:r w:rsidR="00380ED4">
        <w:rPr>
          <w:rFonts w:cs="Times New Roman"/>
          <w:szCs w:val="24"/>
        </w:rPr>
        <w:t>92.5, with consumers offsetting the difference if the wholesale prices fall below this level</w:t>
      </w:r>
      <w:r w:rsidR="00A21F33">
        <w:rPr>
          <w:rFonts w:cs="Times New Roman"/>
          <w:szCs w:val="24"/>
        </w:rPr>
        <w:t xml:space="preserve"> </w:t>
      </w:r>
      <w:r w:rsidR="00A21F33">
        <w:t>(GOV.UK, 2018)</w:t>
      </w:r>
      <w:r w:rsidR="00380ED4">
        <w:rPr>
          <w:rFonts w:cs="Times New Roman"/>
          <w:szCs w:val="24"/>
        </w:rPr>
        <w:t xml:space="preserve">. Arguably, consumers will incur a significant cost on electricity, but the benefits can be justified on account of helping the UK achieve the decarbonisation goals and ensure consistent and reliable sources of energy for household and commercial use. </w:t>
      </w:r>
    </w:p>
    <w:p w14:paraId="08D306F5" w14:textId="77777777" w:rsidR="00C033E6" w:rsidRDefault="00DC641F" w:rsidP="00DC641F">
      <w:pPr>
        <w:pStyle w:val="Heading2"/>
      </w:pPr>
      <w:bookmarkStart w:id="6" w:name="_Toc133564586"/>
      <w:r>
        <w:t>Supporting the Environment</w:t>
      </w:r>
      <w:bookmarkEnd w:id="6"/>
    </w:p>
    <w:p w14:paraId="22BEAC56" w14:textId="77777777" w:rsidR="00DC641F" w:rsidRDefault="002C01F8" w:rsidP="000722CD">
      <w:pPr>
        <w:spacing w:line="480" w:lineRule="auto"/>
        <w:ind w:firstLine="720"/>
        <w:contextualSpacing/>
        <w:rPr>
          <w:rFonts w:cs="Times New Roman"/>
          <w:szCs w:val="24"/>
        </w:rPr>
      </w:pPr>
      <w:r>
        <w:rPr>
          <w:rFonts w:cs="Times New Roman"/>
          <w:szCs w:val="24"/>
        </w:rPr>
        <w:t xml:space="preserve">The Hinkley Point C project is financed by private enterprises in partnership with government agencies. Therefore, it is prudent to evaluate the financial metrics on the basis of the fact that the shareholders expect a return from the investment. Indeed, the financiers of the project expect to recoup the initial investment and an appropriate return over the life of </w:t>
      </w:r>
      <w:r>
        <w:rPr>
          <w:rFonts w:cs="Times New Roman"/>
          <w:szCs w:val="24"/>
        </w:rPr>
        <w:lastRenderedPageBreak/>
        <w:t xml:space="preserve">the project. According to the agency theory of management, the primary focus of managing this project should be to maximise shareholder return. However, the Hinkley Point C project has deviated from this project and embraced environmental conservation, making it a success for the UK’s energy sector. The principal means by which this has been achieved is by reducing carbon emissions. Additionally, during the construction period, the steel used in the project includes 98% of recycled steel, which has enhanced environmental conservation by reducing wastage. It is also notable that the contractor has planted about 65,000 trees around the construction areas. Although these benefits cannot be quantified in monetary terms, </w:t>
      </w:r>
      <w:r w:rsidR="00766082">
        <w:rPr>
          <w:rFonts w:cs="Times New Roman"/>
          <w:szCs w:val="24"/>
        </w:rPr>
        <w:t xml:space="preserve">they validate the success of the project in generating value for the environment in which it operates, besides maximising the interests of the shareholders as required by the conventional finance theory. </w:t>
      </w:r>
    </w:p>
    <w:p w14:paraId="07E63616" w14:textId="77777777" w:rsidR="00766082" w:rsidRDefault="004563A7" w:rsidP="004563A7">
      <w:pPr>
        <w:pStyle w:val="Heading1"/>
      </w:pPr>
      <w:bookmarkStart w:id="7" w:name="_Toc133564587"/>
      <w:r>
        <w:t>Lessons from the Hinkley Point C Project</w:t>
      </w:r>
      <w:bookmarkEnd w:id="7"/>
    </w:p>
    <w:p w14:paraId="25B5B17A" w14:textId="77777777" w:rsidR="004563A7" w:rsidRDefault="003A1122" w:rsidP="000722CD">
      <w:pPr>
        <w:spacing w:line="480" w:lineRule="auto"/>
        <w:ind w:firstLine="720"/>
        <w:contextualSpacing/>
        <w:rPr>
          <w:rFonts w:cs="Times New Roman"/>
          <w:szCs w:val="24"/>
        </w:rPr>
      </w:pPr>
      <w:r>
        <w:rPr>
          <w:rFonts w:cs="Times New Roman"/>
          <w:szCs w:val="24"/>
        </w:rPr>
        <w:t xml:space="preserve">Despite the overall success of the project for the UK’s energy sector, </w:t>
      </w:r>
      <w:r w:rsidR="00D00EBE">
        <w:rPr>
          <w:rFonts w:cs="Times New Roman"/>
          <w:szCs w:val="24"/>
        </w:rPr>
        <w:t xml:space="preserve">the errors experienced in the project can be used to inform future implementation of similar projects in the UK and across the globe.  </w:t>
      </w:r>
      <w:r w:rsidR="00752EF0">
        <w:rPr>
          <w:rFonts w:cs="Times New Roman"/>
          <w:szCs w:val="24"/>
        </w:rPr>
        <w:t xml:space="preserve">The first lesson is on contingency budgeting. The current completion budget is expected to be between </w:t>
      </w:r>
      <w:r w:rsidR="00752EF0" w:rsidRPr="00E87AF0">
        <w:rPr>
          <w:rFonts w:cs="Times New Roman"/>
          <w:szCs w:val="24"/>
        </w:rPr>
        <w:t>£</w:t>
      </w:r>
      <w:r w:rsidR="00752EF0">
        <w:rPr>
          <w:rFonts w:cs="Times New Roman"/>
          <w:szCs w:val="24"/>
        </w:rPr>
        <w:t xml:space="preserve">25 billion and </w:t>
      </w:r>
      <w:r w:rsidR="00752EF0" w:rsidRPr="00E87AF0">
        <w:rPr>
          <w:rFonts w:cs="Times New Roman"/>
          <w:szCs w:val="24"/>
        </w:rPr>
        <w:t>£</w:t>
      </w:r>
      <w:r w:rsidR="00752EF0">
        <w:rPr>
          <w:rFonts w:cs="Times New Roman"/>
          <w:szCs w:val="24"/>
        </w:rPr>
        <w:t>26 billion which demonstrates a significant budget overrun. The variances between the actual and the budgeted amount have resulted mainly from the effects of the COVID-19 pandemic that disrupted the supply chain for materials and impaired labour availability. Moving into the future, the recommendation is for similar projects to have contingency budgets. This would ensure that funds are available to facilitate the completion of the project even after cost overruns</w:t>
      </w:r>
      <w:r w:rsidR="008E5C88">
        <w:rPr>
          <w:rFonts w:cs="Times New Roman"/>
          <w:szCs w:val="24"/>
        </w:rPr>
        <w:t xml:space="preserve"> </w:t>
      </w:r>
      <w:r w:rsidR="008E5C88">
        <w:t>(Daniel &amp; Daniel, 2019)</w:t>
      </w:r>
      <w:r w:rsidR="00752EF0">
        <w:rPr>
          <w:rFonts w:cs="Times New Roman"/>
          <w:szCs w:val="24"/>
        </w:rPr>
        <w:t xml:space="preserve">.  </w:t>
      </w:r>
    </w:p>
    <w:p w14:paraId="466653BC" w14:textId="77777777" w:rsidR="00370530" w:rsidRDefault="00370530" w:rsidP="000722CD">
      <w:pPr>
        <w:spacing w:line="480" w:lineRule="auto"/>
        <w:ind w:firstLine="720"/>
        <w:contextualSpacing/>
        <w:rPr>
          <w:rFonts w:cs="Times New Roman"/>
          <w:szCs w:val="24"/>
        </w:rPr>
      </w:pPr>
      <w:r>
        <w:rPr>
          <w:rFonts w:cs="Times New Roman"/>
          <w:szCs w:val="24"/>
        </w:rPr>
        <w:t xml:space="preserve">Another lesson is the need to identify the deliverables at every stage of the implementation. This allows for remedial actions to be applied immediately after gaps are identified. The goal is to ensure that the errors of overruns in one implementation phase do </w:t>
      </w:r>
      <w:r>
        <w:rPr>
          <w:rFonts w:cs="Times New Roman"/>
          <w:szCs w:val="24"/>
        </w:rPr>
        <w:lastRenderedPageBreak/>
        <w:t>not escalate to other stages of the project and ultimately affect the entire budget</w:t>
      </w:r>
      <w:r w:rsidR="008E5C88">
        <w:rPr>
          <w:rFonts w:cs="Times New Roman"/>
          <w:szCs w:val="24"/>
        </w:rPr>
        <w:t xml:space="preserve"> </w:t>
      </w:r>
      <w:r w:rsidR="008E5C88">
        <w:t>(Daniel &amp; Daniel, 2019)</w:t>
      </w:r>
      <w:r>
        <w:rPr>
          <w:rFonts w:cs="Times New Roman"/>
          <w:szCs w:val="24"/>
        </w:rPr>
        <w:t xml:space="preserve">. </w:t>
      </w:r>
    </w:p>
    <w:p w14:paraId="5EA738E6" w14:textId="77777777" w:rsidR="00370530" w:rsidRDefault="00370530" w:rsidP="00370530">
      <w:pPr>
        <w:pStyle w:val="Heading1"/>
      </w:pPr>
      <w:bookmarkStart w:id="8" w:name="_Toc133564588"/>
      <w:r>
        <w:t>Conclusion</w:t>
      </w:r>
      <w:bookmarkEnd w:id="8"/>
    </w:p>
    <w:p w14:paraId="503EB515" w14:textId="77777777" w:rsidR="00D72495" w:rsidRDefault="001F4FC5" w:rsidP="000722CD">
      <w:pPr>
        <w:spacing w:line="480" w:lineRule="auto"/>
        <w:ind w:firstLine="720"/>
        <w:contextualSpacing/>
        <w:rPr>
          <w:rFonts w:cs="Times New Roman"/>
          <w:szCs w:val="24"/>
        </w:rPr>
      </w:pPr>
      <w:r>
        <w:rPr>
          <w:rFonts w:cs="Times New Roman"/>
          <w:szCs w:val="24"/>
        </w:rPr>
        <w:t xml:space="preserve">As one of the largest contributors to carbon emissions in Europe, the implementation of the Hinkley Point C project in the UK is opportune and will draw numerous benefits to the UK population. </w:t>
      </w:r>
      <w:r w:rsidR="00A93BE1">
        <w:rPr>
          <w:rFonts w:cs="Times New Roman"/>
          <w:szCs w:val="24"/>
        </w:rPr>
        <w:t>Although the budget and the timelines have surpassed the initial plan</w:t>
      </w:r>
      <w:r w:rsidR="009272E9">
        <w:rPr>
          <w:rFonts w:cs="Times New Roman"/>
          <w:szCs w:val="24"/>
        </w:rPr>
        <w:t xml:space="preserve">, </w:t>
      </w:r>
      <w:r w:rsidR="00B06E31">
        <w:rPr>
          <w:rFonts w:cs="Times New Roman"/>
          <w:szCs w:val="24"/>
        </w:rPr>
        <w:t xml:space="preserve">the completion of the project will overcome this drawback and the incidental negative effects by creating several benefits. First, the project will reduce aggregate carbon emissions in the United Kingdom by ensuring that over 6 million households have access to nuclear energy. This will account for about 7% of the total demand for energy in the UK. </w:t>
      </w:r>
    </w:p>
    <w:p w14:paraId="10B5C531" w14:textId="77777777" w:rsidR="00AC0EED" w:rsidRDefault="00B06E31" w:rsidP="000722CD">
      <w:pPr>
        <w:spacing w:line="480" w:lineRule="auto"/>
        <w:ind w:firstLine="720"/>
        <w:contextualSpacing/>
        <w:rPr>
          <w:rFonts w:cs="Times New Roman"/>
          <w:szCs w:val="24"/>
        </w:rPr>
      </w:pPr>
      <w:r>
        <w:rPr>
          <w:rFonts w:cs="Times New Roman"/>
          <w:szCs w:val="24"/>
        </w:rPr>
        <w:t xml:space="preserve">Further, the project is a success for the UK’s energy sector because it will increase the overall supply of energy in the UK. Ideally, an increase in supply coupled with a downward trajectory in the demand for energy in the UK will induce a decline in energy prices. It is also notable that the project has created numerous benefits during the implementation phase by creating employment, sponsoring education programs, and on-job training at the plant. </w:t>
      </w:r>
      <w:r w:rsidR="0077431E">
        <w:rPr>
          <w:rFonts w:cs="Times New Roman"/>
          <w:szCs w:val="24"/>
        </w:rPr>
        <w:t xml:space="preserve">Accounting for the qualitative and quantitative effects of using nuclear energy, it is arguable that the strike price of </w:t>
      </w:r>
      <w:r w:rsidR="0077431E" w:rsidRPr="00E87AF0">
        <w:rPr>
          <w:rFonts w:cs="Times New Roman"/>
          <w:szCs w:val="24"/>
        </w:rPr>
        <w:t>£</w:t>
      </w:r>
      <w:r w:rsidR="0077431E">
        <w:rPr>
          <w:rFonts w:cs="Times New Roman"/>
          <w:szCs w:val="24"/>
        </w:rPr>
        <w:t xml:space="preserve">92.5 is competitive compared to alternative sources of energy, primarily because the alternatives increase the social and economic costs associated with carbon emissions. These benefits will trickle to the consumers since the contact shields the consumers from bearing the cost of the budget overruns. Overall, the lessons that are to be learned relate to ensuring that there is a contingency budget to account for unforeseen circumstances in the completion of the project. </w:t>
      </w:r>
    </w:p>
    <w:p w14:paraId="285AA51F" w14:textId="77777777" w:rsidR="00AC0EED" w:rsidRDefault="00AC0EED">
      <w:pPr>
        <w:rPr>
          <w:rFonts w:cs="Times New Roman"/>
          <w:szCs w:val="24"/>
        </w:rPr>
      </w:pPr>
      <w:r>
        <w:rPr>
          <w:rFonts w:cs="Times New Roman"/>
          <w:szCs w:val="24"/>
        </w:rPr>
        <w:br w:type="page"/>
      </w:r>
    </w:p>
    <w:p w14:paraId="387D5235" w14:textId="77777777" w:rsidR="00370530" w:rsidRDefault="00AC0EED" w:rsidP="00AC0EED">
      <w:pPr>
        <w:pStyle w:val="Heading1"/>
      </w:pPr>
      <w:bookmarkStart w:id="9" w:name="_Toc133564589"/>
      <w:r>
        <w:lastRenderedPageBreak/>
        <w:t>References List</w:t>
      </w:r>
      <w:bookmarkEnd w:id="9"/>
    </w:p>
    <w:p w14:paraId="3AC77AB8" w14:textId="77777777" w:rsidR="00AC0EED" w:rsidRDefault="00AC0EED" w:rsidP="00AC0EED">
      <w:pPr>
        <w:spacing w:line="480" w:lineRule="auto"/>
        <w:ind w:left="720" w:hanging="720"/>
      </w:pPr>
      <w:r>
        <w:t xml:space="preserve">Budinis, S. </w:t>
      </w:r>
      <w:r>
        <w:rPr>
          <w:i/>
          <w:iCs/>
        </w:rPr>
        <w:t>et al.</w:t>
      </w:r>
      <w:r>
        <w:t xml:space="preserve"> (2018) “An assessment of CCS costs, barriers and potential,” </w:t>
      </w:r>
      <w:r>
        <w:rPr>
          <w:i/>
          <w:iCs/>
        </w:rPr>
        <w:t>Energy Strategy Reviews</w:t>
      </w:r>
      <w:r>
        <w:t xml:space="preserve">, 22, pp. 61–81. Available at: https://doi.org/10.1016/j.esr.2018.08.003. </w:t>
      </w:r>
    </w:p>
    <w:p w14:paraId="11BBB8EB" w14:textId="77777777" w:rsidR="00AC0EED" w:rsidRDefault="00AC0EED" w:rsidP="00AC0EED">
      <w:pPr>
        <w:spacing w:line="480" w:lineRule="auto"/>
        <w:ind w:left="720" w:hanging="720"/>
      </w:pPr>
      <w:r>
        <w:t xml:space="preserve">Christenson, A. (2022) </w:t>
      </w:r>
      <w:r>
        <w:rPr>
          <w:i/>
          <w:iCs/>
        </w:rPr>
        <w:t>Greenhouse gas emissions and other environment measures, UK and European countries: 2020</w:t>
      </w:r>
      <w:r>
        <w:t xml:space="preserve">, </w:t>
      </w:r>
      <w:r>
        <w:rPr>
          <w:i/>
          <w:iCs/>
        </w:rPr>
        <w:t>Greenhouse gas emissions and other environment measures, UK and European countries - Office for National Statistics</w:t>
      </w:r>
      <w:r>
        <w:t xml:space="preserve">. Office for National Statistics. Available at: https://www.ons.gov.uk/economy/environmentalaccounts/articles/comparinggreenhousegasemissionsukandeuropeancountries/2020 (Accessed: April 28, 2023). </w:t>
      </w:r>
    </w:p>
    <w:p w14:paraId="69B1BB34" w14:textId="77777777" w:rsidR="00AC0EED" w:rsidRDefault="00AC0EED" w:rsidP="00AC0EED">
      <w:pPr>
        <w:spacing w:line="480" w:lineRule="auto"/>
        <w:ind w:left="720" w:hanging="720"/>
      </w:pPr>
      <w:r>
        <w:t xml:space="preserve">Daniel, E. and Daniel, P.A. (2019) “Megaprojects as complex adaptive systems: The Hinkley Point C Case,” </w:t>
      </w:r>
      <w:r>
        <w:rPr>
          <w:i/>
          <w:iCs/>
        </w:rPr>
        <w:t>International Journal of Project Management</w:t>
      </w:r>
      <w:r>
        <w:t xml:space="preserve">, 37(8), pp. 1017–1033. Available at: https://doi.org/10.1016/j.ijproman.2019.05.001. </w:t>
      </w:r>
    </w:p>
    <w:p w14:paraId="62679DB1" w14:textId="77777777" w:rsidR="00AC0EED" w:rsidRDefault="00AC0EED" w:rsidP="00AC0EED">
      <w:pPr>
        <w:spacing w:line="480" w:lineRule="auto"/>
        <w:ind w:left="720" w:hanging="720"/>
      </w:pPr>
      <w:r>
        <w:t xml:space="preserve">EDF (2023) </w:t>
      </w:r>
      <w:r>
        <w:rPr>
          <w:i/>
          <w:iCs/>
        </w:rPr>
        <w:t>Hinkley Point C</w:t>
      </w:r>
      <w:r>
        <w:t xml:space="preserve">, </w:t>
      </w:r>
      <w:r>
        <w:rPr>
          <w:i/>
          <w:iCs/>
        </w:rPr>
        <w:t>EDF</w:t>
      </w:r>
      <w:r>
        <w:t xml:space="preserve">. Available at: https://www.edfenergy.com/energy/nuclear-new-build-projects/hinkley-point-c (Accessed: April 28, 2023). </w:t>
      </w:r>
    </w:p>
    <w:p w14:paraId="3C198D68" w14:textId="77777777" w:rsidR="00AC0EED" w:rsidRDefault="00AC0EED" w:rsidP="00AC0EED">
      <w:pPr>
        <w:spacing w:line="480" w:lineRule="auto"/>
        <w:ind w:left="720" w:hanging="720"/>
      </w:pPr>
      <w:r>
        <w:t xml:space="preserve">Egbumokei, C. (2022) </w:t>
      </w:r>
      <w:r>
        <w:rPr>
          <w:i/>
          <w:iCs/>
        </w:rPr>
        <w:t>UK Environmental Accounts: 2022</w:t>
      </w:r>
      <w:r>
        <w:t xml:space="preserve">, </w:t>
      </w:r>
      <w:r>
        <w:rPr>
          <w:i/>
          <w:iCs/>
        </w:rPr>
        <w:t>UK Environmental Accounts - Office for National Statistics</w:t>
      </w:r>
      <w:r>
        <w:t xml:space="preserve">. Office for National Statistics. Available at: https://www.ons.gov.uk/economy/environmentalaccounts/bulletins/ukenvironmentalaccounts/2022 (Accessed: April 28, 2023). </w:t>
      </w:r>
    </w:p>
    <w:p w14:paraId="3B529D28" w14:textId="77777777" w:rsidR="00AC0EED" w:rsidRDefault="00AC0EED" w:rsidP="00AC0EED">
      <w:pPr>
        <w:spacing w:line="480" w:lineRule="auto"/>
        <w:ind w:left="720" w:hanging="720"/>
      </w:pPr>
      <w:r>
        <w:t xml:space="preserve">Evans, S. (2016) </w:t>
      </w:r>
      <w:r>
        <w:rPr>
          <w:i/>
          <w:iCs/>
        </w:rPr>
        <w:t>Five charts show the historic shifts in UK energy last year</w:t>
      </w:r>
      <w:r>
        <w:t xml:space="preserve">, </w:t>
      </w:r>
      <w:r>
        <w:rPr>
          <w:i/>
          <w:iCs/>
        </w:rPr>
        <w:t>Carbon Brief</w:t>
      </w:r>
      <w:r>
        <w:t xml:space="preserve">. Available at: https://www.carbonbrief.org/five-charts-show-the-historic-shifts-in-uk-energy-last-year/ (Accessed: April 28, 2023). </w:t>
      </w:r>
    </w:p>
    <w:p w14:paraId="6B63E138" w14:textId="77777777" w:rsidR="00AC0EED" w:rsidRDefault="00AC0EED" w:rsidP="00AC0EED">
      <w:pPr>
        <w:spacing w:line="480" w:lineRule="auto"/>
        <w:ind w:left="720" w:hanging="720"/>
      </w:pPr>
      <w:r>
        <w:lastRenderedPageBreak/>
        <w:t xml:space="preserve">GOV.UK (2018) </w:t>
      </w:r>
      <w:r>
        <w:rPr>
          <w:i/>
          <w:iCs/>
        </w:rPr>
        <w:t>Hinkley Point C</w:t>
      </w:r>
      <w:r>
        <w:t xml:space="preserve">, </w:t>
      </w:r>
      <w:r>
        <w:rPr>
          <w:i/>
          <w:iCs/>
        </w:rPr>
        <w:t>GOV.UK</w:t>
      </w:r>
      <w:r>
        <w:t xml:space="preserve">. GOV.UK. Available at: https://www.gov.uk/government/collections/hinkley-point-c (Accessed: April 28, 2023). </w:t>
      </w:r>
    </w:p>
    <w:p w14:paraId="71C40B71" w14:textId="77777777" w:rsidR="00AC0EED" w:rsidRDefault="00AC0EED" w:rsidP="00AC0EED">
      <w:pPr>
        <w:spacing w:line="480" w:lineRule="auto"/>
        <w:ind w:left="720" w:hanging="720"/>
      </w:pPr>
      <w:r>
        <w:t xml:space="preserve">Smyth, H., </w:t>
      </w:r>
      <w:proofErr w:type="spellStart"/>
      <w:r>
        <w:t>Lecoeuvre</w:t>
      </w:r>
      <w:proofErr w:type="spellEnd"/>
      <w:r>
        <w:t xml:space="preserve">, L. and </w:t>
      </w:r>
      <w:proofErr w:type="spellStart"/>
      <w:r>
        <w:t>Vaesken</w:t>
      </w:r>
      <w:proofErr w:type="spellEnd"/>
      <w:r>
        <w:t xml:space="preserve">, P. (2018) “Co-creation of value and the project context: Towards application on the case of Hinkley Point C Nuclear Power Station,” </w:t>
      </w:r>
      <w:r>
        <w:rPr>
          <w:i/>
          <w:iCs/>
        </w:rPr>
        <w:t>International Journal of Project Management</w:t>
      </w:r>
      <w:r>
        <w:t xml:space="preserve">, 36(1), pp. 170–183. Available at: https://doi.org/10.1016/j.ijproman.2017.04.013. </w:t>
      </w:r>
    </w:p>
    <w:p w14:paraId="08F7CFB0" w14:textId="77777777" w:rsidR="00AC0EED" w:rsidRDefault="00AC0EED" w:rsidP="00AC0EED">
      <w:pPr>
        <w:spacing w:line="480" w:lineRule="auto"/>
        <w:ind w:left="720" w:hanging="720"/>
      </w:pPr>
      <w:r>
        <w:t xml:space="preserve">Statista (2023) </w:t>
      </w:r>
      <w:r>
        <w:rPr>
          <w:i/>
          <w:iCs/>
        </w:rPr>
        <w:t>UK: GHG Emissions 1990-2022</w:t>
      </w:r>
      <w:r>
        <w:t xml:space="preserve">, </w:t>
      </w:r>
      <w:r>
        <w:rPr>
          <w:i/>
          <w:iCs/>
        </w:rPr>
        <w:t>Statista</w:t>
      </w:r>
      <w:r>
        <w:t xml:space="preserve">. Available at: https://www.statista.com/statistics/326902/greenhouse-gas-emissions-in-the-united-kingdom-uk/ (Accessed: April 28, 2023). </w:t>
      </w:r>
    </w:p>
    <w:p w14:paraId="25E73A20" w14:textId="77777777" w:rsidR="00AC0EED" w:rsidRDefault="00AC0EED" w:rsidP="00AC0EED">
      <w:pPr>
        <w:spacing w:line="480" w:lineRule="auto"/>
        <w:ind w:left="720" w:hanging="720"/>
      </w:pPr>
      <w:r>
        <w:t xml:space="preserve">Vella, H. (2020) </w:t>
      </w:r>
      <w:r>
        <w:rPr>
          <w:i/>
          <w:iCs/>
        </w:rPr>
        <w:t>What's driving the fall in UK energy demand and can it last?</w:t>
      </w:r>
      <w:r>
        <w:t xml:space="preserve">, </w:t>
      </w:r>
      <w:r>
        <w:rPr>
          <w:i/>
          <w:iCs/>
        </w:rPr>
        <w:t>Power Technology</w:t>
      </w:r>
      <w:r>
        <w:t xml:space="preserve">. Available at: https://www.power-technology.com/features/featurewhats-driving-the-fall-in-uk-energy-demand-and-can-it-last-5819050/ (Accessed: April 28, 2023). </w:t>
      </w:r>
    </w:p>
    <w:p w14:paraId="32ADB764" w14:textId="77777777" w:rsidR="00AC0EED" w:rsidRDefault="00AC0EED" w:rsidP="00AC0EED">
      <w:pPr>
        <w:rPr>
          <w:rFonts w:cs="Times New Roman"/>
          <w:szCs w:val="24"/>
        </w:rPr>
      </w:pPr>
    </w:p>
    <w:p w14:paraId="4D614208" w14:textId="77777777" w:rsidR="00C33F94" w:rsidRDefault="00B06E31" w:rsidP="000722CD">
      <w:pPr>
        <w:spacing w:line="480" w:lineRule="auto"/>
        <w:ind w:firstLine="720"/>
        <w:contextualSpacing/>
        <w:rPr>
          <w:rFonts w:cs="Times New Roman"/>
          <w:szCs w:val="24"/>
        </w:rPr>
      </w:pPr>
      <w:r>
        <w:rPr>
          <w:rFonts w:cs="Times New Roman"/>
          <w:szCs w:val="24"/>
        </w:rPr>
        <w:t xml:space="preserve"> </w:t>
      </w:r>
    </w:p>
    <w:p w14:paraId="272F0A6B" w14:textId="77777777" w:rsidR="00A573F4" w:rsidRDefault="00A573F4" w:rsidP="00B122FB">
      <w:pPr>
        <w:spacing w:line="480" w:lineRule="auto"/>
        <w:ind w:firstLine="720"/>
        <w:contextualSpacing/>
      </w:pPr>
    </w:p>
    <w:p w14:paraId="52AF78B9" w14:textId="77777777" w:rsidR="00084196" w:rsidRPr="00B122FB" w:rsidRDefault="00084196" w:rsidP="00B122FB">
      <w:pPr>
        <w:spacing w:line="480" w:lineRule="auto"/>
        <w:ind w:firstLine="720"/>
        <w:contextualSpacing/>
      </w:pPr>
    </w:p>
    <w:sectPr w:rsidR="00084196" w:rsidRPr="00B122FB">
      <w:head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BE10A2" w14:textId="77777777" w:rsidR="00F72815" w:rsidRDefault="00F72815" w:rsidP="00AF09AD">
      <w:pPr>
        <w:spacing w:after="0" w:line="240" w:lineRule="auto"/>
      </w:pPr>
      <w:r>
        <w:separator/>
      </w:r>
    </w:p>
  </w:endnote>
  <w:endnote w:type="continuationSeparator" w:id="0">
    <w:p w14:paraId="49D19FA8" w14:textId="77777777" w:rsidR="00F72815" w:rsidRDefault="00F72815" w:rsidP="00AF09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Unicode MS">
    <w:panose1 w:val="020B0604020202020204"/>
    <w:charset w:val="80"/>
    <w:family w:val="swiss"/>
    <w:pitch w:val="variable"/>
    <w:sig w:usb0="F7FFAFFF" w:usb1="E9DFFFFF" w:usb2="0000003F" w:usb3="00000000" w:csb0="003F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19A88A" w14:textId="77777777" w:rsidR="00F72815" w:rsidRDefault="00F72815" w:rsidP="00AF09AD">
      <w:pPr>
        <w:spacing w:after="0" w:line="240" w:lineRule="auto"/>
      </w:pPr>
      <w:r>
        <w:separator/>
      </w:r>
    </w:p>
  </w:footnote>
  <w:footnote w:type="continuationSeparator" w:id="0">
    <w:p w14:paraId="51C490AE" w14:textId="77777777" w:rsidR="00F72815" w:rsidRDefault="00F72815" w:rsidP="00AF09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8C09C4" w14:textId="77777777" w:rsidR="00AF09AD" w:rsidRPr="00AF09AD" w:rsidRDefault="00AF09AD">
    <w:pPr>
      <w:pStyle w:val="Header"/>
      <w:jc w:val="right"/>
      <w:rPr>
        <w:rFonts w:cs="Times New Roman"/>
      </w:rPr>
    </w:pPr>
    <w:r w:rsidRPr="00AF09AD">
      <w:rPr>
        <w:rFonts w:cs="Times New Roman"/>
      </w:rPr>
      <w:t xml:space="preserve">Project Management </w:t>
    </w:r>
    <w:sdt>
      <w:sdtPr>
        <w:rPr>
          <w:rFonts w:cs="Times New Roman"/>
        </w:rPr>
        <w:id w:val="-708577431"/>
        <w:docPartObj>
          <w:docPartGallery w:val="Page Numbers (Top of Page)"/>
          <w:docPartUnique/>
        </w:docPartObj>
      </w:sdtPr>
      <w:sdtEndPr>
        <w:rPr>
          <w:noProof/>
        </w:rPr>
      </w:sdtEndPr>
      <w:sdtContent>
        <w:r w:rsidRPr="00AF09AD">
          <w:rPr>
            <w:rFonts w:cs="Times New Roman"/>
          </w:rPr>
          <w:fldChar w:fldCharType="begin"/>
        </w:r>
        <w:r w:rsidRPr="00AF09AD">
          <w:rPr>
            <w:rFonts w:cs="Times New Roman"/>
          </w:rPr>
          <w:instrText xml:space="preserve"> PAGE   \* MERGEFORMAT </w:instrText>
        </w:r>
        <w:r w:rsidRPr="00AF09AD">
          <w:rPr>
            <w:rFonts w:cs="Times New Roman"/>
          </w:rPr>
          <w:fldChar w:fldCharType="separate"/>
        </w:r>
        <w:r w:rsidR="00F44DEE">
          <w:rPr>
            <w:rFonts w:cs="Times New Roman"/>
            <w:noProof/>
          </w:rPr>
          <w:t>13</w:t>
        </w:r>
        <w:r w:rsidRPr="00AF09AD">
          <w:rPr>
            <w:rFonts w:cs="Times New Roman"/>
            <w:noProof/>
          </w:rPr>
          <w:fldChar w:fldCharType="end"/>
        </w:r>
      </w:sdtContent>
    </w:sdt>
  </w:p>
  <w:p w14:paraId="755F902C" w14:textId="77777777" w:rsidR="00AF09AD" w:rsidRDefault="00AF09A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43D7"/>
    <w:rsid w:val="00001087"/>
    <w:rsid w:val="0002055F"/>
    <w:rsid w:val="00026019"/>
    <w:rsid w:val="00050061"/>
    <w:rsid w:val="000722CD"/>
    <w:rsid w:val="00072345"/>
    <w:rsid w:val="00084196"/>
    <w:rsid w:val="000C1012"/>
    <w:rsid w:val="000C55B8"/>
    <w:rsid w:val="000C775A"/>
    <w:rsid w:val="000E51B8"/>
    <w:rsid w:val="00100FB8"/>
    <w:rsid w:val="00105ACB"/>
    <w:rsid w:val="0011770F"/>
    <w:rsid w:val="0015146C"/>
    <w:rsid w:val="00152E28"/>
    <w:rsid w:val="0019167E"/>
    <w:rsid w:val="00192DDC"/>
    <w:rsid w:val="0019441F"/>
    <w:rsid w:val="001D4764"/>
    <w:rsid w:val="001F4FC5"/>
    <w:rsid w:val="00225819"/>
    <w:rsid w:val="0023037F"/>
    <w:rsid w:val="0024296C"/>
    <w:rsid w:val="002657B5"/>
    <w:rsid w:val="002C01F8"/>
    <w:rsid w:val="002E2633"/>
    <w:rsid w:val="002E3CB1"/>
    <w:rsid w:val="003343D7"/>
    <w:rsid w:val="00351B27"/>
    <w:rsid w:val="00370530"/>
    <w:rsid w:val="00380ED4"/>
    <w:rsid w:val="00384C22"/>
    <w:rsid w:val="00394E04"/>
    <w:rsid w:val="003A1122"/>
    <w:rsid w:val="003C4801"/>
    <w:rsid w:val="003E7E5C"/>
    <w:rsid w:val="003F6AC6"/>
    <w:rsid w:val="00417604"/>
    <w:rsid w:val="004210C2"/>
    <w:rsid w:val="00447B17"/>
    <w:rsid w:val="00451C92"/>
    <w:rsid w:val="004523B6"/>
    <w:rsid w:val="004563A7"/>
    <w:rsid w:val="004822DE"/>
    <w:rsid w:val="00502AF3"/>
    <w:rsid w:val="0051718D"/>
    <w:rsid w:val="005501CA"/>
    <w:rsid w:val="005730FE"/>
    <w:rsid w:val="005762AC"/>
    <w:rsid w:val="00593D58"/>
    <w:rsid w:val="00601987"/>
    <w:rsid w:val="00601E7F"/>
    <w:rsid w:val="006101BD"/>
    <w:rsid w:val="006443FE"/>
    <w:rsid w:val="0068768E"/>
    <w:rsid w:val="0071044C"/>
    <w:rsid w:val="00717C23"/>
    <w:rsid w:val="00736F09"/>
    <w:rsid w:val="00743272"/>
    <w:rsid w:val="00752EF0"/>
    <w:rsid w:val="00765734"/>
    <w:rsid w:val="00766082"/>
    <w:rsid w:val="0077431E"/>
    <w:rsid w:val="007A40C2"/>
    <w:rsid w:val="007B4F55"/>
    <w:rsid w:val="007B7146"/>
    <w:rsid w:val="007C3801"/>
    <w:rsid w:val="007C4E5E"/>
    <w:rsid w:val="007E375D"/>
    <w:rsid w:val="00812BAF"/>
    <w:rsid w:val="008258FA"/>
    <w:rsid w:val="008B0A7F"/>
    <w:rsid w:val="008E5C88"/>
    <w:rsid w:val="008F24E8"/>
    <w:rsid w:val="00911ECA"/>
    <w:rsid w:val="00911F81"/>
    <w:rsid w:val="009272E9"/>
    <w:rsid w:val="009360CF"/>
    <w:rsid w:val="009621C6"/>
    <w:rsid w:val="00963AD5"/>
    <w:rsid w:val="00A05D5E"/>
    <w:rsid w:val="00A21F33"/>
    <w:rsid w:val="00A573F4"/>
    <w:rsid w:val="00A64DE6"/>
    <w:rsid w:val="00A93BE1"/>
    <w:rsid w:val="00AA17D2"/>
    <w:rsid w:val="00AA3098"/>
    <w:rsid w:val="00AA5909"/>
    <w:rsid w:val="00AB266C"/>
    <w:rsid w:val="00AC0EED"/>
    <w:rsid w:val="00AC3E4A"/>
    <w:rsid w:val="00AD7761"/>
    <w:rsid w:val="00AE5DAE"/>
    <w:rsid w:val="00AF09AD"/>
    <w:rsid w:val="00AF5A83"/>
    <w:rsid w:val="00B06E31"/>
    <w:rsid w:val="00B122FB"/>
    <w:rsid w:val="00B32A6A"/>
    <w:rsid w:val="00B63044"/>
    <w:rsid w:val="00B87E22"/>
    <w:rsid w:val="00BA2532"/>
    <w:rsid w:val="00BB35B5"/>
    <w:rsid w:val="00BB5D57"/>
    <w:rsid w:val="00BC5921"/>
    <w:rsid w:val="00BD2D4E"/>
    <w:rsid w:val="00BE3738"/>
    <w:rsid w:val="00BE5582"/>
    <w:rsid w:val="00C033E6"/>
    <w:rsid w:val="00C15CA4"/>
    <w:rsid w:val="00C17EA2"/>
    <w:rsid w:val="00C32C17"/>
    <w:rsid w:val="00C33F94"/>
    <w:rsid w:val="00C34212"/>
    <w:rsid w:val="00CB526D"/>
    <w:rsid w:val="00CC0808"/>
    <w:rsid w:val="00D00EBE"/>
    <w:rsid w:val="00D2551C"/>
    <w:rsid w:val="00D42A2C"/>
    <w:rsid w:val="00D702DD"/>
    <w:rsid w:val="00D72495"/>
    <w:rsid w:val="00D72D04"/>
    <w:rsid w:val="00DA35A6"/>
    <w:rsid w:val="00DC641F"/>
    <w:rsid w:val="00DC7530"/>
    <w:rsid w:val="00DE2B7C"/>
    <w:rsid w:val="00DE4812"/>
    <w:rsid w:val="00DF146C"/>
    <w:rsid w:val="00E23108"/>
    <w:rsid w:val="00E40071"/>
    <w:rsid w:val="00E62468"/>
    <w:rsid w:val="00E7264E"/>
    <w:rsid w:val="00E8134E"/>
    <w:rsid w:val="00EC2E76"/>
    <w:rsid w:val="00EF68CF"/>
    <w:rsid w:val="00F31D15"/>
    <w:rsid w:val="00F44DEE"/>
    <w:rsid w:val="00F72815"/>
    <w:rsid w:val="00FF5B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81D403"/>
  <w15:chartTrackingRefBased/>
  <w15:docId w15:val="{F816BC3A-C079-4A20-9F50-8C1D3F3EC8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6F09"/>
    <w:rPr>
      <w:rFonts w:ascii="Times New Roman" w:hAnsi="Times New Roman"/>
      <w:sz w:val="24"/>
    </w:rPr>
  </w:style>
  <w:style w:type="paragraph" w:styleId="Heading1">
    <w:name w:val="heading 1"/>
    <w:basedOn w:val="Normal"/>
    <w:next w:val="Normal"/>
    <w:link w:val="Heading1Char"/>
    <w:uiPriority w:val="9"/>
    <w:qFormat/>
    <w:rsid w:val="00736F09"/>
    <w:pPr>
      <w:keepNext/>
      <w:keepLines/>
      <w:spacing w:before="240" w:after="0" w:line="480" w:lineRule="auto"/>
      <w:jc w:val="center"/>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593D58"/>
    <w:pPr>
      <w:keepNext/>
      <w:keepLines/>
      <w:spacing w:before="40" w:after="0" w:line="480" w:lineRule="auto"/>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736F09"/>
    <w:pPr>
      <w:keepNext/>
      <w:keepLines/>
      <w:spacing w:before="40" w:after="0" w:line="480" w:lineRule="auto"/>
      <w:ind w:firstLine="72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6F09"/>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593D58"/>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736F09"/>
    <w:rPr>
      <w:rFonts w:ascii="Times New Roman" w:eastAsiaTheme="majorEastAsia" w:hAnsi="Times New Roman" w:cstheme="majorBidi"/>
      <w:b/>
      <w:i/>
      <w:sz w:val="24"/>
      <w:szCs w:val="24"/>
    </w:rPr>
  </w:style>
  <w:style w:type="paragraph" w:styleId="NormalWeb">
    <w:name w:val="Normal (Web)"/>
    <w:basedOn w:val="Normal"/>
    <w:uiPriority w:val="99"/>
    <w:semiHidden/>
    <w:unhideWhenUsed/>
    <w:rsid w:val="00AC0EED"/>
    <w:pPr>
      <w:spacing w:before="100" w:beforeAutospacing="1" w:after="100" w:afterAutospacing="1" w:line="240" w:lineRule="auto"/>
    </w:pPr>
    <w:rPr>
      <w:rFonts w:eastAsia="Times New Roman" w:cs="Times New Roman"/>
      <w:szCs w:val="24"/>
      <w:lang w:eastAsia="en-GB"/>
    </w:rPr>
  </w:style>
  <w:style w:type="paragraph" w:styleId="Header">
    <w:name w:val="header"/>
    <w:basedOn w:val="Normal"/>
    <w:link w:val="HeaderChar"/>
    <w:uiPriority w:val="99"/>
    <w:unhideWhenUsed/>
    <w:rsid w:val="00AF09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09AD"/>
    <w:rPr>
      <w:rFonts w:ascii="Times New Roman" w:hAnsi="Times New Roman"/>
      <w:sz w:val="24"/>
    </w:rPr>
  </w:style>
  <w:style w:type="paragraph" w:styleId="Footer">
    <w:name w:val="footer"/>
    <w:basedOn w:val="Normal"/>
    <w:link w:val="FooterChar"/>
    <w:uiPriority w:val="99"/>
    <w:unhideWhenUsed/>
    <w:rsid w:val="00AF09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09AD"/>
    <w:rPr>
      <w:rFonts w:ascii="Times New Roman" w:hAnsi="Times New Roman"/>
      <w:sz w:val="24"/>
    </w:rPr>
  </w:style>
  <w:style w:type="paragraph" w:styleId="TOCHeading">
    <w:name w:val="TOC Heading"/>
    <w:basedOn w:val="Heading1"/>
    <w:next w:val="Normal"/>
    <w:uiPriority w:val="39"/>
    <w:unhideWhenUsed/>
    <w:qFormat/>
    <w:rsid w:val="00F44DEE"/>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F44DEE"/>
    <w:pPr>
      <w:spacing w:after="100"/>
    </w:pPr>
  </w:style>
  <w:style w:type="paragraph" w:styleId="TOC2">
    <w:name w:val="toc 2"/>
    <w:basedOn w:val="Normal"/>
    <w:next w:val="Normal"/>
    <w:autoRedefine/>
    <w:uiPriority w:val="39"/>
    <w:unhideWhenUsed/>
    <w:rsid w:val="00F44DEE"/>
    <w:pPr>
      <w:spacing w:after="100"/>
      <w:ind w:left="240"/>
    </w:pPr>
  </w:style>
  <w:style w:type="character" w:styleId="Hyperlink">
    <w:name w:val="Hyperlink"/>
    <w:basedOn w:val="DefaultParagraphFont"/>
    <w:uiPriority w:val="99"/>
    <w:unhideWhenUsed/>
    <w:rsid w:val="00F44DEE"/>
    <w:rPr>
      <w:color w:val="0563C1" w:themeColor="hyperlink"/>
      <w:u w:val="single"/>
    </w:rPr>
  </w:style>
  <w:style w:type="paragraph" w:customStyle="1" w:styleId="Body">
    <w:name w:val="Body"/>
    <w:rsid w:val="00417604"/>
    <w:pPr>
      <w:widowControl w:val="0"/>
      <w:spacing w:after="0" w:line="240" w:lineRule="auto"/>
    </w:pPr>
    <w:rPr>
      <w:rFonts w:ascii="Times New Roman" w:eastAsia="Arial Unicode MS" w:hAnsi="Times New Roman" w:cs="Arial Unicode MS"/>
      <w:color w:val="000000"/>
      <w:kern w:val="2"/>
      <w:sz w:val="24"/>
      <w:szCs w:val="24"/>
      <w:u w:color="000000"/>
      <w:lang w:val="en-AU" w:eastAsia="en-GB"/>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8285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08A338-0B21-414A-81F4-A37B633D0BF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843</TotalTime>
  <Pages>13</Pages>
  <Words>3007</Words>
  <Characters>17142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Stefan Zlatev</cp:lastModifiedBy>
  <cp:revision>524</cp:revision>
  <dcterms:created xsi:type="dcterms:W3CDTF">2023-04-27T15:45:00Z</dcterms:created>
  <dcterms:modified xsi:type="dcterms:W3CDTF">2023-04-30T12:37:00Z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d46cefd8-720c-4849-afbc-7f833a6b803c</vt:lpwstr>
  </property>
</Properties>
</file>