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794A4" w14:textId="77777777" w:rsidR="00080C88" w:rsidRPr="00FB0853" w:rsidRDefault="00080C88" w:rsidP="00080C88">
      <w:pPr>
        <w:spacing w:line="360" w:lineRule="auto"/>
        <w:jc w:val="center"/>
        <w:rPr>
          <w:b/>
          <w:bCs/>
          <w:sz w:val="32"/>
          <w:szCs w:val="24"/>
          <w:lang w:val="en-IN"/>
        </w:rPr>
      </w:pPr>
      <w:r w:rsidRPr="00FB0853">
        <w:rPr>
          <w:b/>
          <w:bCs/>
          <w:noProof/>
          <w:sz w:val="32"/>
          <w:szCs w:val="24"/>
          <w:lang w:val="en-IN"/>
        </w:rPr>
        <w:drawing>
          <wp:inline distT="0" distB="0" distL="0" distR="0" wp14:anchorId="0CAC8F07" wp14:editId="52F7AD9F">
            <wp:extent cx="3817620" cy="914400"/>
            <wp:effectExtent l="0" t="0" r="0" b="0"/>
            <wp:docPr id="1706235088"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lack background with white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7620" cy="914400"/>
                    </a:xfrm>
                    <a:prstGeom prst="rect">
                      <a:avLst/>
                    </a:prstGeom>
                    <a:noFill/>
                    <a:ln>
                      <a:noFill/>
                    </a:ln>
                  </pic:spPr>
                </pic:pic>
              </a:graphicData>
            </a:graphic>
          </wp:inline>
        </w:drawing>
      </w:r>
    </w:p>
    <w:p w14:paraId="579E4F16" w14:textId="77777777" w:rsidR="00080C88" w:rsidRPr="00FB0853" w:rsidRDefault="00080C88" w:rsidP="00080C88">
      <w:pPr>
        <w:spacing w:line="360" w:lineRule="auto"/>
        <w:jc w:val="center"/>
        <w:rPr>
          <w:b/>
          <w:bCs/>
          <w:sz w:val="32"/>
          <w:szCs w:val="24"/>
          <w:lang w:val="en-IN"/>
        </w:rPr>
      </w:pPr>
    </w:p>
    <w:tbl>
      <w:tblPr>
        <w:tblStyle w:val="TableGrid"/>
        <w:tblW w:w="9428"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14"/>
        <w:gridCol w:w="4714"/>
      </w:tblGrid>
      <w:tr w:rsidR="00080C88" w14:paraId="7C1CDB0F" w14:textId="77777777" w:rsidTr="003D05EC">
        <w:trPr>
          <w:trHeight w:val="954"/>
        </w:trPr>
        <w:tc>
          <w:tcPr>
            <w:tcW w:w="4714" w:type="dxa"/>
            <w:tcBorders>
              <w:top w:val="single" w:sz="6" w:space="0" w:color="auto"/>
              <w:left w:val="single" w:sz="6" w:space="0" w:color="auto"/>
            </w:tcBorders>
            <w:tcMar>
              <w:left w:w="90" w:type="dxa"/>
              <w:right w:w="90" w:type="dxa"/>
            </w:tcMar>
            <w:vAlign w:val="center"/>
          </w:tcPr>
          <w:p w14:paraId="6F4CF454" w14:textId="77777777" w:rsidR="00080C88" w:rsidRDefault="00080C88" w:rsidP="003D05EC">
            <w:pPr>
              <w:spacing w:line="360" w:lineRule="auto"/>
            </w:pPr>
            <w:r w:rsidRPr="23A0FA6E">
              <w:t>Program Name</w:t>
            </w:r>
          </w:p>
        </w:tc>
        <w:tc>
          <w:tcPr>
            <w:tcW w:w="4714" w:type="dxa"/>
            <w:tcBorders>
              <w:top w:val="single" w:sz="6" w:space="0" w:color="auto"/>
              <w:right w:val="single" w:sz="6" w:space="0" w:color="auto"/>
            </w:tcBorders>
            <w:tcMar>
              <w:left w:w="90" w:type="dxa"/>
              <w:right w:w="90" w:type="dxa"/>
            </w:tcMar>
            <w:vAlign w:val="center"/>
          </w:tcPr>
          <w:p w14:paraId="76462596" w14:textId="77777777" w:rsidR="00080C88" w:rsidRDefault="00080C88" w:rsidP="003D05EC">
            <w:pPr>
              <w:spacing w:line="360" w:lineRule="auto"/>
            </w:pPr>
            <w:r w:rsidRPr="23A0FA6E">
              <w:t>MBA IB</w:t>
            </w:r>
          </w:p>
        </w:tc>
      </w:tr>
      <w:tr w:rsidR="00080C88" w14:paraId="08B2A2E7" w14:textId="77777777" w:rsidTr="003D05EC">
        <w:trPr>
          <w:trHeight w:val="954"/>
        </w:trPr>
        <w:tc>
          <w:tcPr>
            <w:tcW w:w="4714" w:type="dxa"/>
            <w:tcBorders>
              <w:left w:val="single" w:sz="6" w:space="0" w:color="auto"/>
            </w:tcBorders>
            <w:tcMar>
              <w:left w:w="90" w:type="dxa"/>
              <w:right w:w="90" w:type="dxa"/>
            </w:tcMar>
            <w:vAlign w:val="center"/>
          </w:tcPr>
          <w:p w14:paraId="7A0CBA1E" w14:textId="77777777" w:rsidR="00080C88" w:rsidRDefault="00080C88" w:rsidP="003D05EC">
            <w:pPr>
              <w:spacing w:line="360" w:lineRule="auto"/>
            </w:pPr>
            <w:r w:rsidRPr="23A0FA6E">
              <w:t>Module Name</w:t>
            </w:r>
          </w:p>
        </w:tc>
        <w:tc>
          <w:tcPr>
            <w:tcW w:w="4714" w:type="dxa"/>
            <w:tcBorders>
              <w:right w:val="single" w:sz="6" w:space="0" w:color="auto"/>
            </w:tcBorders>
            <w:tcMar>
              <w:left w:w="90" w:type="dxa"/>
              <w:right w:w="90" w:type="dxa"/>
            </w:tcMar>
            <w:vAlign w:val="center"/>
          </w:tcPr>
          <w:p w14:paraId="554D11D9" w14:textId="439BDD62" w:rsidR="00080C88" w:rsidRDefault="00C530F2" w:rsidP="003D05EC">
            <w:pPr>
              <w:spacing w:line="360" w:lineRule="auto"/>
            </w:pPr>
            <w:r w:rsidRPr="00C530F2">
              <w:t>Strategic Management</w:t>
            </w:r>
          </w:p>
        </w:tc>
      </w:tr>
      <w:tr w:rsidR="00080C88" w14:paraId="2BF574D2" w14:textId="77777777" w:rsidTr="003D05EC">
        <w:trPr>
          <w:trHeight w:val="954"/>
        </w:trPr>
        <w:tc>
          <w:tcPr>
            <w:tcW w:w="4714" w:type="dxa"/>
            <w:tcBorders>
              <w:left w:val="single" w:sz="6" w:space="0" w:color="auto"/>
            </w:tcBorders>
            <w:tcMar>
              <w:left w:w="90" w:type="dxa"/>
              <w:right w:w="90" w:type="dxa"/>
            </w:tcMar>
            <w:vAlign w:val="center"/>
          </w:tcPr>
          <w:p w14:paraId="48202F11" w14:textId="77777777" w:rsidR="00080C88" w:rsidRDefault="00080C88" w:rsidP="003D05EC">
            <w:pPr>
              <w:spacing w:line="360" w:lineRule="auto"/>
            </w:pPr>
            <w:r w:rsidRPr="23A0FA6E">
              <w:t>Module Code</w:t>
            </w:r>
          </w:p>
        </w:tc>
        <w:tc>
          <w:tcPr>
            <w:tcW w:w="4714" w:type="dxa"/>
            <w:tcBorders>
              <w:right w:val="single" w:sz="6" w:space="0" w:color="auto"/>
            </w:tcBorders>
            <w:tcMar>
              <w:left w:w="90" w:type="dxa"/>
              <w:right w:w="90" w:type="dxa"/>
            </w:tcMar>
            <w:vAlign w:val="center"/>
          </w:tcPr>
          <w:p w14:paraId="15BA6D07" w14:textId="148325EB" w:rsidR="00080C88" w:rsidRDefault="00B95729" w:rsidP="003D05EC">
            <w:pPr>
              <w:spacing w:line="360" w:lineRule="auto"/>
            </w:pPr>
            <w:r w:rsidRPr="00B95729">
              <w:t>LCMB7003</w:t>
            </w:r>
          </w:p>
        </w:tc>
      </w:tr>
      <w:tr w:rsidR="00080C88" w14:paraId="423B1BED" w14:textId="77777777" w:rsidTr="003D05EC">
        <w:trPr>
          <w:trHeight w:val="954"/>
        </w:trPr>
        <w:tc>
          <w:tcPr>
            <w:tcW w:w="4714" w:type="dxa"/>
            <w:tcBorders>
              <w:left w:val="single" w:sz="6" w:space="0" w:color="auto"/>
            </w:tcBorders>
            <w:tcMar>
              <w:left w:w="90" w:type="dxa"/>
              <w:right w:w="90" w:type="dxa"/>
            </w:tcMar>
            <w:vAlign w:val="center"/>
          </w:tcPr>
          <w:p w14:paraId="028F5683" w14:textId="77777777" w:rsidR="00080C88" w:rsidRDefault="00080C88" w:rsidP="003D05EC">
            <w:pPr>
              <w:spacing w:line="360" w:lineRule="auto"/>
            </w:pPr>
            <w:r w:rsidRPr="23A0FA6E">
              <w:t>Assessment Title</w:t>
            </w:r>
          </w:p>
        </w:tc>
        <w:tc>
          <w:tcPr>
            <w:tcW w:w="4714" w:type="dxa"/>
            <w:tcBorders>
              <w:right w:val="single" w:sz="6" w:space="0" w:color="auto"/>
            </w:tcBorders>
            <w:tcMar>
              <w:left w:w="90" w:type="dxa"/>
              <w:right w:w="90" w:type="dxa"/>
            </w:tcMar>
            <w:vAlign w:val="center"/>
          </w:tcPr>
          <w:p w14:paraId="4FF6983C" w14:textId="77777777" w:rsidR="00080C88" w:rsidRDefault="00080C88" w:rsidP="003D05EC">
            <w:pPr>
              <w:spacing w:line="360" w:lineRule="auto"/>
            </w:pPr>
            <w:r>
              <w:t>Individual Report</w:t>
            </w:r>
          </w:p>
        </w:tc>
      </w:tr>
      <w:tr w:rsidR="00080C88" w14:paraId="28393F79" w14:textId="77777777" w:rsidTr="003D05EC">
        <w:trPr>
          <w:trHeight w:val="954"/>
        </w:trPr>
        <w:tc>
          <w:tcPr>
            <w:tcW w:w="4714" w:type="dxa"/>
            <w:tcBorders>
              <w:left w:val="single" w:sz="6" w:space="0" w:color="auto"/>
            </w:tcBorders>
            <w:tcMar>
              <w:left w:w="90" w:type="dxa"/>
              <w:right w:w="90" w:type="dxa"/>
            </w:tcMar>
            <w:vAlign w:val="center"/>
          </w:tcPr>
          <w:p w14:paraId="70AB33AD" w14:textId="77777777" w:rsidR="00080C88" w:rsidRDefault="00080C88" w:rsidP="003D05EC">
            <w:pPr>
              <w:spacing w:line="360" w:lineRule="auto"/>
            </w:pPr>
            <w:r w:rsidRPr="23A0FA6E">
              <w:t>Report Title</w:t>
            </w:r>
          </w:p>
        </w:tc>
        <w:tc>
          <w:tcPr>
            <w:tcW w:w="4714" w:type="dxa"/>
            <w:tcBorders>
              <w:right w:val="single" w:sz="6" w:space="0" w:color="auto"/>
            </w:tcBorders>
            <w:tcMar>
              <w:left w:w="90" w:type="dxa"/>
              <w:right w:w="90" w:type="dxa"/>
            </w:tcMar>
            <w:vAlign w:val="center"/>
          </w:tcPr>
          <w:p w14:paraId="72EA7938" w14:textId="32F198A3" w:rsidR="00080C88" w:rsidRDefault="003F4137" w:rsidP="00F96800">
            <w:pPr>
              <w:spacing w:line="360" w:lineRule="auto"/>
              <w:jc w:val="left"/>
            </w:pPr>
            <w:r w:rsidRPr="00C530F2">
              <w:t>Strategic Management</w:t>
            </w:r>
            <w:r>
              <w:br/>
            </w:r>
            <w:r w:rsidR="00F96800">
              <w:t>Company:</w:t>
            </w:r>
            <w:r>
              <w:t xml:space="preserve"> </w:t>
            </w:r>
            <w:r w:rsidR="00F96800" w:rsidRPr="00F212DB">
              <w:rPr>
                <w:lang w:val="en-US"/>
              </w:rPr>
              <w:t>Diageo Plc</w:t>
            </w:r>
          </w:p>
        </w:tc>
      </w:tr>
      <w:tr w:rsidR="00080C88" w14:paraId="3E2EBEAA" w14:textId="77777777" w:rsidTr="003D05EC">
        <w:trPr>
          <w:trHeight w:val="954"/>
        </w:trPr>
        <w:tc>
          <w:tcPr>
            <w:tcW w:w="4714" w:type="dxa"/>
            <w:tcBorders>
              <w:left w:val="single" w:sz="6" w:space="0" w:color="auto"/>
            </w:tcBorders>
            <w:tcMar>
              <w:left w:w="90" w:type="dxa"/>
              <w:right w:w="90" w:type="dxa"/>
            </w:tcMar>
            <w:vAlign w:val="center"/>
          </w:tcPr>
          <w:p w14:paraId="3744CE9D" w14:textId="77777777" w:rsidR="00080C88" w:rsidRDefault="00080C88" w:rsidP="003D05EC">
            <w:pPr>
              <w:spacing w:line="360" w:lineRule="auto"/>
            </w:pPr>
            <w:r w:rsidRPr="23A0FA6E">
              <w:t>Student Name</w:t>
            </w:r>
          </w:p>
        </w:tc>
        <w:tc>
          <w:tcPr>
            <w:tcW w:w="4714" w:type="dxa"/>
            <w:tcBorders>
              <w:right w:val="single" w:sz="6" w:space="0" w:color="auto"/>
            </w:tcBorders>
            <w:tcMar>
              <w:left w:w="90" w:type="dxa"/>
              <w:right w:w="90" w:type="dxa"/>
            </w:tcMar>
            <w:vAlign w:val="center"/>
          </w:tcPr>
          <w:p w14:paraId="65B725B7" w14:textId="77777777" w:rsidR="00080C88" w:rsidRDefault="00080C88" w:rsidP="003D05EC">
            <w:pPr>
              <w:spacing w:line="360" w:lineRule="auto"/>
            </w:pPr>
            <w:r w:rsidRPr="23A0FA6E">
              <w:t xml:space="preserve">Masum Patel Harishbhai </w:t>
            </w:r>
          </w:p>
        </w:tc>
      </w:tr>
      <w:tr w:rsidR="00080C88" w14:paraId="401B9413" w14:textId="77777777" w:rsidTr="003D05EC">
        <w:trPr>
          <w:trHeight w:val="954"/>
        </w:trPr>
        <w:tc>
          <w:tcPr>
            <w:tcW w:w="4714" w:type="dxa"/>
            <w:tcBorders>
              <w:left w:val="single" w:sz="6" w:space="0" w:color="auto"/>
            </w:tcBorders>
            <w:tcMar>
              <w:left w:w="90" w:type="dxa"/>
              <w:right w:w="90" w:type="dxa"/>
            </w:tcMar>
            <w:vAlign w:val="center"/>
          </w:tcPr>
          <w:p w14:paraId="225549CA" w14:textId="77777777" w:rsidR="00080C88" w:rsidRDefault="00080C88" w:rsidP="003D05EC">
            <w:pPr>
              <w:spacing w:line="360" w:lineRule="auto"/>
            </w:pPr>
            <w:r w:rsidRPr="23A0FA6E">
              <w:t>Student ID</w:t>
            </w:r>
          </w:p>
        </w:tc>
        <w:tc>
          <w:tcPr>
            <w:tcW w:w="4714" w:type="dxa"/>
            <w:tcBorders>
              <w:right w:val="single" w:sz="6" w:space="0" w:color="auto"/>
            </w:tcBorders>
            <w:tcMar>
              <w:left w:w="90" w:type="dxa"/>
              <w:right w:w="90" w:type="dxa"/>
            </w:tcMar>
            <w:vAlign w:val="center"/>
          </w:tcPr>
          <w:p w14:paraId="3CFC8F8B" w14:textId="77777777" w:rsidR="00080C88" w:rsidRDefault="00080C88" w:rsidP="003D05EC">
            <w:pPr>
              <w:spacing w:line="360" w:lineRule="auto"/>
            </w:pPr>
            <w:r w:rsidRPr="23A0FA6E">
              <w:t>2430264</w:t>
            </w:r>
          </w:p>
        </w:tc>
      </w:tr>
      <w:tr w:rsidR="00080C88" w14:paraId="66E11E63" w14:textId="77777777" w:rsidTr="003D05EC">
        <w:trPr>
          <w:trHeight w:val="954"/>
        </w:trPr>
        <w:tc>
          <w:tcPr>
            <w:tcW w:w="4714" w:type="dxa"/>
            <w:tcBorders>
              <w:left w:val="single" w:sz="6" w:space="0" w:color="auto"/>
            </w:tcBorders>
            <w:tcMar>
              <w:left w:w="90" w:type="dxa"/>
              <w:right w:w="90" w:type="dxa"/>
            </w:tcMar>
            <w:vAlign w:val="center"/>
          </w:tcPr>
          <w:p w14:paraId="7D0C68CD" w14:textId="77777777" w:rsidR="00080C88" w:rsidRDefault="00080C88" w:rsidP="003D05EC">
            <w:pPr>
              <w:spacing w:line="360" w:lineRule="auto"/>
            </w:pPr>
            <w:r w:rsidRPr="23A0FA6E">
              <w:t>Lecturer</w:t>
            </w:r>
          </w:p>
        </w:tc>
        <w:tc>
          <w:tcPr>
            <w:tcW w:w="4714" w:type="dxa"/>
            <w:tcBorders>
              <w:right w:val="single" w:sz="6" w:space="0" w:color="auto"/>
            </w:tcBorders>
            <w:tcMar>
              <w:left w:w="90" w:type="dxa"/>
              <w:right w:w="90" w:type="dxa"/>
            </w:tcMar>
            <w:vAlign w:val="center"/>
          </w:tcPr>
          <w:p w14:paraId="601D80C0" w14:textId="4FEF4966" w:rsidR="00080C88" w:rsidRDefault="005B3543" w:rsidP="003D05EC">
            <w:pPr>
              <w:spacing w:line="360" w:lineRule="auto"/>
            </w:pPr>
            <w:r w:rsidRPr="005B3543">
              <w:t>Jia Miao</w:t>
            </w:r>
          </w:p>
        </w:tc>
      </w:tr>
      <w:tr w:rsidR="00080C88" w14:paraId="21F0CE4F" w14:textId="77777777" w:rsidTr="003D05EC">
        <w:trPr>
          <w:trHeight w:val="954"/>
        </w:trPr>
        <w:tc>
          <w:tcPr>
            <w:tcW w:w="4714" w:type="dxa"/>
            <w:tcBorders>
              <w:left w:val="single" w:sz="6" w:space="0" w:color="auto"/>
            </w:tcBorders>
            <w:tcMar>
              <w:left w:w="90" w:type="dxa"/>
              <w:right w:w="90" w:type="dxa"/>
            </w:tcMar>
            <w:vAlign w:val="center"/>
          </w:tcPr>
          <w:p w14:paraId="6557B798" w14:textId="77777777" w:rsidR="00080C88" w:rsidRDefault="00080C88" w:rsidP="003D05EC">
            <w:pPr>
              <w:spacing w:line="360" w:lineRule="auto"/>
            </w:pPr>
            <w:r w:rsidRPr="23A0FA6E">
              <w:t>Date of Submission</w:t>
            </w:r>
          </w:p>
        </w:tc>
        <w:tc>
          <w:tcPr>
            <w:tcW w:w="4714" w:type="dxa"/>
            <w:tcBorders>
              <w:right w:val="single" w:sz="6" w:space="0" w:color="auto"/>
            </w:tcBorders>
            <w:tcMar>
              <w:left w:w="90" w:type="dxa"/>
              <w:right w:w="90" w:type="dxa"/>
            </w:tcMar>
            <w:vAlign w:val="center"/>
          </w:tcPr>
          <w:p w14:paraId="712B372E" w14:textId="696F12A8" w:rsidR="00080C88" w:rsidRDefault="005B3543" w:rsidP="003D05EC">
            <w:pPr>
              <w:spacing w:line="360" w:lineRule="auto"/>
            </w:pPr>
            <w:r>
              <w:t>22</w:t>
            </w:r>
            <w:r w:rsidR="00080C88" w:rsidRPr="23A0FA6E">
              <w:t xml:space="preserve"> </w:t>
            </w:r>
            <w:r w:rsidR="00080C88">
              <w:t>Dec</w:t>
            </w:r>
            <w:r w:rsidR="00080C88" w:rsidRPr="23A0FA6E">
              <w:t xml:space="preserve"> 2025</w:t>
            </w:r>
          </w:p>
        </w:tc>
      </w:tr>
      <w:tr w:rsidR="00080C88" w14:paraId="2DA0CB86" w14:textId="77777777" w:rsidTr="003D05EC">
        <w:trPr>
          <w:trHeight w:val="954"/>
        </w:trPr>
        <w:tc>
          <w:tcPr>
            <w:tcW w:w="4714" w:type="dxa"/>
            <w:tcBorders>
              <w:left w:val="single" w:sz="6" w:space="0" w:color="auto"/>
              <w:bottom w:val="single" w:sz="6" w:space="0" w:color="auto"/>
            </w:tcBorders>
            <w:tcMar>
              <w:left w:w="90" w:type="dxa"/>
              <w:right w:w="90" w:type="dxa"/>
            </w:tcMar>
            <w:vAlign w:val="center"/>
          </w:tcPr>
          <w:p w14:paraId="2E276413" w14:textId="77777777" w:rsidR="00080C88" w:rsidRPr="23A0FA6E" w:rsidRDefault="00080C88" w:rsidP="003D05EC">
            <w:pPr>
              <w:spacing w:line="360" w:lineRule="auto"/>
            </w:pPr>
            <w:r>
              <w:t>Word Count</w:t>
            </w:r>
          </w:p>
        </w:tc>
        <w:tc>
          <w:tcPr>
            <w:tcW w:w="4714" w:type="dxa"/>
            <w:tcBorders>
              <w:bottom w:val="single" w:sz="6" w:space="0" w:color="auto"/>
              <w:right w:val="single" w:sz="6" w:space="0" w:color="auto"/>
            </w:tcBorders>
            <w:tcMar>
              <w:left w:w="90" w:type="dxa"/>
              <w:right w:w="90" w:type="dxa"/>
            </w:tcMar>
            <w:vAlign w:val="center"/>
          </w:tcPr>
          <w:p w14:paraId="3836E94C" w14:textId="40C83B3B" w:rsidR="00B92186" w:rsidRDefault="00B92186" w:rsidP="003D05EC">
            <w:pPr>
              <w:spacing w:line="360" w:lineRule="auto"/>
            </w:pPr>
            <w:r>
              <w:t>5348</w:t>
            </w:r>
          </w:p>
        </w:tc>
      </w:tr>
    </w:tbl>
    <w:p w14:paraId="76CB0FC1" w14:textId="7C19A3B0" w:rsidR="00F212DB" w:rsidRPr="00F212DB" w:rsidRDefault="00F212DB" w:rsidP="007E15BA">
      <w:pPr>
        <w:spacing w:line="360" w:lineRule="auto"/>
        <w:rPr>
          <w:rFonts w:ascii="Arial" w:eastAsiaTheme="majorEastAsia" w:hAnsi="Arial" w:cs="Arial"/>
          <w:b/>
          <w:sz w:val="24"/>
          <w:szCs w:val="24"/>
        </w:rPr>
      </w:pPr>
      <w:r>
        <w:rPr>
          <w:rFonts w:ascii="Arial" w:hAnsi="Arial" w:cs="Arial"/>
          <w:b/>
          <w:sz w:val="24"/>
          <w:szCs w:val="24"/>
          <w:lang w:val="en-US"/>
        </w:rPr>
        <w:br w:type="page"/>
      </w:r>
    </w:p>
    <w:sdt>
      <w:sdtPr>
        <w:rPr>
          <w:rFonts w:asciiTheme="minorHAnsi" w:eastAsiaTheme="minorHAnsi" w:hAnsiTheme="minorHAnsi" w:cstheme="minorBidi"/>
          <w:color w:val="auto"/>
          <w:sz w:val="22"/>
          <w:szCs w:val="22"/>
          <w:lang w:val="en-GB"/>
        </w:rPr>
        <w:id w:val="1028447807"/>
        <w:docPartObj>
          <w:docPartGallery w:val="Table of Contents"/>
          <w:docPartUnique/>
        </w:docPartObj>
      </w:sdtPr>
      <w:sdtEndPr>
        <w:rPr>
          <w:b/>
          <w:bCs/>
          <w:noProof/>
        </w:rPr>
      </w:sdtEndPr>
      <w:sdtContent>
        <w:p w14:paraId="672856C6" w14:textId="77777777" w:rsidR="00F212DB" w:rsidRPr="00F212DB" w:rsidRDefault="00F212DB" w:rsidP="00F212DB">
          <w:pPr>
            <w:pStyle w:val="TOCHeading"/>
            <w:spacing w:line="360" w:lineRule="auto"/>
            <w:rPr>
              <w:rFonts w:ascii="Arial" w:hAnsi="Arial" w:cs="Arial"/>
              <w:b/>
              <w:color w:val="auto"/>
              <w:sz w:val="24"/>
              <w:szCs w:val="24"/>
            </w:rPr>
          </w:pPr>
          <w:r w:rsidRPr="00F212DB">
            <w:rPr>
              <w:rFonts w:ascii="Arial" w:hAnsi="Arial" w:cs="Arial"/>
              <w:b/>
              <w:color w:val="auto"/>
              <w:sz w:val="24"/>
              <w:szCs w:val="24"/>
            </w:rPr>
            <w:t>Table of Contents</w:t>
          </w:r>
        </w:p>
        <w:p w14:paraId="1195C6EB" w14:textId="77777777" w:rsidR="00F212DB" w:rsidRPr="00F212DB" w:rsidRDefault="00F212DB" w:rsidP="00F212DB">
          <w:pPr>
            <w:pStyle w:val="TOC1"/>
            <w:tabs>
              <w:tab w:val="right" w:leader="dot" w:pos="9016"/>
            </w:tabs>
            <w:spacing w:line="360" w:lineRule="auto"/>
            <w:jc w:val="both"/>
            <w:rPr>
              <w:rFonts w:ascii="Arial" w:eastAsiaTheme="minorEastAsia" w:hAnsi="Arial" w:cs="Arial"/>
              <w:noProof/>
              <w:sz w:val="24"/>
              <w:szCs w:val="24"/>
              <w:lang w:val="en-IN" w:eastAsia="en-IN"/>
            </w:rPr>
          </w:pPr>
          <w:r w:rsidRPr="00F212DB">
            <w:rPr>
              <w:rFonts w:ascii="Arial" w:hAnsi="Arial" w:cs="Arial"/>
              <w:sz w:val="24"/>
              <w:szCs w:val="24"/>
            </w:rPr>
            <w:fldChar w:fldCharType="begin"/>
          </w:r>
          <w:r w:rsidRPr="00F212DB">
            <w:rPr>
              <w:rFonts w:ascii="Arial" w:hAnsi="Arial" w:cs="Arial"/>
              <w:sz w:val="24"/>
              <w:szCs w:val="24"/>
            </w:rPr>
            <w:instrText xml:space="preserve"> TOC \o "1-3" \h \z \u </w:instrText>
          </w:r>
          <w:r w:rsidRPr="00F212DB">
            <w:rPr>
              <w:rFonts w:ascii="Arial" w:hAnsi="Arial" w:cs="Arial"/>
              <w:sz w:val="24"/>
              <w:szCs w:val="24"/>
            </w:rPr>
            <w:fldChar w:fldCharType="separate"/>
          </w:r>
          <w:hyperlink w:anchor="_Toc216374185" w:history="1">
            <w:r w:rsidRPr="00F212DB">
              <w:rPr>
                <w:rStyle w:val="Hyperlink"/>
                <w:rFonts w:ascii="Arial" w:hAnsi="Arial" w:cs="Arial"/>
                <w:noProof/>
                <w:color w:val="auto"/>
                <w:sz w:val="24"/>
                <w:szCs w:val="24"/>
                <w:shd w:val="clear" w:color="auto" w:fill="FFFFFF"/>
              </w:rPr>
              <w:t>Section 1</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_Toc216374185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3</w:t>
            </w:r>
            <w:r w:rsidRPr="00F212DB">
              <w:rPr>
                <w:rFonts w:ascii="Arial" w:hAnsi="Arial" w:cs="Arial"/>
                <w:noProof/>
                <w:webHidden/>
                <w:sz w:val="24"/>
                <w:szCs w:val="24"/>
              </w:rPr>
              <w:fldChar w:fldCharType="end"/>
            </w:r>
          </w:hyperlink>
        </w:p>
        <w:p w14:paraId="39FCE8CF"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86" w:history="1">
            <w:r w:rsidRPr="00F212DB">
              <w:rPr>
                <w:rStyle w:val="Hyperlink"/>
                <w:rFonts w:ascii="Arial" w:hAnsi="Arial" w:cs="Arial"/>
                <w:noProof/>
                <w:color w:val="auto"/>
                <w:sz w:val="24"/>
                <w:szCs w:val="24"/>
                <w:shd w:val="clear" w:color="auto" w:fill="FFFFFF"/>
              </w:rPr>
              <w:t>Introduction of Company</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_Toc216374186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3</w:t>
            </w:r>
            <w:r w:rsidRPr="00F212DB">
              <w:rPr>
                <w:rFonts w:ascii="Arial" w:hAnsi="Arial" w:cs="Arial"/>
                <w:noProof/>
                <w:webHidden/>
                <w:sz w:val="24"/>
                <w:szCs w:val="24"/>
              </w:rPr>
              <w:fldChar w:fldCharType="end"/>
            </w:r>
          </w:hyperlink>
        </w:p>
        <w:p w14:paraId="367C12F5"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87" w:history="1">
            <w:r w:rsidRPr="00F212DB">
              <w:rPr>
                <w:rStyle w:val="Hyperlink"/>
                <w:rFonts w:ascii="Arial" w:hAnsi="Arial" w:cs="Arial"/>
                <w:noProof/>
                <w:color w:val="auto"/>
                <w:sz w:val="24"/>
                <w:szCs w:val="24"/>
                <w:shd w:val="clear" w:color="auto" w:fill="FFFFFF"/>
              </w:rPr>
              <w:t>Market Analysis and Entry of that sector</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_Toc216374187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4</w:t>
            </w:r>
            <w:r w:rsidRPr="00F212DB">
              <w:rPr>
                <w:rFonts w:ascii="Arial" w:hAnsi="Arial" w:cs="Arial"/>
                <w:noProof/>
                <w:webHidden/>
                <w:sz w:val="24"/>
                <w:szCs w:val="24"/>
              </w:rPr>
              <w:fldChar w:fldCharType="end"/>
            </w:r>
          </w:hyperlink>
        </w:p>
        <w:p w14:paraId="50F01EF7"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88" w:history="1">
            <w:r w:rsidRPr="00F212DB">
              <w:rPr>
                <w:rStyle w:val="Hyperlink"/>
                <w:rFonts w:ascii="Arial" w:hAnsi="Arial" w:cs="Arial"/>
                <w:noProof/>
                <w:color w:val="auto"/>
                <w:sz w:val="24"/>
                <w:szCs w:val="24"/>
              </w:rPr>
              <w:t>Organisation and propose a new international market for expansion</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_Toc216374188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7</w:t>
            </w:r>
            <w:r w:rsidRPr="00F212DB">
              <w:rPr>
                <w:rFonts w:ascii="Arial" w:hAnsi="Arial" w:cs="Arial"/>
                <w:noProof/>
                <w:webHidden/>
                <w:sz w:val="24"/>
                <w:szCs w:val="24"/>
              </w:rPr>
              <w:fldChar w:fldCharType="end"/>
            </w:r>
          </w:hyperlink>
        </w:p>
        <w:p w14:paraId="26E0BB08" w14:textId="77777777" w:rsidR="00F212DB" w:rsidRPr="00F212DB" w:rsidRDefault="00F212DB" w:rsidP="00F212DB">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6374189" w:history="1">
            <w:r w:rsidRPr="00F212DB">
              <w:rPr>
                <w:rStyle w:val="Hyperlink"/>
                <w:rFonts w:ascii="Arial" w:hAnsi="Arial" w:cs="Arial"/>
                <w:noProof/>
                <w:color w:val="auto"/>
                <w:sz w:val="24"/>
                <w:szCs w:val="24"/>
              </w:rPr>
              <w:t>Section 2</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_Toc216374189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9</w:t>
            </w:r>
            <w:r w:rsidRPr="00F212DB">
              <w:rPr>
                <w:rFonts w:ascii="Arial" w:hAnsi="Arial" w:cs="Arial"/>
                <w:noProof/>
                <w:webHidden/>
                <w:sz w:val="24"/>
                <w:szCs w:val="24"/>
              </w:rPr>
              <w:fldChar w:fldCharType="end"/>
            </w:r>
          </w:hyperlink>
        </w:p>
        <w:p w14:paraId="1673D875"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0" w:history="1">
            <w:r w:rsidRPr="00F212DB">
              <w:rPr>
                <w:rStyle w:val="Hyperlink"/>
                <w:rFonts w:ascii="Arial" w:hAnsi="Arial" w:cs="Arial"/>
                <w:noProof/>
                <w:color w:val="auto"/>
                <w:sz w:val="24"/>
                <w:szCs w:val="24"/>
              </w:rPr>
              <w:t>PESTLE Analysis</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_Toc216374190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9</w:t>
            </w:r>
            <w:r w:rsidRPr="00F212DB">
              <w:rPr>
                <w:rFonts w:ascii="Arial" w:hAnsi="Arial" w:cs="Arial"/>
                <w:noProof/>
                <w:webHidden/>
                <w:sz w:val="24"/>
                <w:szCs w:val="24"/>
              </w:rPr>
              <w:fldChar w:fldCharType="end"/>
            </w:r>
          </w:hyperlink>
        </w:p>
        <w:p w14:paraId="7543BCF8"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1" w:history="1">
            <w:r w:rsidRPr="00F212DB">
              <w:rPr>
                <w:rStyle w:val="Hyperlink"/>
                <w:rFonts w:ascii="Arial" w:hAnsi="Arial" w:cs="Arial"/>
                <w:noProof/>
                <w:color w:val="auto"/>
                <w:sz w:val="24"/>
                <w:szCs w:val="24"/>
              </w:rPr>
              <w:t>Porter Five forces</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_Toc216374191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12</w:t>
            </w:r>
            <w:r w:rsidRPr="00F212DB">
              <w:rPr>
                <w:rFonts w:ascii="Arial" w:hAnsi="Arial" w:cs="Arial"/>
                <w:noProof/>
                <w:webHidden/>
                <w:sz w:val="24"/>
                <w:szCs w:val="24"/>
              </w:rPr>
              <w:fldChar w:fldCharType="end"/>
            </w:r>
          </w:hyperlink>
        </w:p>
        <w:p w14:paraId="42B56656"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2" w:history="1">
            <w:r w:rsidRPr="00F212DB">
              <w:rPr>
                <w:rStyle w:val="Hyperlink"/>
                <w:rFonts w:ascii="Arial" w:hAnsi="Arial" w:cs="Arial"/>
                <w:noProof/>
                <w:color w:val="auto"/>
                <w:sz w:val="24"/>
                <w:szCs w:val="24"/>
              </w:rPr>
              <w:t>SWOT analysis</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_Toc216374192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14</w:t>
            </w:r>
            <w:r w:rsidRPr="00F212DB">
              <w:rPr>
                <w:rFonts w:ascii="Arial" w:hAnsi="Arial" w:cs="Arial"/>
                <w:noProof/>
                <w:webHidden/>
                <w:sz w:val="24"/>
                <w:szCs w:val="24"/>
              </w:rPr>
              <w:fldChar w:fldCharType="end"/>
            </w:r>
          </w:hyperlink>
        </w:p>
        <w:p w14:paraId="4423CEFA"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3" w:history="1">
            <w:r w:rsidRPr="00F212DB">
              <w:rPr>
                <w:rStyle w:val="Hyperlink"/>
                <w:rFonts w:ascii="Arial" w:hAnsi="Arial" w:cs="Arial"/>
                <w:noProof/>
                <w:color w:val="auto"/>
                <w:sz w:val="24"/>
                <w:szCs w:val="24"/>
              </w:rPr>
              <w:t>Conclusion</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_Toc216374193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16</w:t>
            </w:r>
            <w:r w:rsidRPr="00F212DB">
              <w:rPr>
                <w:rFonts w:ascii="Arial" w:hAnsi="Arial" w:cs="Arial"/>
                <w:noProof/>
                <w:webHidden/>
                <w:sz w:val="24"/>
                <w:szCs w:val="24"/>
              </w:rPr>
              <w:fldChar w:fldCharType="end"/>
            </w:r>
          </w:hyperlink>
        </w:p>
        <w:p w14:paraId="2CC82F94" w14:textId="77777777" w:rsidR="00F212DB" w:rsidRPr="00F212DB" w:rsidRDefault="00F212DB" w:rsidP="00F212DB">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6374194" w:history="1">
            <w:r w:rsidRPr="00F212DB">
              <w:rPr>
                <w:rStyle w:val="Hyperlink"/>
                <w:rFonts w:ascii="Arial" w:hAnsi="Arial" w:cs="Arial"/>
                <w:noProof/>
                <w:color w:val="auto"/>
                <w:sz w:val="24"/>
                <w:szCs w:val="24"/>
                <w:shd w:val="clear" w:color="auto" w:fill="FFFFFF"/>
              </w:rPr>
              <w:t>Section 3</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_Toc216374194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17</w:t>
            </w:r>
            <w:r w:rsidRPr="00F212DB">
              <w:rPr>
                <w:rFonts w:ascii="Arial" w:hAnsi="Arial" w:cs="Arial"/>
                <w:noProof/>
                <w:webHidden/>
                <w:sz w:val="24"/>
                <w:szCs w:val="24"/>
              </w:rPr>
              <w:fldChar w:fldCharType="end"/>
            </w:r>
          </w:hyperlink>
        </w:p>
        <w:p w14:paraId="16D603AE"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5" w:history="1">
            <w:r w:rsidRPr="00F212DB">
              <w:rPr>
                <w:rStyle w:val="Hyperlink"/>
                <w:rFonts w:ascii="Arial" w:hAnsi="Arial" w:cs="Arial"/>
                <w:noProof/>
                <w:color w:val="auto"/>
                <w:sz w:val="24"/>
                <w:szCs w:val="24"/>
                <w:shd w:val="clear" w:color="auto" w:fill="FFFFFF"/>
              </w:rPr>
              <w:t>4 expansion method</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_Toc216374195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17</w:t>
            </w:r>
            <w:r w:rsidRPr="00F212DB">
              <w:rPr>
                <w:rFonts w:ascii="Arial" w:hAnsi="Arial" w:cs="Arial"/>
                <w:noProof/>
                <w:webHidden/>
                <w:sz w:val="24"/>
                <w:szCs w:val="24"/>
              </w:rPr>
              <w:fldChar w:fldCharType="end"/>
            </w:r>
          </w:hyperlink>
        </w:p>
        <w:p w14:paraId="2B57E58E"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6" w:history="1">
            <w:r w:rsidRPr="00F212DB">
              <w:rPr>
                <w:rStyle w:val="Hyperlink"/>
                <w:rFonts w:ascii="Arial" w:hAnsi="Arial" w:cs="Arial"/>
                <w:noProof/>
                <w:color w:val="auto"/>
                <w:sz w:val="24"/>
                <w:szCs w:val="24"/>
              </w:rPr>
              <w:t>Relevant strategic models discussed in class to formulate a market entry strategy</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_Toc216374196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20</w:t>
            </w:r>
            <w:r w:rsidRPr="00F212DB">
              <w:rPr>
                <w:rFonts w:ascii="Arial" w:hAnsi="Arial" w:cs="Arial"/>
                <w:noProof/>
                <w:webHidden/>
                <w:sz w:val="24"/>
                <w:szCs w:val="24"/>
              </w:rPr>
              <w:fldChar w:fldCharType="end"/>
            </w:r>
          </w:hyperlink>
        </w:p>
        <w:p w14:paraId="660E4D07" w14:textId="77777777" w:rsidR="00F212DB" w:rsidRPr="00F212DB" w:rsidRDefault="00F212DB" w:rsidP="00F212DB">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6374197" w:history="1">
            <w:r w:rsidRPr="00F212DB">
              <w:rPr>
                <w:rStyle w:val="Hyperlink"/>
                <w:rFonts w:ascii="Arial" w:hAnsi="Arial" w:cs="Arial"/>
                <w:noProof/>
                <w:color w:val="auto"/>
                <w:sz w:val="24"/>
                <w:szCs w:val="24"/>
                <w:shd w:val="clear" w:color="auto" w:fill="FFFFFF"/>
              </w:rPr>
              <w:t>Section 4</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_Toc216374197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23</w:t>
            </w:r>
            <w:r w:rsidRPr="00F212DB">
              <w:rPr>
                <w:rFonts w:ascii="Arial" w:hAnsi="Arial" w:cs="Arial"/>
                <w:noProof/>
                <w:webHidden/>
                <w:sz w:val="24"/>
                <w:szCs w:val="24"/>
              </w:rPr>
              <w:fldChar w:fldCharType="end"/>
            </w:r>
          </w:hyperlink>
        </w:p>
        <w:p w14:paraId="4DADFA95"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8" w:history="1">
            <w:r w:rsidRPr="00F212DB">
              <w:rPr>
                <w:rStyle w:val="Hyperlink"/>
                <w:rFonts w:ascii="Arial" w:hAnsi="Arial" w:cs="Arial"/>
                <w:noProof/>
                <w:color w:val="auto"/>
                <w:sz w:val="24"/>
                <w:szCs w:val="24"/>
              </w:rPr>
              <w:t>Triple Bottom Line to identify key performance indicators (KPIs) and success metrics</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_Toc216374198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23</w:t>
            </w:r>
            <w:r w:rsidRPr="00F212DB">
              <w:rPr>
                <w:rFonts w:ascii="Arial" w:hAnsi="Arial" w:cs="Arial"/>
                <w:noProof/>
                <w:webHidden/>
                <w:sz w:val="24"/>
                <w:szCs w:val="24"/>
              </w:rPr>
              <w:fldChar w:fldCharType="end"/>
            </w:r>
          </w:hyperlink>
        </w:p>
        <w:p w14:paraId="2672F554" w14:textId="77777777" w:rsidR="00F212DB" w:rsidRPr="00F212DB" w:rsidRDefault="00F212DB" w:rsidP="00F212DB">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16374199" w:history="1">
            <w:r w:rsidRPr="00F212DB">
              <w:rPr>
                <w:rStyle w:val="Hyperlink"/>
                <w:rFonts w:ascii="Arial" w:hAnsi="Arial" w:cs="Arial"/>
                <w:noProof/>
                <w:color w:val="auto"/>
                <w:sz w:val="24"/>
                <w:szCs w:val="24"/>
              </w:rPr>
              <w:t>Triple Bottom Line to analyse the impact and progress of the expansion initiative</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_Toc216374199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24</w:t>
            </w:r>
            <w:r w:rsidRPr="00F212DB">
              <w:rPr>
                <w:rFonts w:ascii="Arial" w:hAnsi="Arial" w:cs="Arial"/>
                <w:noProof/>
                <w:webHidden/>
                <w:sz w:val="24"/>
                <w:szCs w:val="24"/>
              </w:rPr>
              <w:fldChar w:fldCharType="end"/>
            </w:r>
          </w:hyperlink>
        </w:p>
        <w:p w14:paraId="233A7122" w14:textId="77777777" w:rsidR="00F212DB" w:rsidRPr="00F212DB" w:rsidRDefault="00F212DB" w:rsidP="00F212DB">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16374200" w:history="1">
            <w:r w:rsidRPr="00F212DB">
              <w:rPr>
                <w:rStyle w:val="Hyperlink"/>
                <w:rFonts w:ascii="Arial" w:hAnsi="Arial" w:cs="Arial"/>
                <w:noProof/>
                <w:color w:val="auto"/>
                <w:sz w:val="24"/>
                <w:szCs w:val="24"/>
              </w:rPr>
              <w:t>References</w:t>
            </w:r>
            <w:r w:rsidRPr="00F212DB">
              <w:rPr>
                <w:rFonts w:ascii="Arial" w:hAnsi="Arial" w:cs="Arial"/>
                <w:noProof/>
                <w:webHidden/>
                <w:sz w:val="24"/>
                <w:szCs w:val="24"/>
              </w:rPr>
              <w:tab/>
            </w:r>
            <w:r w:rsidRPr="00F212DB">
              <w:rPr>
                <w:rFonts w:ascii="Arial" w:hAnsi="Arial" w:cs="Arial"/>
                <w:noProof/>
                <w:webHidden/>
                <w:sz w:val="24"/>
                <w:szCs w:val="24"/>
              </w:rPr>
              <w:fldChar w:fldCharType="begin"/>
            </w:r>
            <w:r w:rsidRPr="00F212DB">
              <w:rPr>
                <w:rFonts w:ascii="Arial" w:hAnsi="Arial" w:cs="Arial"/>
                <w:noProof/>
                <w:webHidden/>
                <w:sz w:val="24"/>
                <w:szCs w:val="24"/>
              </w:rPr>
              <w:instrText xml:space="preserve"> PAGEREF _Toc216374200 \h </w:instrText>
            </w:r>
            <w:r w:rsidRPr="00F212DB">
              <w:rPr>
                <w:rFonts w:ascii="Arial" w:hAnsi="Arial" w:cs="Arial"/>
                <w:noProof/>
                <w:webHidden/>
                <w:sz w:val="24"/>
                <w:szCs w:val="24"/>
              </w:rPr>
            </w:r>
            <w:r w:rsidRPr="00F212DB">
              <w:rPr>
                <w:rFonts w:ascii="Arial" w:hAnsi="Arial" w:cs="Arial"/>
                <w:noProof/>
                <w:webHidden/>
                <w:sz w:val="24"/>
                <w:szCs w:val="24"/>
              </w:rPr>
              <w:fldChar w:fldCharType="separate"/>
            </w:r>
            <w:r w:rsidRPr="00F212DB">
              <w:rPr>
                <w:rFonts w:ascii="Arial" w:hAnsi="Arial" w:cs="Arial"/>
                <w:noProof/>
                <w:webHidden/>
                <w:sz w:val="24"/>
                <w:szCs w:val="24"/>
              </w:rPr>
              <w:t>26</w:t>
            </w:r>
            <w:r w:rsidRPr="00F212DB">
              <w:rPr>
                <w:rFonts w:ascii="Arial" w:hAnsi="Arial" w:cs="Arial"/>
                <w:noProof/>
                <w:webHidden/>
                <w:sz w:val="24"/>
                <w:szCs w:val="24"/>
              </w:rPr>
              <w:fldChar w:fldCharType="end"/>
            </w:r>
          </w:hyperlink>
        </w:p>
        <w:p w14:paraId="1412E21F" w14:textId="77777777" w:rsidR="00F212DB" w:rsidRDefault="00F212DB" w:rsidP="00F212DB">
          <w:pPr>
            <w:spacing w:line="360" w:lineRule="auto"/>
          </w:pPr>
          <w:r w:rsidRPr="00F212DB">
            <w:rPr>
              <w:rFonts w:ascii="Arial" w:hAnsi="Arial" w:cs="Arial"/>
              <w:b/>
              <w:bCs/>
              <w:noProof/>
              <w:sz w:val="24"/>
              <w:szCs w:val="24"/>
            </w:rPr>
            <w:fldChar w:fldCharType="end"/>
          </w:r>
        </w:p>
      </w:sdtContent>
    </w:sdt>
    <w:p w14:paraId="33797EA7" w14:textId="77777777" w:rsidR="00F212DB" w:rsidRDefault="00F212DB">
      <w:pPr>
        <w:rPr>
          <w:rFonts w:ascii="Arial" w:hAnsi="Arial" w:cs="Arial"/>
          <w:b/>
          <w:sz w:val="24"/>
          <w:szCs w:val="24"/>
          <w:lang w:val="en-US"/>
        </w:rPr>
      </w:pPr>
      <w:r>
        <w:rPr>
          <w:rFonts w:ascii="Arial" w:hAnsi="Arial" w:cs="Arial"/>
          <w:b/>
          <w:sz w:val="24"/>
          <w:szCs w:val="24"/>
          <w:lang w:val="en-US"/>
        </w:rPr>
        <w:br w:type="page"/>
      </w:r>
    </w:p>
    <w:p w14:paraId="56FC99C5" w14:textId="77777777" w:rsidR="00463820" w:rsidRPr="00F212DB" w:rsidRDefault="00463820" w:rsidP="00463820">
      <w:pPr>
        <w:spacing w:line="360" w:lineRule="auto"/>
        <w:jc w:val="both"/>
        <w:rPr>
          <w:rFonts w:ascii="Arial" w:hAnsi="Arial" w:cs="Arial"/>
          <w:b/>
          <w:sz w:val="24"/>
          <w:szCs w:val="24"/>
          <w:lang w:val="en-US"/>
        </w:rPr>
      </w:pPr>
      <w:r w:rsidRPr="00F212DB">
        <w:rPr>
          <w:rFonts w:ascii="Arial" w:hAnsi="Arial" w:cs="Arial"/>
          <w:b/>
          <w:sz w:val="24"/>
          <w:szCs w:val="24"/>
          <w:lang w:val="en-US"/>
        </w:rPr>
        <w:lastRenderedPageBreak/>
        <w:t xml:space="preserve">Chosen Company: </w:t>
      </w:r>
      <w:r w:rsidRPr="00F212DB">
        <w:rPr>
          <w:rFonts w:ascii="Arial" w:hAnsi="Arial" w:cs="Arial"/>
          <w:sz w:val="24"/>
          <w:szCs w:val="24"/>
          <w:lang w:val="en-US"/>
        </w:rPr>
        <w:t>Diageo Plc</w:t>
      </w:r>
    </w:p>
    <w:p w14:paraId="335CF188" w14:textId="77777777" w:rsidR="00463820" w:rsidRPr="00F212DB" w:rsidRDefault="00463820" w:rsidP="00F212DB">
      <w:pPr>
        <w:pStyle w:val="Heading1"/>
        <w:spacing w:line="360" w:lineRule="auto"/>
        <w:jc w:val="both"/>
        <w:rPr>
          <w:rFonts w:ascii="Arial" w:hAnsi="Arial" w:cs="Arial"/>
          <w:b/>
          <w:color w:val="auto"/>
          <w:sz w:val="24"/>
          <w:szCs w:val="24"/>
          <w:shd w:val="clear" w:color="auto" w:fill="FFFFFF"/>
        </w:rPr>
      </w:pPr>
      <w:bookmarkStart w:id="0" w:name="_Toc216374185"/>
      <w:r w:rsidRPr="00F212DB">
        <w:rPr>
          <w:rFonts w:ascii="Arial" w:hAnsi="Arial" w:cs="Arial"/>
          <w:b/>
          <w:color w:val="auto"/>
          <w:sz w:val="24"/>
          <w:szCs w:val="24"/>
          <w:shd w:val="clear" w:color="auto" w:fill="FFFFFF"/>
        </w:rPr>
        <w:t>Section 1</w:t>
      </w:r>
      <w:bookmarkEnd w:id="0"/>
      <w:r w:rsidRPr="00F212DB">
        <w:rPr>
          <w:rFonts w:ascii="Arial" w:hAnsi="Arial" w:cs="Arial"/>
          <w:b/>
          <w:color w:val="auto"/>
          <w:sz w:val="24"/>
          <w:szCs w:val="24"/>
          <w:shd w:val="clear" w:color="auto" w:fill="FFFFFF"/>
        </w:rPr>
        <w:t xml:space="preserve"> </w:t>
      </w:r>
    </w:p>
    <w:p w14:paraId="0FAAC9AC" w14:textId="77777777" w:rsidR="00463820" w:rsidRPr="00F212DB" w:rsidRDefault="00463820" w:rsidP="00F212DB">
      <w:pPr>
        <w:pStyle w:val="Heading2"/>
        <w:spacing w:line="360" w:lineRule="auto"/>
        <w:jc w:val="both"/>
        <w:rPr>
          <w:rFonts w:ascii="Arial" w:hAnsi="Arial" w:cs="Arial"/>
          <w:b/>
          <w:color w:val="auto"/>
          <w:sz w:val="24"/>
          <w:szCs w:val="24"/>
          <w:shd w:val="clear" w:color="auto" w:fill="FFFFFF"/>
        </w:rPr>
      </w:pPr>
      <w:bookmarkStart w:id="1" w:name="_Toc216374186"/>
      <w:r w:rsidRPr="00F212DB">
        <w:rPr>
          <w:rFonts w:ascii="Arial" w:hAnsi="Arial" w:cs="Arial"/>
          <w:b/>
          <w:color w:val="auto"/>
          <w:sz w:val="24"/>
          <w:szCs w:val="24"/>
          <w:shd w:val="clear" w:color="auto" w:fill="FFFFFF"/>
        </w:rPr>
        <w:t>Introduction of Company</w:t>
      </w:r>
      <w:bookmarkEnd w:id="1"/>
    </w:p>
    <w:p w14:paraId="2607881A" w14:textId="77777777" w:rsidR="00F212DB" w:rsidRDefault="00F212DB" w:rsidP="00F212DB">
      <w:pPr>
        <w:spacing w:line="360" w:lineRule="auto"/>
        <w:jc w:val="both"/>
        <w:rPr>
          <w:rFonts w:ascii="Arial" w:hAnsi="Arial" w:cs="Arial"/>
          <w:sz w:val="24"/>
          <w:szCs w:val="24"/>
        </w:rPr>
      </w:pPr>
      <w:r w:rsidRPr="00F212DB">
        <w:rPr>
          <w:rFonts w:ascii="Arial" w:hAnsi="Arial" w:cs="Arial"/>
          <w:sz w:val="24"/>
          <w:szCs w:val="24"/>
        </w:rPr>
        <w:t xml:space="preserve">Diageo Plc is a leading premium alcoholic beverage company in the world with an extensive portfolio of more than 200 distributed brands worldwide including Johnnie Walker, Smirnoff, Tanqueray, Captain Morgan and Baileys. The company has established its competitiveness in the volume of production capacity and advanced and efficient global supply chains and durable investment in brand equity, operating in over 180 markets. Over the past years Diageo has recorded a net sale exceeding US 20billion annually </w:t>
      </w:r>
      <w:proofErr w:type="gramStart"/>
      <w:r w:rsidRPr="00F212DB">
        <w:rPr>
          <w:rFonts w:ascii="Arial" w:hAnsi="Arial" w:cs="Arial"/>
          <w:sz w:val="24"/>
          <w:szCs w:val="24"/>
        </w:rPr>
        <w:t>as a result of</w:t>
      </w:r>
      <w:proofErr w:type="gramEnd"/>
      <w:r w:rsidRPr="00F212DB">
        <w:rPr>
          <w:rFonts w:ascii="Arial" w:hAnsi="Arial" w:cs="Arial"/>
          <w:sz w:val="24"/>
          <w:szCs w:val="24"/>
        </w:rPr>
        <w:t xml:space="preserve"> the high demand of premium spirits internationally and the competency of the company to achieve premiumisation strategies in the various consumer markets. The model of its growth is a combination of innovation, heritage branding and market expansion, which allows it to increase its portfolio in response to changing consumption trends, increasing middle-income and the global move toward high value categories. Nevertheless, to stay on this course there must be consistent penetration to emerging markets or frontier markets whereby high-end spirits are underrepresented, but lifestyle aspirations and urbanisation are on the increase. The above environment makes Diageo a company with the financial strength as well as strategic drive to go global and enjoy the benefits of the global experience and well-established marketing resources and established retail relationships to seize new growth patterns in markets that are moving towards the consumption of more sophisticated alcoholic beverages.</w:t>
      </w:r>
    </w:p>
    <w:p w14:paraId="09FD2544"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noProof/>
          <w:sz w:val="24"/>
          <w:szCs w:val="24"/>
          <w:lang w:val="en-IN" w:eastAsia="en-IN"/>
        </w:rPr>
        <w:lastRenderedPageBreak/>
        <w:drawing>
          <wp:inline distT="0" distB="0" distL="0" distR="0" wp14:anchorId="0DCC65E6" wp14:editId="756DD655">
            <wp:extent cx="4550410" cy="547501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54978" cy="5480507"/>
                    </a:xfrm>
                    <a:prstGeom prst="rect">
                      <a:avLst/>
                    </a:prstGeom>
                  </pic:spPr>
                </pic:pic>
              </a:graphicData>
            </a:graphic>
          </wp:inline>
        </w:drawing>
      </w:r>
    </w:p>
    <w:p w14:paraId="4F8B50AF"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sz w:val="24"/>
          <w:szCs w:val="24"/>
          <w:lang w:val="en-IN" w:eastAsia="en-IN"/>
        </w:rPr>
        <w:t>Fig 1: Company Highlights</w:t>
      </w:r>
    </w:p>
    <w:p w14:paraId="2EA31F25"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sz w:val="24"/>
          <w:szCs w:val="24"/>
          <w:lang w:val="en-IN" w:eastAsia="en-IN"/>
        </w:rPr>
        <w:t>Source:</w:t>
      </w:r>
      <w:r w:rsidRPr="00130145">
        <w:rPr>
          <w:rFonts w:ascii="Arial" w:hAnsi="Arial" w:cs="Arial"/>
          <w:sz w:val="24"/>
          <w:szCs w:val="24"/>
        </w:rPr>
        <w:t xml:space="preserve"> </w:t>
      </w:r>
      <w:r w:rsidRPr="00130145">
        <w:rPr>
          <w:rFonts w:ascii="Arial" w:eastAsia="Times New Roman" w:hAnsi="Arial" w:cs="Arial"/>
          <w:sz w:val="24"/>
          <w:szCs w:val="24"/>
          <w:lang w:val="en-IN" w:eastAsia="en-IN"/>
        </w:rPr>
        <w:t>(Diageo Plc, 2025)</w:t>
      </w:r>
    </w:p>
    <w:p w14:paraId="42EE928D" w14:textId="77777777" w:rsidR="00E1716F" w:rsidRPr="00F212DB" w:rsidRDefault="00463820" w:rsidP="00F212DB">
      <w:pPr>
        <w:pStyle w:val="Heading2"/>
        <w:spacing w:line="360" w:lineRule="auto"/>
        <w:jc w:val="both"/>
        <w:rPr>
          <w:rFonts w:ascii="Arial" w:hAnsi="Arial" w:cs="Arial"/>
          <w:b/>
          <w:color w:val="auto"/>
          <w:sz w:val="24"/>
          <w:szCs w:val="24"/>
          <w:lang w:val="en-US"/>
        </w:rPr>
      </w:pPr>
      <w:bookmarkStart w:id="2" w:name="_Toc216374187"/>
      <w:r w:rsidRPr="00F212DB">
        <w:rPr>
          <w:rFonts w:ascii="Arial" w:hAnsi="Arial" w:cs="Arial"/>
          <w:b/>
          <w:color w:val="auto"/>
          <w:sz w:val="24"/>
          <w:szCs w:val="24"/>
          <w:shd w:val="clear" w:color="auto" w:fill="FFFFFF"/>
        </w:rPr>
        <w:t>Market Analysis and Entry of that sector</w:t>
      </w:r>
      <w:bookmarkEnd w:id="2"/>
      <w:r w:rsidRPr="00F212DB">
        <w:rPr>
          <w:rFonts w:ascii="Arial" w:hAnsi="Arial" w:cs="Arial"/>
          <w:b/>
          <w:color w:val="auto"/>
          <w:sz w:val="24"/>
          <w:szCs w:val="24"/>
          <w:lang w:val="en-US"/>
        </w:rPr>
        <w:t xml:space="preserve"> </w:t>
      </w:r>
    </w:p>
    <w:p w14:paraId="55790955"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Industry overview and market size</w:t>
      </w:r>
    </w:p>
    <w:p w14:paraId="1F67E11D" w14:textId="77777777" w:rsidR="00F212DB" w:rsidRPr="009A5570"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 xml:space="preserve">The market of alcoholic beverages in Mongolia is not that large and still growing, and the overall sales are predicted to increase to approximately US$433 million in 2026 as compared to approximately US$372 million in 2021. There is a relatively small population of approximately 3.5 million, but almost 50 percent of the population resides in Ulaanbaatar, so the premium brands can scale with few distribution investment costs. As the GDP growth is expected to be between 5-6.6% by 2025, consumer </w:t>
      </w:r>
      <w:r w:rsidRPr="00F212DB">
        <w:rPr>
          <w:rFonts w:ascii="Arial" w:eastAsia="Times New Roman" w:hAnsi="Arial" w:cs="Arial"/>
          <w:sz w:val="24"/>
          <w:szCs w:val="24"/>
          <w:lang w:val="en-IN" w:eastAsia="en-IN"/>
        </w:rPr>
        <w:lastRenderedPageBreak/>
        <w:t>spending power is projected to be high and therefore the market would be appealing to premium spirits to be targeted as opposed to mass-volume tactics</w:t>
      </w:r>
      <w:r>
        <w:rPr>
          <w:rFonts w:ascii="Arial" w:eastAsia="Times New Roman" w:hAnsi="Arial" w:cs="Arial"/>
          <w:sz w:val="24"/>
          <w:szCs w:val="24"/>
          <w:lang w:val="en-IN" w:eastAsia="en-IN"/>
        </w:rPr>
        <w:t xml:space="preserve"> </w:t>
      </w:r>
      <w:r w:rsidRPr="00854FEC">
        <w:rPr>
          <w:rFonts w:ascii="Arial" w:eastAsia="Times New Roman" w:hAnsi="Arial" w:cs="Arial"/>
          <w:sz w:val="24"/>
          <w:szCs w:val="24"/>
          <w:lang w:val="en-IN" w:eastAsia="en-IN"/>
        </w:rPr>
        <w:t>(Salonen, 2024)</w:t>
      </w:r>
      <w:r w:rsidRPr="00F212DB">
        <w:rPr>
          <w:rFonts w:ascii="Arial" w:eastAsia="Times New Roman" w:hAnsi="Arial" w:cs="Arial"/>
          <w:sz w:val="24"/>
          <w:szCs w:val="24"/>
          <w:lang w:val="en-IN" w:eastAsia="en-IN"/>
        </w:rPr>
        <w:t>.</w:t>
      </w:r>
    </w:p>
    <w:p w14:paraId="6F33EA34"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Consumer demographics and consumption patterns</w:t>
      </w:r>
    </w:p>
    <w:p w14:paraId="35ACB079" w14:textId="77777777" w:rsidR="00F212DB" w:rsidRPr="009A5570"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The high urbanisation and young population of Mongolia favour the demand of high-quality experience. There has been a high level of exposure to spirits as the total alcohol consumption per adult is around 7.7 litres of pure alcohol</w:t>
      </w:r>
      <w:r>
        <w:rPr>
          <w:rFonts w:ascii="Arial" w:eastAsia="Times New Roman" w:hAnsi="Arial" w:cs="Arial"/>
          <w:sz w:val="24"/>
          <w:szCs w:val="24"/>
          <w:lang w:val="en-IN" w:eastAsia="en-IN"/>
        </w:rPr>
        <w:t xml:space="preserve"> </w:t>
      </w:r>
      <w:r w:rsidRPr="00854FEC">
        <w:rPr>
          <w:rFonts w:ascii="Arial" w:eastAsia="Times New Roman" w:hAnsi="Arial" w:cs="Arial"/>
          <w:sz w:val="24"/>
          <w:szCs w:val="24"/>
          <w:lang w:val="en-IN" w:eastAsia="en-IN"/>
        </w:rPr>
        <w:t>(Abdulsalam and Abdullahi, 2024)</w:t>
      </w:r>
      <w:r w:rsidRPr="00F212DB">
        <w:rPr>
          <w:rFonts w:ascii="Arial" w:eastAsia="Times New Roman" w:hAnsi="Arial" w:cs="Arial"/>
          <w:sz w:val="24"/>
          <w:szCs w:val="24"/>
          <w:lang w:val="en-IN" w:eastAsia="en-IN"/>
        </w:rPr>
        <w:t>. The on-trade positioning, and online interactions are important channels through which the urban consumers who have been impacted by the culture of nightlife and social media exposure are becoming receptive to imported premium brands to convert quickly.</w:t>
      </w:r>
    </w:p>
    <w:p w14:paraId="3CFAD4DE"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Distribution channels and logistics economics</w:t>
      </w:r>
    </w:p>
    <w:p w14:paraId="7DC52A5A" w14:textId="77777777" w:rsidR="00F212DB" w:rsidRPr="009A5570"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Imports are shipped using limited centralised logistics points, which enables distribution to be efficient and relies on well-established partners. The average applied MFN tariffs stand at approximately 5 percent, but the costs of landing are increased by VAT and excise duties. Contemporary retail and hospitality outlets are expanding, yet domestic manufacturers continue to take over shelf space hence new entrants are forced to negotiate good terms of trade to have a presence</w:t>
      </w:r>
      <w:r>
        <w:rPr>
          <w:rFonts w:ascii="Arial" w:eastAsia="Times New Roman" w:hAnsi="Arial" w:cs="Arial"/>
          <w:sz w:val="24"/>
          <w:szCs w:val="24"/>
          <w:lang w:val="en-IN" w:eastAsia="en-IN"/>
        </w:rPr>
        <w:t xml:space="preserve"> </w:t>
      </w:r>
      <w:r w:rsidRPr="00854FEC">
        <w:rPr>
          <w:rFonts w:ascii="Arial" w:eastAsia="Times New Roman" w:hAnsi="Arial" w:cs="Arial"/>
          <w:sz w:val="24"/>
          <w:szCs w:val="24"/>
          <w:lang w:val="en-IN" w:eastAsia="en-IN"/>
        </w:rPr>
        <w:t xml:space="preserve">(Gazzola </w:t>
      </w:r>
      <w:r w:rsidRPr="00130145">
        <w:rPr>
          <w:rFonts w:ascii="Arial" w:eastAsia="Times New Roman" w:hAnsi="Arial" w:cs="Arial"/>
          <w:i/>
          <w:iCs/>
          <w:sz w:val="24"/>
          <w:szCs w:val="24"/>
          <w:lang w:val="en-IN" w:eastAsia="en-IN"/>
        </w:rPr>
        <w:t>et al.</w:t>
      </w:r>
      <w:r w:rsidRPr="00854FEC">
        <w:rPr>
          <w:rFonts w:ascii="Arial" w:eastAsia="Times New Roman" w:hAnsi="Arial" w:cs="Arial"/>
          <w:sz w:val="24"/>
          <w:szCs w:val="24"/>
          <w:lang w:val="en-IN" w:eastAsia="en-IN"/>
        </w:rPr>
        <w:t>, 2024)</w:t>
      </w:r>
      <w:r w:rsidRPr="00F212DB">
        <w:rPr>
          <w:rFonts w:ascii="Arial" w:eastAsia="Times New Roman" w:hAnsi="Arial" w:cs="Arial"/>
          <w:sz w:val="24"/>
          <w:szCs w:val="24"/>
          <w:lang w:val="en-IN" w:eastAsia="en-IN"/>
        </w:rPr>
        <w:t>.</w:t>
      </w:r>
    </w:p>
    <w:p w14:paraId="0FF6B982"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Regulatory, taxation and public-health environment</w:t>
      </w:r>
    </w:p>
    <w:p w14:paraId="0737589E" w14:textId="77777777" w:rsidR="00F212DB" w:rsidRPr="009A5570"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 xml:space="preserve">The sale of alcohol, advertising and licensing is actively regulated in Mongolia. Though custom tariffs are moderate, VAT 10 and excise duty have an enormous impact on pricing initiatives of importers of spirits. Increasing public-health issues regarding the use of alcohol imply that businesses </w:t>
      </w:r>
      <w:proofErr w:type="gramStart"/>
      <w:r w:rsidRPr="00F212DB">
        <w:rPr>
          <w:rFonts w:ascii="Arial" w:eastAsia="Times New Roman" w:hAnsi="Arial" w:cs="Arial"/>
          <w:sz w:val="24"/>
          <w:szCs w:val="24"/>
          <w:lang w:val="en-IN" w:eastAsia="en-IN"/>
        </w:rPr>
        <w:t>have to</w:t>
      </w:r>
      <w:proofErr w:type="gramEnd"/>
      <w:r w:rsidRPr="00F212DB">
        <w:rPr>
          <w:rFonts w:ascii="Arial" w:eastAsia="Times New Roman" w:hAnsi="Arial" w:cs="Arial"/>
          <w:sz w:val="24"/>
          <w:szCs w:val="24"/>
          <w:lang w:val="en-IN" w:eastAsia="en-IN"/>
        </w:rPr>
        <w:t xml:space="preserve"> ensure high adherence to compliance and invest in responsible-drinking programs </w:t>
      </w:r>
      <w:proofErr w:type="gramStart"/>
      <w:r w:rsidRPr="00F212DB">
        <w:rPr>
          <w:rFonts w:ascii="Arial" w:eastAsia="Times New Roman" w:hAnsi="Arial" w:cs="Arial"/>
          <w:sz w:val="24"/>
          <w:szCs w:val="24"/>
          <w:lang w:val="en-IN" w:eastAsia="en-IN"/>
        </w:rPr>
        <w:t>in order to</w:t>
      </w:r>
      <w:proofErr w:type="gramEnd"/>
      <w:r w:rsidRPr="00F212DB">
        <w:rPr>
          <w:rFonts w:ascii="Arial" w:eastAsia="Times New Roman" w:hAnsi="Arial" w:cs="Arial"/>
          <w:sz w:val="24"/>
          <w:szCs w:val="24"/>
          <w:lang w:val="en-IN" w:eastAsia="en-IN"/>
        </w:rPr>
        <w:t xml:space="preserve"> establish long-term legitimacy.</w:t>
      </w:r>
    </w:p>
    <w:p w14:paraId="714F5533"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Competitive landscape and incumbent strengths</w:t>
      </w:r>
    </w:p>
    <w:p w14:paraId="0B848163" w14:textId="77777777" w:rsidR="00F212DB" w:rsidRPr="009A5570"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APU JSC is a sector leader and holds about two-third of vodka market and a significant portion of beer distribution. This has guaranteed good relations with retailers and pricing strength that bar entry by foreign brands</w:t>
      </w:r>
      <w:r>
        <w:rPr>
          <w:rFonts w:ascii="Arial" w:eastAsia="Times New Roman" w:hAnsi="Arial" w:cs="Arial"/>
          <w:sz w:val="24"/>
          <w:szCs w:val="24"/>
          <w:lang w:val="en-IN" w:eastAsia="en-IN"/>
        </w:rPr>
        <w:t xml:space="preserve"> </w:t>
      </w:r>
      <w:r w:rsidRPr="00854FEC">
        <w:rPr>
          <w:rFonts w:ascii="Arial" w:eastAsia="Times New Roman" w:hAnsi="Arial" w:cs="Arial"/>
          <w:sz w:val="24"/>
          <w:szCs w:val="24"/>
          <w:lang w:val="en-IN" w:eastAsia="en-IN"/>
        </w:rPr>
        <w:t>(Grant, 2024)</w:t>
      </w:r>
      <w:r w:rsidRPr="00F212DB">
        <w:rPr>
          <w:rFonts w:ascii="Arial" w:eastAsia="Times New Roman" w:hAnsi="Arial" w:cs="Arial"/>
          <w:sz w:val="24"/>
          <w:szCs w:val="24"/>
          <w:lang w:val="en-IN" w:eastAsia="en-IN"/>
        </w:rPr>
        <w:t xml:space="preserve">. Nevertheless, high-end </w:t>
      </w:r>
      <w:r w:rsidRPr="00F212DB">
        <w:rPr>
          <w:rFonts w:ascii="Arial" w:eastAsia="Times New Roman" w:hAnsi="Arial" w:cs="Arial"/>
          <w:sz w:val="24"/>
          <w:szCs w:val="24"/>
          <w:lang w:val="en-IN" w:eastAsia="en-IN"/>
        </w:rPr>
        <w:lastRenderedPageBreak/>
        <w:t>imported spirits are yet to be developed, and it is an opportunity to grow a company capable of differentiation by quality and brand.</w:t>
      </w:r>
    </w:p>
    <w:p w14:paraId="7564702E"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Digital, marketing and consumer acquisition dynamics</w:t>
      </w:r>
    </w:p>
    <w:p w14:paraId="29307DE9" w14:textId="77777777" w:rsidR="00F212DB" w:rsidRPr="009A5570"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Having a population of approximately 2.90 million internet users (83% penetration) and more than 2.6 million active social media identities, the country provides a very digital consumer base. Such an environment helps in promotions that are cost-effective, brand stories and promotions influenced by influencers. Use of digital-first strategies aid premium brands to gain momentum in short time before full physical distribution is achieved.</w:t>
      </w:r>
    </w:p>
    <w:p w14:paraId="445B2E62" w14:textId="77777777" w:rsidR="00F212DB" w:rsidRPr="00F212DB" w:rsidRDefault="00F212DB" w:rsidP="00F212DB">
      <w:pPr>
        <w:spacing w:line="360" w:lineRule="auto"/>
        <w:jc w:val="both"/>
        <w:rPr>
          <w:rFonts w:ascii="Arial" w:hAnsi="Arial" w:cs="Arial"/>
          <w:b/>
          <w:sz w:val="24"/>
          <w:szCs w:val="24"/>
        </w:rPr>
      </w:pPr>
      <w:r w:rsidRPr="00F212DB">
        <w:rPr>
          <w:rFonts w:ascii="Arial" w:hAnsi="Arial" w:cs="Arial"/>
          <w:b/>
          <w:sz w:val="24"/>
          <w:szCs w:val="24"/>
        </w:rPr>
        <w:t>Recommended market entry levers and timing</w:t>
      </w:r>
    </w:p>
    <w:p w14:paraId="790F3E2A" w14:textId="77777777" w:rsidR="00F212DB"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F212DB">
        <w:rPr>
          <w:rFonts w:ascii="Arial" w:eastAsia="Times New Roman" w:hAnsi="Arial" w:cs="Arial"/>
          <w:sz w:val="24"/>
          <w:szCs w:val="24"/>
          <w:lang w:val="en-IN" w:eastAsia="en-IN"/>
        </w:rPr>
        <w:t>The most appropriate entry strategy will be a phased entry approach in which at the initial stage, it would start with exporting as an exclusive distributor to identify the market, then apply digital marketing to create visibility, and finally increase to experiential retailing or partnerships after premium traction has been established. In the event of stabilisation of growth, a joint venture model will build long term distribution strength with minimal early capital risk.</w:t>
      </w:r>
      <w:r>
        <w:rPr>
          <w:rFonts w:ascii="Arial" w:eastAsia="Times New Roman" w:hAnsi="Arial" w:cs="Arial"/>
          <w:sz w:val="24"/>
          <w:szCs w:val="24"/>
          <w:lang w:val="en-IN" w:eastAsia="en-IN"/>
        </w:rPr>
        <w:t xml:space="preserve"> </w:t>
      </w:r>
      <w:r w:rsidRPr="00130145">
        <w:rPr>
          <w:rFonts w:ascii="Arial" w:hAnsi="Arial" w:cs="Arial"/>
          <w:sz w:val="24"/>
          <w:szCs w:val="24"/>
        </w:rPr>
        <w:t>The Fiscal 2025 results indicate that Diageo has net sales in the amount of $20.245bn, operating profit in the amount of 4.335bn and operating cash flow in the amount of 4.297bn, which are very stable as it concerns sales but lower in terms of profitability than it was in 2024.</w:t>
      </w:r>
    </w:p>
    <w:p w14:paraId="58D0C5EC" w14:textId="77777777" w:rsidR="00F212DB" w:rsidRPr="00130145" w:rsidRDefault="00F212DB" w:rsidP="00F212DB">
      <w:pPr>
        <w:spacing w:before="100" w:beforeAutospacing="1" w:after="100" w:afterAutospacing="1" w:line="360" w:lineRule="auto"/>
        <w:jc w:val="center"/>
        <w:rPr>
          <w:rFonts w:ascii="Arial" w:eastAsia="Times New Roman" w:hAnsi="Arial" w:cs="Arial"/>
          <w:sz w:val="24"/>
          <w:szCs w:val="24"/>
          <w:lang w:val="en-IN" w:eastAsia="en-IN"/>
        </w:rPr>
      </w:pPr>
      <w:r w:rsidRPr="00130145">
        <w:rPr>
          <w:rFonts w:ascii="Arial" w:eastAsia="Times New Roman" w:hAnsi="Arial" w:cs="Arial"/>
          <w:noProof/>
          <w:sz w:val="24"/>
          <w:szCs w:val="24"/>
          <w:lang w:val="en-IN" w:eastAsia="en-IN"/>
        </w:rPr>
        <w:lastRenderedPageBreak/>
        <w:drawing>
          <wp:inline distT="0" distB="0" distL="0" distR="0" wp14:anchorId="11C47A69" wp14:editId="3998C79E">
            <wp:extent cx="4029637" cy="4105848"/>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29637" cy="4105848"/>
                    </a:xfrm>
                    <a:prstGeom prst="rect">
                      <a:avLst/>
                    </a:prstGeom>
                  </pic:spPr>
                </pic:pic>
              </a:graphicData>
            </a:graphic>
          </wp:inline>
        </w:drawing>
      </w:r>
    </w:p>
    <w:p w14:paraId="5C45C187"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sz w:val="24"/>
          <w:szCs w:val="24"/>
          <w:lang w:val="en-IN" w:eastAsia="en-IN"/>
        </w:rPr>
        <w:t xml:space="preserve">Fig 2: Financial Performance </w:t>
      </w:r>
    </w:p>
    <w:p w14:paraId="7B1E4D3A"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sz w:val="24"/>
          <w:szCs w:val="24"/>
          <w:lang w:val="en-IN" w:eastAsia="en-IN"/>
        </w:rPr>
        <w:t>Source:</w:t>
      </w:r>
      <w:r w:rsidRPr="00130145">
        <w:rPr>
          <w:rFonts w:ascii="Arial" w:hAnsi="Arial" w:cs="Arial"/>
          <w:sz w:val="24"/>
          <w:szCs w:val="24"/>
        </w:rPr>
        <w:t xml:space="preserve"> </w:t>
      </w:r>
      <w:r w:rsidRPr="00130145">
        <w:rPr>
          <w:rFonts w:ascii="Arial" w:eastAsia="Times New Roman" w:hAnsi="Arial" w:cs="Arial"/>
          <w:sz w:val="24"/>
          <w:szCs w:val="24"/>
          <w:lang w:val="en-IN" w:eastAsia="en-IN"/>
        </w:rPr>
        <w:t>(Diageo Plc, 2025)</w:t>
      </w:r>
    </w:p>
    <w:p w14:paraId="5485AD92" w14:textId="77777777" w:rsidR="00F212DB" w:rsidRPr="00130145" w:rsidRDefault="00F212DB" w:rsidP="00F212DB">
      <w:pPr>
        <w:pStyle w:val="Heading2"/>
        <w:spacing w:line="360" w:lineRule="auto"/>
        <w:jc w:val="both"/>
        <w:rPr>
          <w:rFonts w:ascii="Arial" w:hAnsi="Arial" w:cs="Arial"/>
          <w:b/>
          <w:color w:val="auto"/>
          <w:sz w:val="24"/>
          <w:szCs w:val="24"/>
        </w:rPr>
      </w:pPr>
      <w:bookmarkStart w:id="3" w:name="_Toc216374188"/>
      <w:r w:rsidRPr="00130145">
        <w:rPr>
          <w:rFonts w:ascii="Arial" w:hAnsi="Arial" w:cs="Arial"/>
          <w:b/>
          <w:color w:val="auto"/>
          <w:sz w:val="24"/>
          <w:szCs w:val="24"/>
        </w:rPr>
        <w:t>Organisation and propose a new international market for expansion</w:t>
      </w:r>
      <w:bookmarkEnd w:id="3"/>
    </w:p>
    <w:p w14:paraId="27608B7D" w14:textId="77777777" w:rsidR="00F212DB" w:rsidRPr="00130145" w:rsidRDefault="00F212DB" w:rsidP="00F212DB">
      <w:pPr>
        <w:spacing w:before="100" w:beforeAutospacing="1" w:after="100" w:afterAutospacing="1" w:line="360" w:lineRule="auto"/>
        <w:jc w:val="both"/>
        <w:rPr>
          <w:rFonts w:ascii="Arial" w:hAnsi="Arial" w:cs="Arial"/>
          <w:sz w:val="24"/>
          <w:szCs w:val="24"/>
        </w:rPr>
      </w:pPr>
      <w:r w:rsidRPr="00130145">
        <w:rPr>
          <w:rFonts w:ascii="Arial" w:hAnsi="Arial" w:cs="Arial"/>
          <w:sz w:val="24"/>
          <w:szCs w:val="24"/>
        </w:rPr>
        <w:t xml:space="preserve">In the modern international business world, multinational organisations </w:t>
      </w:r>
      <w:proofErr w:type="gramStart"/>
      <w:r w:rsidRPr="00130145">
        <w:rPr>
          <w:rFonts w:ascii="Arial" w:hAnsi="Arial" w:cs="Arial"/>
          <w:sz w:val="24"/>
          <w:szCs w:val="24"/>
        </w:rPr>
        <w:t>have to</w:t>
      </w:r>
      <w:proofErr w:type="gramEnd"/>
      <w:r w:rsidRPr="00130145">
        <w:rPr>
          <w:rFonts w:ascii="Arial" w:hAnsi="Arial" w:cs="Arial"/>
          <w:sz w:val="24"/>
          <w:szCs w:val="24"/>
        </w:rPr>
        <w:t xml:space="preserve"> constantly scan the opportunities arising to remain competitive and guarantee their </w:t>
      </w:r>
      <w:proofErr w:type="gramStart"/>
      <w:r w:rsidRPr="00130145">
        <w:rPr>
          <w:rFonts w:ascii="Arial" w:hAnsi="Arial" w:cs="Arial"/>
          <w:sz w:val="24"/>
          <w:szCs w:val="24"/>
        </w:rPr>
        <w:t>long term</w:t>
      </w:r>
      <w:proofErr w:type="gramEnd"/>
      <w:r w:rsidRPr="00130145">
        <w:rPr>
          <w:rFonts w:ascii="Arial" w:hAnsi="Arial" w:cs="Arial"/>
          <w:sz w:val="24"/>
          <w:szCs w:val="24"/>
        </w:rPr>
        <w:t xml:space="preserve"> growth. Diageo Plc is a globally reputed producer of premium brands of spirits and beers having a large portfolio comprising of Johnnie Walker, Guinness, Smirnoff, Tanqueray, and Baileys. Although Diageo has a wide international presence, it is not operating in Mongolia directly and, as such, it is a real market to expand </w:t>
      </w:r>
      <w:r w:rsidRPr="00854FEC">
        <w:rPr>
          <w:rFonts w:ascii="Arial" w:eastAsia="Times New Roman" w:hAnsi="Arial" w:cs="Arial"/>
          <w:sz w:val="24"/>
          <w:szCs w:val="24"/>
          <w:lang w:val="en-IN" w:eastAsia="en-IN"/>
        </w:rPr>
        <w:t>(Kannan, 2025)</w:t>
      </w:r>
      <w:r w:rsidRPr="00130145">
        <w:rPr>
          <w:rFonts w:ascii="Arial" w:hAnsi="Arial" w:cs="Arial"/>
          <w:sz w:val="24"/>
          <w:szCs w:val="24"/>
        </w:rPr>
        <w:t xml:space="preserve">. As described in Diageo 2025 snapshot, the company boasts of global strength with a </w:t>
      </w:r>
      <w:proofErr w:type="gramStart"/>
      <w:r w:rsidRPr="00130145">
        <w:rPr>
          <w:rFonts w:ascii="Arial" w:hAnsi="Arial" w:cs="Arial"/>
          <w:sz w:val="24"/>
          <w:szCs w:val="24"/>
        </w:rPr>
        <w:t>net sales</w:t>
      </w:r>
      <w:proofErr w:type="gramEnd"/>
      <w:r w:rsidRPr="00130145">
        <w:rPr>
          <w:rFonts w:ascii="Arial" w:hAnsi="Arial" w:cs="Arial"/>
          <w:sz w:val="24"/>
          <w:szCs w:val="24"/>
        </w:rPr>
        <w:t xml:space="preserve"> of 20.2bn, dominating all the major spirit categories, and establishing a presence in 180+ markets with 200+ brands. But to maintain its market leadership, it is necessary to venture into new international markets where penetration is not that much. In this report, Mongolia is suggested as a new market of expansion by Diageo. The report will create a comprehensive global expansion strategy to meet </w:t>
      </w:r>
      <w:r w:rsidRPr="00130145">
        <w:rPr>
          <w:rFonts w:ascii="Arial" w:hAnsi="Arial" w:cs="Arial"/>
          <w:sz w:val="24"/>
          <w:szCs w:val="24"/>
        </w:rPr>
        <w:lastRenderedPageBreak/>
        <w:t>the long-term global goals of Diageo using strategic analysis frameworks, market analysis, and performance parameters that are driven by sustainability.</w:t>
      </w:r>
    </w:p>
    <w:p w14:paraId="3DD3FEE5" w14:textId="77777777" w:rsidR="00F212DB" w:rsidRPr="006A1DFE" w:rsidRDefault="00F212DB" w:rsidP="00F212DB">
      <w:pPr>
        <w:spacing w:line="360" w:lineRule="auto"/>
        <w:jc w:val="both"/>
        <w:rPr>
          <w:rFonts w:ascii="Arial" w:hAnsi="Arial" w:cs="Arial"/>
          <w:sz w:val="24"/>
          <w:szCs w:val="24"/>
        </w:rPr>
      </w:pPr>
    </w:p>
    <w:p w14:paraId="08E671C9" w14:textId="77777777" w:rsidR="00F212DB" w:rsidRDefault="00F212DB">
      <w:pPr>
        <w:rPr>
          <w:rStyle w:val="Heading1Char"/>
          <w:rFonts w:ascii="Arial" w:hAnsi="Arial" w:cs="Arial"/>
          <w:b/>
          <w:color w:val="auto"/>
          <w:sz w:val="24"/>
          <w:szCs w:val="24"/>
        </w:rPr>
      </w:pPr>
      <w:r>
        <w:rPr>
          <w:rStyle w:val="Heading1Char"/>
          <w:rFonts w:ascii="Arial" w:hAnsi="Arial" w:cs="Arial"/>
          <w:b/>
          <w:color w:val="auto"/>
          <w:sz w:val="24"/>
          <w:szCs w:val="24"/>
        </w:rPr>
        <w:br w:type="page"/>
      </w:r>
    </w:p>
    <w:p w14:paraId="0BA7D04A" w14:textId="77777777" w:rsidR="00463820" w:rsidRPr="00463820" w:rsidRDefault="00463820" w:rsidP="00F212DB">
      <w:pPr>
        <w:pStyle w:val="Heading1"/>
        <w:rPr>
          <w:bCs/>
          <w:shd w:val="clear" w:color="auto" w:fill="FFFFFF"/>
        </w:rPr>
      </w:pPr>
      <w:bookmarkStart w:id="4" w:name="_Toc216374189"/>
      <w:r w:rsidRPr="00463820">
        <w:rPr>
          <w:rStyle w:val="Heading1Char"/>
          <w:rFonts w:ascii="Arial" w:hAnsi="Arial" w:cs="Arial"/>
          <w:b/>
          <w:color w:val="auto"/>
          <w:sz w:val="24"/>
          <w:szCs w:val="24"/>
        </w:rPr>
        <w:lastRenderedPageBreak/>
        <w:t>Section 2</w:t>
      </w:r>
      <w:bookmarkEnd w:id="4"/>
      <w:r w:rsidRPr="00463820">
        <w:rPr>
          <w:rStyle w:val="Heading1Char"/>
          <w:rFonts w:ascii="Arial" w:hAnsi="Arial" w:cs="Arial"/>
          <w:b/>
          <w:color w:val="auto"/>
          <w:sz w:val="24"/>
          <w:szCs w:val="24"/>
        </w:rPr>
        <w:t xml:space="preserve"> </w:t>
      </w:r>
    </w:p>
    <w:p w14:paraId="3FEE5710" w14:textId="77777777" w:rsidR="00463820" w:rsidRPr="00463820" w:rsidRDefault="00463820" w:rsidP="00F212DB">
      <w:pPr>
        <w:pStyle w:val="Heading2"/>
        <w:rPr>
          <w:rStyle w:val="Heading2Char"/>
          <w:rFonts w:ascii="Arial" w:hAnsi="Arial" w:cs="Arial"/>
          <w:b/>
          <w:color w:val="auto"/>
          <w:sz w:val="24"/>
          <w:szCs w:val="24"/>
        </w:rPr>
      </w:pPr>
      <w:bookmarkStart w:id="5" w:name="_Toc216374190"/>
      <w:r w:rsidRPr="00463820">
        <w:rPr>
          <w:rStyle w:val="Heading2Char"/>
          <w:rFonts w:ascii="Arial" w:hAnsi="Arial" w:cs="Arial"/>
          <w:b/>
          <w:color w:val="auto"/>
          <w:sz w:val="24"/>
          <w:szCs w:val="24"/>
        </w:rPr>
        <w:t>PESTLE Analysis</w:t>
      </w:r>
      <w:bookmarkEnd w:id="5"/>
      <w:r w:rsidRPr="00463820">
        <w:rPr>
          <w:rStyle w:val="Heading2Char"/>
          <w:rFonts w:ascii="Arial" w:hAnsi="Arial" w:cs="Arial"/>
          <w:b/>
          <w:color w:val="auto"/>
          <w:sz w:val="24"/>
          <w:szCs w:val="24"/>
        </w:rPr>
        <w:t xml:space="preserve"> </w:t>
      </w:r>
    </w:p>
    <w:p w14:paraId="358ED2C9"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Political</w:t>
      </w:r>
    </w:p>
    <w:p w14:paraId="433937EB" w14:textId="77777777" w:rsidR="00463820" w:rsidRPr="00463820" w:rsidRDefault="00463820" w:rsidP="00463820">
      <w:pPr>
        <w:spacing w:before="100" w:beforeAutospacing="1" w:after="100" w:afterAutospacing="1" w:line="360" w:lineRule="auto"/>
        <w:jc w:val="both"/>
        <w:rPr>
          <w:rFonts w:ascii="Arial" w:eastAsia="Times New Roman" w:hAnsi="Arial" w:cs="Arial"/>
          <w:sz w:val="24"/>
          <w:szCs w:val="24"/>
          <w:lang w:val="en-IN" w:eastAsia="en-IN"/>
        </w:rPr>
      </w:pPr>
      <w:r w:rsidRPr="00463820">
        <w:rPr>
          <w:rFonts w:ascii="Arial" w:hAnsi="Arial" w:cs="Arial"/>
          <w:sz w:val="24"/>
          <w:szCs w:val="24"/>
        </w:rPr>
        <w:t xml:space="preserve">The political situation in Mongolia is widely stable, liberal and as such it is open to foreign investments </w:t>
      </w:r>
      <w:proofErr w:type="gramStart"/>
      <w:r w:rsidRPr="00463820">
        <w:rPr>
          <w:rFonts w:ascii="Arial" w:hAnsi="Arial" w:cs="Arial"/>
          <w:sz w:val="24"/>
          <w:szCs w:val="24"/>
        </w:rPr>
        <w:t>and also</w:t>
      </w:r>
      <w:proofErr w:type="gramEnd"/>
      <w:r w:rsidRPr="00463820">
        <w:rPr>
          <w:rFonts w:ascii="Arial" w:hAnsi="Arial" w:cs="Arial"/>
          <w:sz w:val="24"/>
          <w:szCs w:val="24"/>
        </w:rPr>
        <w:t xml:space="preserve"> the indication that the state is sensitive to commodity cycles since mining constitutes majority of the state revenues of the state. A high growth </w:t>
      </w:r>
      <w:proofErr w:type="gramStart"/>
      <w:r w:rsidRPr="00463820">
        <w:rPr>
          <w:rFonts w:ascii="Arial" w:hAnsi="Arial" w:cs="Arial"/>
          <w:sz w:val="24"/>
          <w:szCs w:val="24"/>
        </w:rPr>
        <w:t>in the near future</w:t>
      </w:r>
      <w:proofErr w:type="gramEnd"/>
      <w:r w:rsidRPr="00463820">
        <w:rPr>
          <w:rFonts w:ascii="Arial" w:hAnsi="Arial" w:cs="Arial"/>
          <w:sz w:val="24"/>
          <w:szCs w:val="24"/>
        </w:rPr>
        <w:t xml:space="preserve"> (IMF 2025 real GDP = 5.5; World Bank 2025 forecast = 6.3) enables the IMF and World Bank to strengthen government revenues and consumer demand but changes policies based on whether they achieve the target of mineral exports or not </w:t>
      </w:r>
      <w:r w:rsidRPr="00463820">
        <w:rPr>
          <w:rFonts w:ascii="Arial" w:eastAsia="Times New Roman" w:hAnsi="Arial" w:cs="Arial"/>
          <w:sz w:val="24"/>
          <w:szCs w:val="24"/>
          <w:lang w:val="en-IN" w:eastAsia="en-IN"/>
        </w:rPr>
        <w:t>(Quinn et al., 2024)</w:t>
      </w:r>
      <w:r w:rsidRPr="00463820">
        <w:rPr>
          <w:rFonts w:ascii="Arial" w:hAnsi="Arial" w:cs="Arial"/>
          <w:sz w:val="24"/>
          <w:szCs w:val="24"/>
        </w:rPr>
        <w:t xml:space="preserve">. Its domestic policies encourage foreign investment the government actively encourages foreign investment (there are special tax regimes such as free-trade zones and other incentives on qualifying projects) but the Investment Law in force expressly proscribes tobacco and alcohol as future tax-stabilised performance, in the direction of decreased predictability of the excise-sensitive business. </w:t>
      </w:r>
    </w:p>
    <w:p w14:paraId="0523167B"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b/>
        </w:rPr>
        <w:t>Economic</w:t>
      </w:r>
    </w:p>
    <w:p w14:paraId="2E221393" w14:textId="77777777" w:rsidR="00463820" w:rsidRPr="00463820" w:rsidRDefault="00463820" w:rsidP="00463820">
      <w:pPr>
        <w:spacing w:before="100" w:beforeAutospacing="1" w:after="100" w:afterAutospacing="1" w:line="360" w:lineRule="auto"/>
        <w:jc w:val="both"/>
        <w:rPr>
          <w:rFonts w:ascii="Arial" w:hAnsi="Arial" w:cs="Arial"/>
          <w:sz w:val="24"/>
          <w:szCs w:val="24"/>
        </w:rPr>
      </w:pPr>
      <w:r w:rsidRPr="00463820">
        <w:rPr>
          <w:rFonts w:ascii="Arial" w:hAnsi="Arial" w:cs="Arial"/>
          <w:sz w:val="24"/>
          <w:szCs w:val="24"/>
        </w:rPr>
        <w:t xml:space="preserve">Mongolia is a small yet rapidly expanding market: by the middle of 2025 it is estimated that it will have a population of about 3.5 million, with GDP per capita (nominal) of the low-thousands USD and IMF/World Bank projections of 56% growth by 2025 caused by mining (copper, coal) and urban consumption </w:t>
      </w:r>
      <w:r w:rsidRPr="00463820">
        <w:rPr>
          <w:rFonts w:ascii="Arial" w:eastAsia="Times New Roman" w:hAnsi="Arial" w:cs="Arial"/>
          <w:sz w:val="24"/>
          <w:szCs w:val="24"/>
          <w:lang w:val="en-IN" w:eastAsia="en-IN"/>
        </w:rPr>
        <w:t>(Pantoja, 2025)</w:t>
      </w:r>
      <w:r w:rsidRPr="00463820">
        <w:rPr>
          <w:rFonts w:ascii="Arial" w:hAnsi="Arial" w:cs="Arial"/>
          <w:sz w:val="24"/>
          <w:szCs w:val="24"/>
        </w:rPr>
        <w:t xml:space="preserve">. The GDP of Mongolia is expected to increase by a strong rate of 6.6 in 2025 as an indicator of a strong and growing economy. The level of urbanisation is elevated about 70-73 percent of the population currently resides in urban centres (Ulaanbaatar is concentrated near a half of the population), so distribution economics are compressed and the first to use imported high-end products is concentrated. The inflationary pressure is still in play (IMF estimated consumer-price growth of about 8% in 2025) and thus retailers and importers should take prices and working-capital cushions with care. </w:t>
      </w:r>
    </w:p>
    <w:p w14:paraId="6C55AC4A" w14:textId="77777777" w:rsidR="00463820" w:rsidRPr="00463820" w:rsidRDefault="00463820" w:rsidP="00463820">
      <w:pPr>
        <w:spacing w:before="100" w:beforeAutospacing="1" w:after="100" w:afterAutospacing="1" w:line="360" w:lineRule="auto"/>
        <w:jc w:val="both"/>
        <w:rPr>
          <w:rFonts w:ascii="Arial" w:eastAsia="Times New Roman" w:hAnsi="Arial" w:cs="Arial"/>
          <w:sz w:val="24"/>
          <w:szCs w:val="24"/>
          <w:lang w:val="en-IN" w:eastAsia="en-IN"/>
        </w:rPr>
      </w:pPr>
      <w:r w:rsidRPr="00463820">
        <w:rPr>
          <w:rFonts w:ascii="Arial" w:eastAsia="Times New Roman" w:hAnsi="Arial" w:cs="Arial"/>
          <w:noProof/>
          <w:sz w:val="24"/>
          <w:szCs w:val="24"/>
          <w:lang w:val="en-IN" w:eastAsia="en-IN"/>
        </w:rPr>
        <w:lastRenderedPageBreak/>
        <w:drawing>
          <wp:inline distT="0" distB="0" distL="0" distR="0" wp14:anchorId="352EB817" wp14:editId="5C590CF7">
            <wp:extent cx="5731510" cy="27959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95905"/>
                    </a:xfrm>
                    <a:prstGeom prst="rect">
                      <a:avLst/>
                    </a:prstGeom>
                  </pic:spPr>
                </pic:pic>
              </a:graphicData>
            </a:graphic>
          </wp:inline>
        </w:drawing>
      </w:r>
    </w:p>
    <w:p w14:paraId="2DBF946F" w14:textId="77777777" w:rsidR="00463820" w:rsidRPr="00463820" w:rsidRDefault="00463820" w:rsidP="00463820">
      <w:pPr>
        <w:spacing w:before="100" w:beforeAutospacing="1" w:after="100" w:afterAutospacing="1" w:line="360" w:lineRule="auto"/>
        <w:jc w:val="center"/>
        <w:rPr>
          <w:rFonts w:ascii="Arial" w:eastAsia="Times New Roman" w:hAnsi="Arial" w:cs="Arial"/>
          <w:b/>
          <w:sz w:val="24"/>
          <w:szCs w:val="24"/>
          <w:lang w:val="en-IN" w:eastAsia="en-IN"/>
        </w:rPr>
      </w:pPr>
      <w:r w:rsidRPr="00463820">
        <w:rPr>
          <w:rFonts w:ascii="Arial" w:eastAsia="Times New Roman" w:hAnsi="Arial" w:cs="Arial"/>
          <w:b/>
          <w:sz w:val="24"/>
          <w:szCs w:val="24"/>
          <w:lang w:val="en-IN" w:eastAsia="en-IN"/>
        </w:rPr>
        <w:t>Fig 3: Mongolia GDP Forecast</w:t>
      </w:r>
    </w:p>
    <w:p w14:paraId="29AE426A" w14:textId="77777777" w:rsidR="00463820" w:rsidRPr="00463820" w:rsidRDefault="00463820" w:rsidP="00463820">
      <w:pPr>
        <w:spacing w:before="100" w:beforeAutospacing="1" w:after="100" w:afterAutospacing="1" w:line="360" w:lineRule="auto"/>
        <w:jc w:val="center"/>
        <w:rPr>
          <w:rFonts w:ascii="Arial" w:eastAsia="Times New Roman" w:hAnsi="Arial" w:cs="Arial"/>
          <w:sz w:val="24"/>
          <w:szCs w:val="24"/>
          <w:lang w:val="en-IN" w:eastAsia="en-IN"/>
        </w:rPr>
      </w:pPr>
      <w:r w:rsidRPr="00463820">
        <w:rPr>
          <w:rFonts w:ascii="Arial" w:eastAsia="Times New Roman" w:hAnsi="Arial" w:cs="Arial"/>
          <w:b/>
          <w:sz w:val="24"/>
          <w:szCs w:val="24"/>
          <w:lang w:val="en-IN" w:eastAsia="en-IN"/>
        </w:rPr>
        <w:t>Source:</w:t>
      </w:r>
      <w:r w:rsidRPr="00463820">
        <w:rPr>
          <w:rFonts w:ascii="Arial" w:hAnsi="Arial" w:cs="Arial"/>
          <w:sz w:val="24"/>
          <w:szCs w:val="24"/>
        </w:rPr>
        <w:t xml:space="preserve"> </w:t>
      </w:r>
      <w:r w:rsidRPr="00463820">
        <w:rPr>
          <w:rFonts w:ascii="Arial" w:eastAsia="Times New Roman" w:hAnsi="Arial" w:cs="Arial"/>
          <w:sz w:val="24"/>
          <w:szCs w:val="24"/>
          <w:lang w:val="en-IN" w:eastAsia="en-IN"/>
        </w:rPr>
        <w:t>(Asian Development Bank, 2025)</w:t>
      </w:r>
    </w:p>
    <w:p w14:paraId="1D36990D"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Social</w:t>
      </w:r>
    </w:p>
    <w:p w14:paraId="529A5892" w14:textId="77777777" w:rsidR="00463820" w:rsidRPr="00463820" w:rsidRDefault="00463820" w:rsidP="00463820">
      <w:pPr>
        <w:spacing w:before="100" w:beforeAutospacing="1" w:after="100" w:afterAutospacing="1" w:line="360" w:lineRule="auto"/>
        <w:jc w:val="both"/>
        <w:rPr>
          <w:rFonts w:ascii="Arial" w:eastAsia="Times New Roman" w:hAnsi="Arial" w:cs="Arial"/>
          <w:sz w:val="24"/>
          <w:szCs w:val="24"/>
          <w:lang w:val="en-IN" w:eastAsia="en-IN"/>
        </w:rPr>
      </w:pPr>
      <w:r w:rsidRPr="00463820">
        <w:rPr>
          <w:rFonts w:ascii="Arial" w:hAnsi="Arial" w:cs="Arial"/>
          <w:sz w:val="24"/>
          <w:szCs w:val="24"/>
        </w:rPr>
        <w:t xml:space="preserve">The demographic profile of Mongolia has a high potential to premiumisation as the median age in the country is approximately 27-28 years and approximately 59 per cent of the population is below the age of 30 years and this would form a large group that can be exposed to lifestyle and aspirational consumption habits. Social drinking has become embedded in the culture of the society-WHO/UN data shows that total alcohol consumption increased to approximately 7.7 litres of pure alcohol per adult (15+) by 2022, with spirits comprising of a significant portion of this consumption, and this provides Western spirits with a ready base to convert local vodkas and beer </w:t>
      </w:r>
      <w:r w:rsidRPr="00463820">
        <w:rPr>
          <w:rFonts w:ascii="Arial" w:eastAsia="Times New Roman" w:hAnsi="Arial" w:cs="Arial"/>
          <w:sz w:val="24"/>
          <w:szCs w:val="24"/>
          <w:lang w:val="en-IN" w:eastAsia="en-IN"/>
        </w:rPr>
        <w:t>(</w:t>
      </w:r>
      <w:proofErr w:type="spellStart"/>
      <w:r w:rsidRPr="00463820">
        <w:rPr>
          <w:rFonts w:ascii="Arial" w:eastAsia="Times New Roman" w:hAnsi="Arial" w:cs="Arial"/>
          <w:sz w:val="24"/>
          <w:szCs w:val="24"/>
          <w:lang w:val="en-IN" w:eastAsia="en-IN"/>
        </w:rPr>
        <w:t>Boiral</w:t>
      </w:r>
      <w:proofErr w:type="spellEnd"/>
      <w:r w:rsidRPr="00463820">
        <w:rPr>
          <w:rFonts w:ascii="Arial" w:eastAsia="Times New Roman" w:hAnsi="Arial" w:cs="Arial"/>
          <w:sz w:val="24"/>
          <w:szCs w:val="24"/>
          <w:lang w:val="en-IN" w:eastAsia="en-IN"/>
        </w:rPr>
        <w:t xml:space="preserve"> </w:t>
      </w:r>
      <w:r w:rsidRPr="00463820">
        <w:rPr>
          <w:rFonts w:ascii="Arial" w:eastAsia="Times New Roman" w:hAnsi="Arial" w:cs="Arial"/>
          <w:i/>
          <w:iCs/>
          <w:sz w:val="24"/>
          <w:szCs w:val="24"/>
          <w:lang w:val="en-IN" w:eastAsia="en-IN"/>
        </w:rPr>
        <w:t>et al.</w:t>
      </w:r>
      <w:r w:rsidRPr="00463820">
        <w:rPr>
          <w:rFonts w:ascii="Arial" w:eastAsia="Times New Roman" w:hAnsi="Arial" w:cs="Arial"/>
          <w:sz w:val="24"/>
          <w:szCs w:val="24"/>
          <w:lang w:val="en-IN" w:eastAsia="en-IN"/>
        </w:rPr>
        <w:t>, 2024)</w:t>
      </w:r>
      <w:r w:rsidRPr="00463820">
        <w:rPr>
          <w:rFonts w:ascii="Arial" w:hAnsi="Arial" w:cs="Arial"/>
          <w:sz w:val="24"/>
          <w:szCs w:val="24"/>
        </w:rPr>
        <w:t xml:space="preserve">. Rapid urbanization in Ulaanbaatar (nightlife, restaurants, and hotels) is </w:t>
      </w:r>
      <w:proofErr w:type="gramStart"/>
      <w:r w:rsidRPr="00463820">
        <w:rPr>
          <w:rFonts w:ascii="Arial" w:hAnsi="Arial" w:cs="Arial"/>
          <w:sz w:val="24"/>
          <w:szCs w:val="24"/>
        </w:rPr>
        <w:t>rising</w:t>
      </w:r>
      <w:proofErr w:type="gramEnd"/>
      <w:r w:rsidRPr="00463820">
        <w:rPr>
          <w:rFonts w:ascii="Arial" w:hAnsi="Arial" w:cs="Arial"/>
          <w:sz w:val="24"/>
          <w:szCs w:val="24"/>
        </w:rPr>
        <w:t xml:space="preserve"> and the use of social media is high, which allows influencer and experience marketing to gain momentum within a short time. </w:t>
      </w:r>
    </w:p>
    <w:p w14:paraId="0644B282"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Technological</w:t>
      </w:r>
    </w:p>
    <w:p w14:paraId="1480D40F" w14:textId="77777777" w:rsidR="00463820" w:rsidRPr="00463820" w:rsidRDefault="00463820" w:rsidP="00463820">
      <w:pPr>
        <w:spacing w:before="100" w:beforeAutospacing="1" w:after="100" w:afterAutospacing="1" w:line="360" w:lineRule="auto"/>
        <w:jc w:val="both"/>
        <w:rPr>
          <w:rFonts w:ascii="Arial" w:hAnsi="Arial" w:cs="Arial"/>
          <w:sz w:val="24"/>
          <w:szCs w:val="24"/>
        </w:rPr>
      </w:pPr>
      <w:r w:rsidRPr="00463820">
        <w:rPr>
          <w:rFonts w:ascii="Arial" w:hAnsi="Arial" w:cs="Arial"/>
          <w:sz w:val="24"/>
          <w:szCs w:val="24"/>
        </w:rPr>
        <w:t xml:space="preserve">The digital infrastructure and mobile penetration in Mongolia are now solid facilitators to contemporary market-entry approaches and it is estimated that the number of approximately 2.90 million internet users at the beginning of 2025 (now about 83% penetration) and about 2.6 million social network identities (now about 74% of the </w:t>
      </w:r>
      <w:r w:rsidRPr="00463820">
        <w:rPr>
          <w:rFonts w:ascii="Arial" w:hAnsi="Arial" w:cs="Arial"/>
          <w:sz w:val="24"/>
          <w:szCs w:val="24"/>
        </w:rPr>
        <w:lastRenderedPageBreak/>
        <w:t xml:space="preserve">population), whereas the presence of established local e-commerce platforms (e.g., Shoppy.mn) and large retailers with online channels (e.g., Nomin Holding) offer instant omni-channel access to market </w:t>
      </w:r>
      <w:r w:rsidRPr="00463820">
        <w:rPr>
          <w:rFonts w:ascii="Arial" w:eastAsia="Times New Roman" w:hAnsi="Arial" w:cs="Arial"/>
          <w:sz w:val="24"/>
          <w:szCs w:val="24"/>
          <w:lang w:val="en-IN" w:eastAsia="en-IN"/>
        </w:rPr>
        <w:t>(Aminu, 2024)</w:t>
      </w:r>
      <w:r w:rsidRPr="00463820">
        <w:rPr>
          <w:rFonts w:ascii="Arial" w:hAnsi="Arial" w:cs="Arial"/>
          <w:sz w:val="24"/>
          <w:szCs w:val="24"/>
        </w:rPr>
        <w:t xml:space="preserve">. The provision of IoT in globally based enterprises is expected to rapidly increase to an amount of $690 billion by the year 2030 with the resultant digitalization of industries. The scale of smartphone utilization and the increase in the use of digital payments can also lead to faster trial and conversion of the premium SKUs at a lower cost than in low-connectivity markets. </w:t>
      </w:r>
    </w:p>
    <w:p w14:paraId="2D540B15" w14:textId="77777777" w:rsidR="00463820" w:rsidRPr="00463820" w:rsidRDefault="00463820" w:rsidP="00463820">
      <w:pPr>
        <w:spacing w:before="100" w:beforeAutospacing="1" w:after="100" w:afterAutospacing="1" w:line="360" w:lineRule="auto"/>
        <w:jc w:val="both"/>
        <w:rPr>
          <w:rFonts w:ascii="Arial" w:eastAsia="Times New Roman" w:hAnsi="Arial" w:cs="Arial"/>
          <w:b/>
          <w:sz w:val="24"/>
          <w:szCs w:val="24"/>
          <w:lang w:val="en-IN" w:eastAsia="en-IN"/>
        </w:rPr>
      </w:pPr>
      <w:r w:rsidRPr="00463820">
        <w:rPr>
          <w:rFonts w:ascii="Arial" w:hAnsi="Arial" w:cs="Arial"/>
          <w:b/>
          <w:noProof/>
          <w:sz w:val="24"/>
          <w:szCs w:val="24"/>
          <w:lang w:val="en-IN" w:eastAsia="en-IN"/>
        </w:rPr>
        <w:drawing>
          <wp:inline distT="0" distB="0" distL="0" distR="0" wp14:anchorId="5F534BED" wp14:editId="1994A807">
            <wp:extent cx="5731510" cy="3009043"/>
            <wp:effectExtent l="0" t="0" r="2540" b="1270"/>
            <wp:docPr id="4" name="Picture 4" descr="IoT market size reached $269 billion in 2023, with growth deceleration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oT market size reached $269 billion in 2023, with growth deceleration in  202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09043"/>
                    </a:xfrm>
                    <a:prstGeom prst="rect">
                      <a:avLst/>
                    </a:prstGeom>
                    <a:noFill/>
                    <a:ln>
                      <a:noFill/>
                    </a:ln>
                  </pic:spPr>
                </pic:pic>
              </a:graphicData>
            </a:graphic>
          </wp:inline>
        </w:drawing>
      </w:r>
    </w:p>
    <w:p w14:paraId="0C39F0FC" w14:textId="77777777" w:rsidR="00463820" w:rsidRPr="00463820" w:rsidRDefault="00463820" w:rsidP="00463820">
      <w:pPr>
        <w:spacing w:before="100" w:beforeAutospacing="1" w:after="100" w:afterAutospacing="1" w:line="360" w:lineRule="auto"/>
        <w:jc w:val="center"/>
        <w:rPr>
          <w:rFonts w:ascii="Arial" w:eastAsia="Times New Roman" w:hAnsi="Arial" w:cs="Arial"/>
          <w:b/>
          <w:sz w:val="24"/>
          <w:szCs w:val="24"/>
          <w:lang w:val="en-IN" w:eastAsia="en-IN"/>
        </w:rPr>
      </w:pPr>
      <w:r w:rsidRPr="00463820">
        <w:rPr>
          <w:rFonts w:ascii="Arial" w:eastAsia="Times New Roman" w:hAnsi="Arial" w:cs="Arial"/>
          <w:b/>
          <w:sz w:val="24"/>
          <w:szCs w:val="24"/>
          <w:lang w:val="en-IN" w:eastAsia="en-IN"/>
        </w:rPr>
        <w:t>Fig 4: IoT Market Size</w:t>
      </w:r>
    </w:p>
    <w:p w14:paraId="25DEAA8C" w14:textId="77777777" w:rsidR="00463820" w:rsidRPr="00463820" w:rsidRDefault="00463820" w:rsidP="00463820">
      <w:pPr>
        <w:spacing w:before="100" w:beforeAutospacing="1" w:after="100" w:afterAutospacing="1" w:line="360" w:lineRule="auto"/>
        <w:jc w:val="center"/>
        <w:rPr>
          <w:rFonts w:ascii="Arial" w:eastAsia="Times New Roman" w:hAnsi="Arial" w:cs="Arial"/>
          <w:b/>
          <w:sz w:val="24"/>
          <w:szCs w:val="24"/>
          <w:lang w:val="en-IN" w:eastAsia="en-IN"/>
        </w:rPr>
      </w:pPr>
      <w:r w:rsidRPr="00463820">
        <w:rPr>
          <w:rFonts w:ascii="Arial" w:eastAsia="Times New Roman" w:hAnsi="Arial" w:cs="Arial"/>
          <w:b/>
          <w:sz w:val="24"/>
          <w:szCs w:val="24"/>
          <w:lang w:val="en-IN" w:eastAsia="en-IN"/>
        </w:rPr>
        <w:t>Source:</w:t>
      </w:r>
      <w:r w:rsidRPr="00463820">
        <w:rPr>
          <w:rFonts w:ascii="Arial" w:hAnsi="Arial" w:cs="Arial"/>
          <w:sz w:val="24"/>
          <w:szCs w:val="24"/>
        </w:rPr>
        <w:t xml:space="preserve"> (IoT Analytics, 2024)</w:t>
      </w:r>
    </w:p>
    <w:p w14:paraId="6A417CC5"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Environmental</w:t>
      </w:r>
    </w:p>
    <w:p w14:paraId="6D5C8F72" w14:textId="77777777" w:rsidR="00463820" w:rsidRPr="00463820" w:rsidRDefault="00463820" w:rsidP="00463820">
      <w:pPr>
        <w:spacing w:before="100" w:beforeAutospacing="1" w:after="100" w:afterAutospacing="1" w:line="360" w:lineRule="auto"/>
        <w:jc w:val="both"/>
        <w:rPr>
          <w:rFonts w:ascii="Arial" w:eastAsia="Times New Roman" w:hAnsi="Arial" w:cs="Arial"/>
          <w:sz w:val="24"/>
          <w:szCs w:val="24"/>
          <w:lang w:val="en-IN" w:eastAsia="en-IN"/>
        </w:rPr>
      </w:pPr>
      <w:r w:rsidRPr="00463820">
        <w:rPr>
          <w:rFonts w:ascii="Arial" w:hAnsi="Arial" w:cs="Arial"/>
          <w:sz w:val="24"/>
          <w:szCs w:val="24"/>
        </w:rPr>
        <w:t xml:space="preserve">Environmental limitations are tangible and even more obvious: Ulaanbaatar is one of the most polluted capitals in the world during winter due to the use of coal in homes and urban geography, and the level of PM2.5 throughout the country is extremely high, and seasonal peaks dramatically harming human health and </w:t>
      </w:r>
      <w:proofErr w:type="gramStart"/>
      <w:r w:rsidRPr="00463820">
        <w:rPr>
          <w:rFonts w:ascii="Arial" w:hAnsi="Arial" w:cs="Arial"/>
          <w:sz w:val="24"/>
          <w:szCs w:val="24"/>
        </w:rPr>
        <w:t>policy-making</w:t>
      </w:r>
      <w:proofErr w:type="gramEnd"/>
      <w:r w:rsidRPr="00463820">
        <w:rPr>
          <w:rFonts w:ascii="Arial" w:hAnsi="Arial" w:cs="Arial"/>
          <w:sz w:val="24"/>
          <w:szCs w:val="24"/>
        </w:rPr>
        <w:t xml:space="preserve">. There is a limited capacity of solid-waste management and plastic recycling (estimates indicate that every year the volume in landfills increases significantly, recycling rates are less than 20 percent of the required 20 percent), and therefore the importance of packaging </w:t>
      </w:r>
      <w:r w:rsidRPr="00463820">
        <w:rPr>
          <w:rFonts w:ascii="Arial" w:hAnsi="Arial" w:cs="Arial"/>
          <w:sz w:val="24"/>
          <w:szCs w:val="24"/>
        </w:rPr>
        <w:lastRenderedPageBreak/>
        <w:t xml:space="preserve">and end-of-life strategies can be noted among the FMCG entrants </w:t>
      </w:r>
      <w:r w:rsidRPr="00463820">
        <w:rPr>
          <w:rFonts w:ascii="Arial" w:eastAsia="Times New Roman" w:hAnsi="Arial" w:cs="Arial"/>
          <w:sz w:val="24"/>
          <w:szCs w:val="24"/>
          <w:lang w:val="en-IN" w:eastAsia="en-IN"/>
        </w:rPr>
        <w:t>(Perkins and Shortland, 2025)</w:t>
      </w:r>
      <w:r w:rsidRPr="00463820">
        <w:rPr>
          <w:rFonts w:ascii="Arial" w:hAnsi="Arial" w:cs="Arial"/>
          <w:sz w:val="24"/>
          <w:szCs w:val="24"/>
        </w:rPr>
        <w:t xml:space="preserve">.  </w:t>
      </w:r>
    </w:p>
    <w:p w14:paraId="12F7E840"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b/>
        </w:rPr>
        <w:t>Legal</w:t>
      </w:r>
    </w:p>
    <w:p w14:paraId="4B959F03" w14:textId="77777777" w:rsidR="00463820" w:rsidRPr="00463820" w:rsidRDefault="00463820" w:rsidP="00463820">
      <w:pPr>
        <w:spacing w:before="100" w:beforeAutospacing="1" w:after="100" w:afterAutospacing="1" w:line="360" w:lineRule="auto"/>
        <w:jc w:val="both"/>
        <w:rPr>
          <w:rStyle w:val="Heading2Char"/>
          <w:rFonts w:ascii="Arial" w:eastAsia="Times New Roman" w:hAnsi="Arial" w:cs="Arial"/>
          <w:color w:val="auto"/>
          <w:sz w:val="24"/>
          <w:szCs w:val="24"/>
          <w:lang w:val="en-IN" w:eastAsia="en-IN"/>
        </w:rPr>
      </w:pPr>
      <w:r w:rsidRPr="00463820">
        <w:rPr>
          <w:rFonts w:ascii="Arial" w:hAnsi="Arial" w:cs="Arial"/>
          <w:sz w:val="24"/>
          <w:szCs w:val="24"/>
        </w:rPr>
        <w:t xml:space="preserve">The alcohol legal regime of Mongolia is elaborated and actively applied: it has excise duties and licensing; (revisions of the excise law in 2022 gave different treatment to spirits), minimum purchase/onsite consumption age and prohibition of sale points and times; alcohol advertising and product-placement are also regulated and may be enforced </w:t>
      </w:r>
      <w:r w:rsidRPr="00463820">
        <w:rPr>
          <w:rFonts w:ascii="Arial" w:eastAsia="Times New Roman" w:hAnsi="Arial" w:cs="Arial"/>
          <w:sz w:val="24"/>
          <w:szCs w:val="24"/>
          <w:lang w:val="en-IN" w:eastAsia="en-IN"/>
        </w:rPr>
        <w:t>(Dhlamini, 2025)</w:t>
      </w:r>
      <w:r w:rsidRPr="00463820">
        <w:rPr>
          <w:rFonts w:ascii="Arial" w:hAnsi="Arial" w:cs="Arial"/>
          <w:sz w:val="24"/>
          <w:szCs w:val="24"/>
        </w:rPr>
        <w:t>. There is a comparatively liberal customs and tariff practice (according to WTO data the average MFN tariff actually applied is only 5% on an average), but importers must also allow some VAT and excise duty (average VAT is about 10%, plus excise on spirits) and could have to pay other types of licensing or pre-approval measures proposed by regulators.</w:t>
      </w:r>
    </w:p>
    <w:p w14:paraId="46022608" w14:textId="77777777" w:rsidR="00463820" w:rsidRPr="00F212DB" w:rsidRDefault="00463820" w:rsidP="00F212DB">
      <w:pPr>
        <w:pStyle w:val="Heading2"/>
        <w:rPr>
          <w:rStyle w:val="Heading2Char"/>
          <w:rFonts w:ascii="Arial" w:hAnsi="Arial" w:cs="Arial"/>
          <w:b/>
          <w:color w:val="auto"/>
          <w:sz w:val="24"/>
          <w:szCs w:val="24"/>
        </w:rPr>
      </w:pPr>
      <w:bookmarkStart w:id="6" w:name="_Toc216374191"/>
      <w:r w:rsidRPr="00F212DB">
        <w:rPr>
          <w:rStyle w:val="Heading2Char"/>
          <w:rFonts w:ascii="Arial" w:hAnsi="Arial" w:cs="Arial"/>
          <w:b/>
          <w:color w:val="auto"/>
          <w:sz w:val="24"/>
          <w:szCs w:val="24"/>
        </w:rPr>
        <w:t>Porter Five force</w:t>
      </w:r>
      <w:r w:rsidR="00F212DB" w:rsidRPr="00F212DB">
        <w:rPr>
          <w:rStyle w:val="Heading2Char"/>
          <w:rFonts w:ascii="Arial" w:hAnsi="Arial" w:cs="Arial"/>
          <w:b/>
          <w:color w:val="auto"/>
          <w:sz w:val="24"/>
          <w:szCs w:val="24"/>
        </w:rPr>
        <w:t>s</w:t>
      </w:r>
      <w:bookmarkEnd w:id="6"/>
    </w:p>
    <w:p w14:paraId="5B79E8FB"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Threat of New Entrants</w:t>
      </w:r>
    </w:p>
    <w:p w14:paraId="6EEBCA7C" w14:textId="77777777" w:rsidR="00463820" w:rsidRPr="00463820" w:rsidRDefault="00463820" w:rsidP="00463820">
      <w:pPr>
        <w:spacing w:before="100" w:beforeAutospacing="1" w:after="100" w:afterAutospacing="1" w:line="360" w:lineRule="auto"/>
        <w:jc w:val="both"/>
        <w:rPr>
          <w:rFonts w:ascii="Arial" w:eastAsia="Times New Roman" w:hAnsi="Arial" w:cs="Arial"/>
          <w:sz w:val="24"/>
          <w:szCs w:val="24"/>
          <w:lang w:val="en-IN" w:eastAsia="en-IN"/>
        </w:rPr>
      </w:pPr>
      <w:r w:rsidRPr="00463820">
        <w:rPr>
          <w:rFonts w:ascii="Arial" w:hAnsi="Arial" w:cs="Arial"/>
          <w:sz w:val="24"/>
          <w:szCs w:val="24"/>
        </w:rPr>
        <w:t xml:space="preserve">Though operationally easy, the economics of entry or markets into Mongolia are relatively small: in 2023 it imported 15.9 million hard liquor which limits the pool of revenue that new global players can </w:t>
      </w:r>
      <w:proofErr w:type="gramStart"/>
      <w:r w:rsidRPr="00463820">
        <w:rPr>
          <w:rFonts w:ascii="Arial" w:hAnsi="Arial" w:cs="Arial"/>
          <w:sz w:val="24"/>
          <w:szCs w:val="24"/>
        </w:rPr>
        <w:t>enter, and</w:t>
      </w:r>
      <w:proofErr w:type="gramEnd"/>
      <w:r w:rsidRPr="00463820">
        <w:rPr>
          <w:rFonts w:ascii="Arial" w:hAnsi="Arial" w:cs="Arial"/>
          <w:sz w:val="24"/>
          <w:szCs w:val="24"/>
        </w:rPr>
        <w:t xml:space="preserve"> means the relative cost of entry per dollar of revenue is higher </w:t>
      </w:r>
      <w:r w:rsidRPr="00463820">
        <w:rPr>
          <w:rFonts w:ascii="Arial" w:eastAsia="Times New Roman" w:hAnsi="Arial" w:cs="Arial"/>
          <w:sz w:val="24"/>
          <w:szCs w:val="24"/>
          <w:lang w:val="en-IN" w:eastAsia="en-IN"/>
        </w:rPr>
        <w:t>(</w:t>
      </w:r>
      <w:proofErr w:type="spellStart"/>
      <w:r w:rsidRPr="00463820">
        <w:rPr>
          <w:rFonts w:ascii="Arial" w:eastAsia="Times New Roman" w:hAnsi="Arial" w:cs="Arial"/>
          <w:sz w:val="24"/>
          <w:szCs w:val="24"/>
          <w:lang w:val="en-IN" w:eastAsia="en-IN"/>
        </w:rPr>
        <w:t>Ipsalat</w:t>
      </w:r>
      <w:proofErr w:type="spellEnd"/>
      <w:r w:rsidRPr="00463820">
        <w:rPr>
          <w:rFonts w:ascii="Arial" w:eastAsia="Times New Roman" w:hAnsi="Arial" w:cs="Arial"/>
          <w:sz w:val="24"/>
          <w:szCs w:val="24"/>
          <w:lang w:val="en-IN" w:eastAsia="en-IN"/>
        </w:rPr>
        <w:t xml:space="preserve"> and Burciu, 2024)</w:t>
      </w:r>
      <w:r w:rsidRPr="00463820">
        <w:rPr>
          <w:rFonts w:ascii="Arial" w:hAnsi="Arial" w:cs="Arial"/>
          <w:sz w:val="24"/>
          <w:szCs w:val="24"/>
        </w:rPr>
        <w:t>. New entrants have thus a trade-off on whether to take a long, low-volume build-up or whether to invest heavily on the frontline to get niche premium.</w:t>
      </w:r>
    </w:p>
    <w:p w14:paraId="66C3E710"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b/>
        </w:rPr>
        <w:t>Threat of Substitutes</w:t>
      </w:r>
    </w:p>
    <w:p w14:paraId="04843FEF" w14:textId="77777777" w:rsidR="00463820" w:rsidRPr="00463820" w:rsidRDefault="00463820" w:rsidP="00463820">
      <w:pPr>
        <w:spacing w:before="100" w:beforeAutospacing="1" w:after="100" w:afterAutospacing="1" w:line="360" w:lineRule="auto"/>
        <w:jc w:val="both"/>
        <w:rPr>
          <w:rFonts w:ascii="Arial" w:hAnsi="Arial" w:cs="Arial"/>
          <w:sz w:val="24"/>
          <w:szCs w:val="24"/>
        </w:rPr>
      </w:pPr>
      <w:r w:rsidRPr="00463820">
        <w:rPr>
          <w:rFonts w:ascii="Arial" w:hAnsi="Arial" w:cs="Arial"/>
          <w:sz w:val="24"/>
          <w:szCs w:val="24"/>
        </w:rPr>
        <w:t xml:space="preserve">Mongolian consumer tastes and preferences are highly geared to distilled spirits and traditional beverages, which increases the pressure of effective substitutes on western premium spirits: WHO/World Bank estimates have the total alcohol consumption of Mongolia at approximately 7.7 litres of pure alcohol consumption per adult (15+). The 2025 performance of Diageo demonstrates that its net sales increase is negative (by -0.1%), the operating profit decreases by 27.8 percent, and the EPS falls to 105.9 cents, which is a bad year of performance. This means that a fair share of the current </w:t>
      </w:r>
      <w:r w:rsidRPr="00463820">
        <w:rPr>
          <w:rFonts w:ascii="Arial" w:hAnsi="Arial" w:cs="Arial"/>
          <w:sz w:val="24"/>
          <w:szCs w:val="24"/>
        </w:rPr>
        <w:lastRenderedPageBreak/>
        <w:t xml:space="preserve">consumption is already under coverage by the lower-cost local vodkas and other substitutes that need to be ousted by the premium brands </w:t>
      </w:r>
      <w:r w:rsidRPr="00463820">
        <w:rPr>
          <w:rFonts w:ascii="Arial" w:eastAsia="Times New Roman" w:hAnsi="Arial" w:cs="Arial"/>
          <w:sz w:val="24"/>
          <w:szCs w:val="24"/>
          <w:lang w:val="en-IN" w:eastAsia="en-IN"/>
        </w:rPr>
        <w:t>(Balula, 2024)</w:t>
      </w:r>
      <w:r w:rsidRPr="00463820">
        <w:rPr>
          <w:rFonts w:ascii="Arial" w:hAnsi="Arial" w:cs="Arial"/>
          <w:sz w:val="24"/>
          <w:szCs w:val="24"/>
        </w:rPr>
        <w:t>.</w:t>
      </w:r>
    </w:p>
    <w:p w14:paraId="6095759C" w14:textId="77777777" w:rsidR="00463820" w:rsidRPr="00463820" w:rsidRDefault="00463820" w:rsidP="00463820">
      <w:pPr>
        <w:spacing w:before="100" w:beforeAutospacing="1" w:after="100" w:afterAutospacing="1" w:line="360" w:lineRule="auto"/>
        <w:jc w:val="both"/>
        <w:rPr>
          <w:rFonts w:ascii="Arial" w:eastAsia="Times New Roman" w:hAnsi="Arial" w:cs="Arial"/>
          <w:b/>
          <w:sz w:val="24"/>
          <w:szCs w:val="24"/>
          <w:lang w:val="en-IN" w:eastAsia="en-IN"/>
        </w:rPr>
      </w:pPr>
      <w:r w:rsidRPr="00463820">
        <w:rPr>
          <w:rFonts w:ascii="Arial" w:eastAsia="Times New Roman" w:hAnsi="Arial" w:cs="Arial"/>
          <w:b/>
          <w:noProof/>
          <w:sz w:val="24"/>
          <w:szCs w:val="24"/>
          <w:lang w:val="en-IN" w:eastAsia="en-IN"/>
        </w:rPr>
        <w:drawing>
          <wp:inline distT="0" distB="0" distL="0" distR="0" wp14:anchorId="76FEE1B7" wp14:editId="2B262D22">
            <wp:extent cx="5731510" cy="13449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44930"/>
                    </a:xfrm>
                    <a:prstGeom prst="rect">
                      <a:avLst/>
                    </a:prstGeom>
                  </pic:spPr>
                </pic:pic>
              </a:graphicData>
            </a:graphic>
          </wp:inline>
        </w:drawing>
      </w:r>
    </w:p>
    <w:p w14:paraId="60CDCDF1" w14:textId="77777777" w:rsidR="00463820" w:rsidRPr="00463820" w:rsidRDefault="00463820" w:rsidP="00463820">
      <w:pPr>
        <w:spacing w:before="100" w:beforeAutospacing="1" w:after="100" w:afterAutospacing="1" w:line="360" w:lineRule="auto"/>
        <w:jc w:val="center"/>
        <w:rPr>
          <w:rFonts w:ascii="Arial" w:eastAsia="Times New Roman" w:hAnsi="Arial" w:cs="Arial"/>
          <w:b/>
          <w:sz w:val="24"/>
          <w:szCs w:val="24"/>
          <w:lang w:val="en-IN" w:eastAsia="en-IN"/>
        </w:rPr>
      </w:pPr>
      <w:r w:rsidRPr="00463820">
        <w:rPr>
          <w:rFonts w:ascii="Arial" w:eastAsia="Times New Roman" w:hAnsi="Arial" w:cs="Arial"/>
          <w:b/>
          <w:sz w:val="24"/>
          <w:szCs w:val="24"/>
          <w:lang w:val="en-IN" w:eastAsia="en-IN"/>
        </w:rPr>
        <w:t>Fig 5: Performance of the company</w:t>
      </w:r>
    </w:p>
    <w:p w14:paraId="52628272" w14:textId="77777777" w:rsidR="00463820" w:rsidRPr="00463820" w:rsidRDefault="00463820" w:rsidP="00463820">
      <w:pPr>
        <w:spacing w:before="100" w:beforeAutospacing="1" w:after="100" w:afterAutospacing="1" w:line="360" w:lineRule="auto"/>
        <w:jc w:val="center"/>
        <w:rPr>
          <w:rFonts w:ascii="Arial" w:eastAsia="Times New Roman" w:hAnsi="Arial" w:cs="Arial"/>
          <w:b/>
          <w:sz w:val="24"/>
          <w:szCs w:val="24"/>
          <w:lang w:val="en-IN" w:eastAsia="en-IN"/>
        </w:rPr>
      </w:pPr>
      <w:r w:rsidRPr="00463820">
        <w:rPr>
          <w:rFonts w:ascii="Arial" w:eastAsia="Times New Roman" w:hAnsi="Arial" w:cs="Arial"/>
          <w:b/>
          <w:sz w:val="24"/>
          <w:szCs w:val="24"/>
          <w:lang w:val="en-IN" w:eastAsia="en-IN"/>
        </w:rPr>
        <w:t>Source:</w:t>
      </w:r>
      <w:r w:rsidRPr="00463820">
        <w:rPr>
          <w:rFonts w:ascii="Arial" w:hAnsi="Arial" w:cs="Arial"/>
          <w:sz w:val="24"/>
          <w:szCs w:val="24"/>
        </w:rPr>
        <w:t xml:space="preserve"> </w:t>
      </w:r>
      <w:r w:rsidRPr="00463820">
        <w:rPr>
          <w:rFonts w:ascii="Arial" w:eastAsia="Times New Roman" w:hAnsi="Arial" w:cs="Arial"/>
          <w:sz w:val="24"/>
          <w:szCs w:val="24"/>
          <w:lang w:val="en-IN" w:eastAsia="en-IN"/>
        </w:rPr>
        <w:t>(Diageo Plc, 2025)</w:t>
      </w:r>
    </w:p>
    <w:p w14:paraId="28333ED6"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Bargaining Power of Buyers</w:t>
      </w:r>
    </w:p>
    <w:p w14:paraId="50FE4F0A" w14:textId="77777777" w:rsidR="00463820" w:rsidRPr="00463820" w:rsidRDefault="00463820" w:rsidP="00463820">
      <w:pPr>
        <w:spacing w:before="100" w:beforeAutospacing="1" w:after="100" w:afterAutospacing="1" w:line="360" w:lineRule="auto"/>
        <w:jc w:val="both"/>
        <w:rPr>
          <w:rFonts w:ascii="Arial" w:eastAsia="Times New Roman" w:hAnsi="Arial" w:cs="Arial"/>
          <w:sz w:val="24"/>
          <w:szCs w:val="24"/>
          <w:lang w:val="en-IN" w:eastAsia="en-IN"/>
        </w:rPr>
      </w:pPr>
      <w:r w:rsidRPr="00463820">
        <w:rPr>
          <w:rFonts w:ascii="Arial" w:hAnsi="Arial" w:cs="Arial"/>
          <w:sz w:val="24"/>
          <w:szCs w:val="24"/>
        </w:rPr>
        <w:t xml:space="preserve">The urban hospitality and retail buyers in Mongolia have quite specific demand spikes which are </w:t>
      </w:r>
      <w:proofErr w:type="spellStart"/>
      <w:r w:rsidRPr="00463820">
        <w:rPr>
          <w:rFonts w:ascii="Arial" w:hAnsi="Arial" w:cs="Arial"/>
          <w:sz w:val="24"/>
          <w:szCs w:val="24"/>
        </w:rPr>
        <w:t>fueled</w:t>
      </w:r>
      <w:proofErr w:type="spellEnd"/>
      <w:r w:rsidRPr="00463820">
        <w:rPr>
          <w:rFonts w:ascii="Arial" w:hAnsi="Arial" w:cs="Arial"/>
          <w:sz w:val="24"/>
          <w:szCs w:val="24"/>
        </w:rPr>
        <w:t xml:space="preserve"> by tourism and the urban night life: tourism projections and hotel analytics suggest a solid growth of the sector with the inflow of tourists and their expenditures (the GDP contribution of the travel and tourism industry is forecasted to grow by approximately 5.3%), and the buyers of modern retail and on-trade offer more bargaining power as they decide on which high-end SKUs to stock </w:t>
      </w:r>
      <w:r w:rsidRPr="00463820">
        <w:rPr>
          <w:rFonts w:ascii="Arial" w:eastAsia="Times New Roman" w:hAnsi="Arial" w:cs="Arial"/>
          <w:sz w:val="24"/>
          <w:szCs w:val="24"/>
          <w:lang w:val="en-IN" w:eastAsia="en-IN"/>
        </w:rPr>
        <w:t>(Prasad, 2024)</w:t>
      </w:r>
      <w:r w:rsidRPr="00463820">
        <w:rPr>
          <w:rFonts w:ascii="Arial" w:hAnsi="Arial" w:cs="Arial"/>
          <w:sz w:val="24"/>
          <w:szCs w:val="24"/>
        </w:rPr>
        <w:t>. The big hotel and retail chains are thus able to negotiate good margins or promotional conditions with the suppliers.</w:t>
      </w:r>
    </w:p>
    <w:p w14:paraId="472B0E6B" w14:textId="77777777" w:rsidR="00463820" w:rsidRPr="00463820" w:rsidRDefault="00463820" w:rsidP="00463820">
      <w:pPr>
        <w:pStyle w:val="NormalWeb"/>
        <w:spacing w:line="360" w:lineRule="auto"/>
        <w:jc w:val="both"/>
        <w:rPr>
          <w:rFonts w:ascii="Arial" w:hAnsi="Arial" w:cs="Arial"/>
          <w:b/>
        </w:rPr>
      </w:pPr>
      <w:r w:rsidRPr="00463820">
        <w:rPr>
          <w:rFonts w:ascii="Arial" w:hAnsi="Arial" w:cs="Arial"/>
          <w:b/>
        </w:rPr>
        <w:t>Bargaining Power of Suppliers</w:t>
      </w:r>
    </w:p>
    <w:p w14:paraId="59D50C44"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rPr>
        <w:t xml:space="preserve">The production capacity is localized and large: APU JSC alone has the capacity to </w:t>
      </w:r>
      <w:proofErr w:type="spellStart"/>
      <w:r w:rsidRPr="00463820">
        <w:rPr>
          <w:rFonts w:ascii="Arial" w:hAnsi="Arial" w:cs="Arial"/>
        </w:rPr>
        <w:t>distill</w:t>
      </w:r>
      <w:proofErr w:type="spellEnd"/>
      <w:r w:rsidRPr="00463820">
        <w:rPr>
          <w:rFonts w:ascii="Arial" w:hAnsi="Arial" w:cs="Arial"/>
        </w:rPr>
        <w:t xml:space="preserve"> and bottle millions of litres of liquor, and this implies that there are domestic suppliers and co-packers who are able to satisfy most of the local demand and whose bargaining power against importers is low, but suppliers competitive pressure is higher because of the domestically-produced supply. </w:t>
      </w:r>
    </w:p>
    <w:p w14:paraId="5D446E09"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b/>
        </w:rPr>
        <w:t>Industry Rivalry</w:t>
      </w:r>
    </w:p>
    <w:p w14:paraId="253E273D" w14:textId="77777777" w:rsidR="00463820" w:rsidRPr="00463820" w:rsidRDefault="00463820" w:rsidP="00463820">
      <w:pPr>
        <w:spacing w:before="100" w:beforeAutospacing="1" w:after="100" w:afterAutospacing="1" w:line="360" w:lineRule="auto"/>
        <w:jc w:val="both"/>
        <w:rPr>
          <w:rFonts w:ascii="Arial" w:hAnsi="Arial" w:cs="Arial"/>
          <w:sz w:val="24"/>
          <w:szCs w:val="24"/>
        </w:rPr>
      </w:pPr>
      <w:r w:rsidRPr="00463820">
        <w:rPr>
          <w:rFonts w:ascii="Arial" w:hAnsi="Arial" w:cs="Arial"/>
          <w:sz w:val="24"/>
          <w:szCs w:val="24"/>
        </w:rPr>
        <w:t xml:space="preserve">In the Mongolian beverage </w:t>
      </w:r>
      <w:proofErr w:type="gramStart"/>
      <w:r w:rsidRPr="00463820">
        <w:rPr>
          <w:rFonts w:ascii="Arial" w:hAnsi="Arial" w:cs="Arial"/>
          <w:sz w:val="24"/>
          <w:szCs w:val="24"/>
        </w:rPr>
        <w:t>industry</w:t>
      </w:r>
      <w:proofErr w:type="gramEnd"/>
      <w:r w:rsidRPr="00463820">
        <w:rPr>
          <w:rFonts w:ascii="Arial" w:hAnsi="Arial" w:cs="Arial"/>
          <w:sz w:val="24"/>
          <w:szCs w:val="24"/>
        </w:rPr>
        <w:t xml:space="preserve"> the number of players in the market is high and there is already one firm dominating the market. The functional beverages segment of </w:t>
      </w:r>
      <w:r w:rsidRPr="00463820">
        <w:rPr>
          <w:rFonts w:ascii="Arial" w:hAnsi="Arial" w:cs="Arial"/>
          <w:sz w:val="24"/>
          <w:szCs w:val="24"/>
        </w:rPr>
        <w:lastRenderedPageBreak/>
        <w:t xml:space="preserve">the world market is estimated to increase in 2024 by USD 143.5 billion to USD 238.1 billion by 2033, with a high growth rate of 5.73%. APU has traditionally held a majority stake (reported at circa 64 percent of the vodka market and circa half of the beer market in industry surveys), thus competition between legacy local players is fierce but international premium spirits is low </w:t>
      </w:r>
      <w:proofErr w:type="gramStart"/>
      <w:r w:rsidRPr="00463820">
        <w:rPr>
          <w:rFonts w:ascii="Arial" w:hAnsi="Arial" w:cs="Arial"/>
          <w:sz w:val="24"/>
          <w:szCs w:val="24"/>
        </w:rPr>
        <w:t>at the moment</w:t>
      </w:r>
      <w:proofErr w:type="gramEnd"/>
      <w:r w:rsidRPr="00463820">
        <w:rPr>
          <w:rFonts w:ascii="Arial" w:hAnsi="Arial" w:cs="Arial"/>
          <w:sz w:val="24"/>
          <w:szCs w:val="24"/>
        </w:rPr>
        <w:t xml:space="preserve"> of a first-mover premium importer structural advantage </w:t>
      </w:r>
      <w:r w:rsidRPr="00463820">
        <w:rPr>
          <w:rFonts w:ascii="Arial" w:eastAsia="Times New Roman" w:hAnsi="Arial" w:cs="Arial"/>
          <w:sz w:val="24"/>
          <w:szCs w:val="24"/>
          <w:lang w:val="en-IN" w:eastAsia="en-IN"/>
        </w:rPr>
        <w:t xml:space="preserve">(Ye </w:t>
      </w:r>
      <w:r w:rsidRPr="00463820">
        <w:rPr>
          <w:rFonts w:ascii="Arial" w:eastAsia="Times New Roman" w:hAnsi="Arial" w:cs="Arial"/>
          <w:i/>
          <w:iCs/>
          <w:sz w:val="24"/>
          <w:szCs w:val="24"/>
          <w:lang w:val="en-IN" w:eastAsia="en-IN"/>
        </w:rPr>
        <w:t>et al.</w:t>
      </w:r>
      <w:r w:rsidRPr="00463820">
        <w:rPr>
          <w:rFonts w:ascii="Arial" w:eastAsia="Times New Roman" w:hAnsi="Arial" w:cs="Arial"/>
          <w:sz w:val="24"/>
          <w:szCs w:val="24"/>
          <w:lang w:val="en-IN" w:eastAsia="en-IN"/>
        </w:rPr>
        <w:t>, 2025)</w:t>
      </w:r>
      <w:r w:rsidRPr="00463820">
        <w:rPr>
          <w:rFonts w:ascii="Arial" w:hAnsi="Arial" w:cs="Arial"/>
          <w:sz w:val="24"/>
          <w:szCs w:val="24"/>
        </w:rPr>
        <w:t>.</w:t>
      </w:r>
    </w:p>
    <w:p w14:paraId="5C740C13" w14:textId="77777777" w:rsidR="00463820" w:rsidRPr="00463820" w:rsidRDefault="00463820" w:rsidP="00463820">
      <w:pPr>
        <w:spacing w:before="100" w:beforeAutospacing="1" w:after="100" w:afterAutospacing="1" w:line="360" w:lineRule="auto"/>
        <w:jc w:val="both"/>
        <w:rPr>
          <w:rFonts w:ascii="Arial" w:eastAsia="Times New Roman" w:hAnsi="Arial" w:cs="Arial"/>
          <w:b/>
          <w:sz w:val="24"/>
          <w:szCs w:val="24"/>
          <w:lang w:val="en-IN" w:eastAsia="en-IN"/>
        </w:rPr>
      </w:pPr>
      <w:r w:rsidRPr="00463820">
        <w:rPr>
          <w:rFonts w:ascii="Arial" w:eastAsia="Times New Roman" w:hAnsi="Arial" w:cs="Arial"/>
          <w:b/>
          <w:noProof/>
          <w:sz w:val="24"/>
          <w:szCs w:val="24"/>
          <w:lang w:val="en-IN" w:eastAsia="en-IN"/>
        </w:rPr>
        <w:drawing>
          <wp:inline distT="0" distB="0" distL="0" distR="0" wp14:anchorId="729E2A5F" wp14:editId="38CC611E">
            <wp:extent cx="5731510" cy="31788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78810"/>
                    </a:xfrm>
                    <a:prstGeom prst="rect">
                      <a:avLst/>
                    </a:prstGeom>
                  </pic:spPr>
                </pic:pic>
              </a:graphicData>
            </a:graphic>
          </wp:inline>
        </w:drawing>
      </w:r>
    </w:p>
    <w:p w14:paraId="6B002897" w14:textId="77777777" w:rsidR="00463820" w:rsidRPr="00463820" w:rsidRDefault="00463820" w:rsidP="00463820">
      <w:pPr>
        <w:spacing w:before="100" w:beforeAutospacing="1" w:after="100" w:afterAutospacing="1" w:line="360" w:lineRule="auto"/>
        <w:jc w:val="center"/>
        <w:rPr>
          <w:rFonts w:ascii="Arial" w:eastAsia="Times New Roman" w:hAnsi="Arial" w:cs="Arial"/>
          <w:b/>
          <w:sz w:val="24"/>
          <w:szCs w:val="24"/>
          <w:lang w:val="en-IN" w:eastAsia="en-IN"/>
        </w:rPr>
      </w:pPr>
      <w:r w:rsidRPr="00463820">
        <w:rPr>
          <w:rFonts w:ascii="Arial" w:eastAsia="Times New Roman" w:hAnsi="Arial" w:cs="Arial"/>
          <w:b/>
          <w:sz w:val="24"/>
          <w:szCs w:val="24"/>
          <w:lang w:val="en-IN" w:eastAsia="en-IN"/>
        </w:rPr>
        <w:t>Fig 6: Beverages Market</w:t>
      </w:r>
    </w:p>
    <w:p w14:paraId="00221415" w14:textId="77777777" w:rsidR="00463820" w:rsidRPr="00463820" w:rsidRDefault="00463820" w:rsidP="00463820">
      <w:pPr>
        <w:spacing w:before="100" w:beforeAutospacing="1" w:after="100" w:afterAutospacing="1" w:line="360" w:lineRule="auto"/>
        <w:jc w:val="center"/>
        <w:rPr>
          <w:rStyle w:val="Heading2Char"/>
          <w:rFonts w:ascii="Arial" w:eastAsia="Times New Roman" w:hAnsi="Arial" w:cs="Arial"/>
          <w:b/>
          <w:color w:val="auto"/>
          <w:sz w:val="24"/>
          <w:szCs w:val="24"/>
          <w:lang w:val="en-IN" w:eastAsia="en-IN"/>
        </w:rPr>
      </w:pPr>
      <w:r w:rsidRPr="00463820">
        <w:rPr>
          <w:rFonts w:ascii="Arial" w:eastAsia="Times New Roman" w:hAnsi="Arial" w:cs="Arial"/>
          <w:b/>
          <w:sz w:val="24"/>
          <w:szCs w:val="24"/>
          <w:lang w:val="en-IN" w:eastAsia="en-IN"/>
        </w:rPr>
        <w:t>Source:</w:t>
      </w:r>
      <w:r w:rsidRPr="00463820">
        <w:rPr>
          <w:rFonts w:ascii="Arial" w:hAnsi="Arial" w:cs="Arial"/>
          <w:sz w:val="24"/>
          <w:szCs w:val="24"/>
        </w:rPr>
        <w:t xml:space="preserve"> (IMARC Group, 2024)</w:t>
      </w:r>
    </w:p>
    <w:p w14:paraId="36691A68" w14:textId="77777777" w:rsidR="00463820" w:rsidRPr="00463820" w:rsidRDefault="00463820" w:rsidP="00F212DB">
      <w:pPr>
        <w:pStyle w:val="Heading2"/>
        <w:rPr>
          <w:rStyle w:val="Heading2Char"/>
          <w:rFonts w:ascii="Arial" w:hAnsi="Arial" w:cs="Arial"/>
          <w:b/>
          <w:color w:val="auto"/>
          <w:sz w:val="24"/>
          <w:szCs w:val="24"/>
        </w:rPr>
      </w:pPr>
      <w:bookmarkStart w:id="7" w:name="_Toc216374192"/>
      <w:r w:rsidRPr="00463820">
        <w:rPr>
          <w:rStyle w:val="Heading2Char"/>
          <w:rFonts w:ascii="Arial" w:hAnsi="Arial" w:cs="Arial"/>
          <w:b/>
          <w:color w:val="auto"/>
          <w:sz w:val="24"/>
          <w:szCs w:val="24"/>
        </w:rPr>
        <w:t>SWOT analysis</w:t>
      </w:r>
      <w:bookmarkEnd w:id="7"/>
      <w:r w:rsidRPr="00463820">
        <w:rPr>
          <w:rStyle w:val="Heading2Char"/>
          <w:rFonts w:ascii="Arial" w:hAnsi="Arial" w:cs="Arial"/>
          <w:b/>
          <w:color w:val="auto"/>
          <w:sz w:val="24"/>
          <w:szCs w:val="24"/>
        </w:rPr>
        <w:t xml:space="preserve"> </w:t>
      </w:r>
    </w:p>
    <w:p w14:paraId="7926EB22" w14:textId="77777777" w:rsidR="00463820" w:rsidRPr="00463820" w:rsidRDefault="00463820" w:rsidP="00463820">
      <w:pPr>
        <w:spacing w:line="360" w:lineRule="auto"/>
        <w:jc w:val="both"/>
        <w:rPr>
          <w:rFonts w:ascii="Arial" w:hAnsi="Arial" w:cs="Arial"/>
          <w:b/>
          <w:sz w:val="24"/>
          <w:szCs w:val="24"/>
        </w:rPr>
      </w:pPr>
      <w:r w:rsidRPr="00463820">
        <w:rPr>
          <w:rFonts w:ascii="Arial" w:hAnsi="Arial" w:cs="Arial"/>
          <w:b/>
          <w:sz w:val="24"/>
          <w:szCs w:val="24"/>
        </w:rPr>
        <w:t>Strengths</w:t>
      </w:r>
    </w:p>
    <w:p w14:paraId="65178065"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rPr>
        <w:t>Diageo enters the Mongolian market in terms of obvious financial and brand power: the company demonstrated its net sales of $20,245 million in the previous fiscal 2025, which is supported by a huge and diversified base of world spirits of premium quality, including Johnnie Walker, Smirnoff and Tanqueray</w:t>
      </w:r>
      <w:r w:rsidR="00F212DB">
        <w:rPr>
          <w:rFonts w:ascii="Arial" w:hAnsi="Arial" w:cs="Arial"/>
        </w:rPr>
        <w:t xml:space="preserve"> </w:t>
      </w:r>
      <w:r w:rsidR="00F212DB" w:rsidRPr="00854FEC">
        <w:rPr>
          <w:rFonts w:ascii="Arial" w:hAnsi="Arial" w:cs="Arial"/>
        </w:rPr>
        <w:t>(</w:t>
      </w:r>
      <w:proofErr w:type="spellStart"/>
      <w:r w:rsidR="00F212DB" w:rsidRPr="00854FEC">
        <w:rPr>
          <w:rFonts w:ascii="Arial" w:hAnsi="Arial" w:cs="Arial"/>
        </w:rPr>
        <w:t>Niesten</w:t>
      </w:r>
      <w:proofErr w:type="spellEnd"/>
      <w:r w:rsidR="00F212DB" w:rsidRPr="00854FEC">
        <w:rPr>
          <w:rFonts w:ascii="Arial" w:hAnsi="Arial" w:cs="Arial"/>
        </w:rPr>
        <w:t xml:space="preserve"> </w:t>
      </w:r>
      <w:r w:rsidR="00F212DB" w:rsidRPr="00130145">
        <w:rPr>
          <w:rFonts w:ascii="Arial" w:hAnsi="Arial" w:cs="Arial"/>
          <w:i/>
          <w:iCs/>
        </w:rPr>
        <w:t>et al.</w:t>
      </w:r>
      <w:r w:rsidR="00F212DB" w:rsidRPr="00854FEC">
        <w:rPr>
          <w:rFonts w:ascii="Arial" w:hAnsi="Arial" w:cs="Arial"/>
        </w:rPr>
        <w:t>, 2024)</w:t>
      </w:r>
      <w:r w:rsidRPr="00463820">
        <w:rPr>
          <w:rFonts w:ascii="Arial" w:hAnsi="Arial" w:cs="Arial"/>
        </w:rPr>
        <w:t xml:space="preserve">. This scale provides three short-run benefits to a market-entry programme. First, Diageo has a greater purchasing and marketing strength enabling it to recoup initial marketing and regulatory expenses smaller competitors could not; second, its global supply chain, and experience in 180+ markets lowers the operation learning curve of complex </w:t>
      </w:r>
      <w:r w:rsidRPr="00463820">
        <w:rPr>
          <w:rFonts w:ascii="Arial" w:hAnsi="Arial" w:cs="Arial"/>
        </w:rPr>
        <w:lastRenderedPageBreak/>
        <w:t>importing and compliance procedures; third, established brand names in premium markets shorten the consumer adoption timeframe in urban centres where aspirational signalling processes are the drivers of trial. Those strengths imply that Diageo can now use high</w:t>
      </w:r>
      <w:r>
        <w:rPr>
          <w:rFonts w:ascii="Arial" w:hAnsi="Arial" w:cs="Arial"/>
        </w:rPr>
        <w:t>er-margin strategies of premium things</w:t>
      </w:r>
      <w:r w:rsidRPr="00463820">
        <w:rPr>
          <w:rFonts w:ascii="Arial" w:hAnsi="Arial" w:cs="Arial"/>
        </w:rPr>
        <w:t xml:space="preserve"> and maintain brand equity despite local rivals fighting on the price.</w:t>
      </w:r>
    </w:p>
    <w:p w14:paraId="51A58512" w14:textId="77777777" w:rsidR="00463820" w:rsidRPr="00463820" w:rsidRDefault="00463820" w:rsidP="00463820">
      <w:pPr>
        <w:spacing w:line="360" w:lineRule="auto"/>
        <w:jc w:val="both"/>
        <w:rPr>
          <w:rFonts w:ascii="Arial" w:hAnsi="Arial" w:cs="Arial"/>
          <w:b/>
          <w:sz w:val="24"/>
          <w:szCs w:val="24"/>
        </w:rPr>
      </w:pPr>
      <w:r w:rsidRPr="00463820">
        <w:rPr>
          <w:rFonts w:ascii="Arial" w:hAnsi="Arial" w:cs="Arial"/>
          <w:b/>
          <w:sz w:val="24"/>
          <w:szCs w:val="24"/>
        </w:rPr>
        <w:t>Weaknesses</w:t>
      </w:r>
    </w:p>
    <w:p w14:paraId="55EEF055"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rPr>
        <w:t xml:space="preserve">Although Diageo has a </w:t>
      </w:r>
      <w:proofErr w:type="gramStart"/>
      <w:r w:rsidRPr="00463820">
        <w:rPr>
          <w:rFonts w:ascii="Arial" w:hAnsi="Arial" w:cs="Arial"/>
        </w:rPr>
        <w:t>robust top line sales</w:t>
      </w:r>
      <w:proofErr w:type="gramEnd"/>
      <w:r w:rsidRPr="00463820">
        <w:rPr>
          <w:rFonts w:ascii="Arial" w:hAnsi="Arial" w:cs="Arial"/>
        </w:rPr>
        <w:t>, its recent profitability pressure reveals the areas of weakness that may inhibit aggressive investment in a small frontier market. In 2025, the operating profit of the firm reduced to a record low of 4,335 million, which is significantly lower than it was in the previous years, and the management has declared a 500-million-cost-saving initiative to boost margins</w:t>
      </w:r>
      <w:r w:rsidR="00F212DB">
        <w:rPr>
          <w:rFonts w:ascii="Arial" w:hAnsi="Arial" w:cs="Arial"/>
        </w:rPr>
        <w:t xml:space="preserve"> </w:t>
      </w:r>
      <w:r w:rsidR="00F212DB" w:rsidRPr="00854FEC">
        <w:rPr>
          <w:rFonts w:ascii="Arial" w:hAnsi="Arial" w:cs="Arial"/>
        </w:rPr>
        <w:t>(Canal Vieira</w:t>
      </w:r>
      <w:r w:rsidR="00F212DB" w:rsidRPr="00130145">
        <w:rPr>
          <w:rFonts w:ascii="Arial" w:hAnsi="Arial" w:cs="Arial"/>
        </w:rPr>
        <w:t xml:space="preserve"> et al.</w:t>
      </w:r>
      <w:r w:rsidR="00F212DB" w:rsidRPr="00854FEC">
        <w:rPr>
          <w:rFonts w:ascii="Arial" w:hAnsi="Arial" w:cs="Arial"/>
        </w:rPr>
        <w:t>, 2024)</w:t>
      </w:r>
      <w:r w:rsidRPr="00463820">
        <w:rPr>
          <w:rFonts w:ascii="Arial" w:hAnsi="Arial" w:cs="Arial"/>
        </w:rPr>
        <w:t>. This lower operating leverage and active cost containment will mean capital allocation will be questioned; Mongolia, with a population of less than 3.6 million is a small revenue opportunity compared with other locations and thus it will be more difficult to afford high fixed commitments such as local production facility. Moreover, the globalisation of Diageo portfolio may introduce complexity to prioritisation of SKUs and pricing in small markets increasing the risk of either not investing sufficiently in brand development or over-saturation in SKUs which muddles the focus of distributors.</w:t>
      </w:r>
    </w:p>
    <w:p w14:paraId="4A86E331" w14:textId="77777777" w:rsidR="00463820" w:rsidRPr="00463820" w:rsidRDefault="00463820" w:rsidP="00463820">
      <w:pPr>
        <w:spacing w:line="360" w:lineRule="auto"/>
        <w:jc w:val="both"/>
        <w:rPr>
          <w:rFonts w:ascii="Arial" w:hAnsi="Arial" w:cs="Arial"/>
          <w:b/>
          <w:sz w:val="24"/>
          <w:szCs w:val="24"/>
        </w:rPr>
      </w:pPr>
      <w:r w:rsidRPr="00463820">
        <w:rPr>
          <w:rFonts w:ascii="Arial" w:hAnsi="Arial" w:cs="Arial"/>
          <w:b/>
          <w:sz w:val="24"/>
          <w:szCs w:val="24"/>
        </w:rPr>
        <w:t>Opportunities</w:t>
      </w:r>
    </w:p>
    <w:p w14:paraId="33C6A15F" w14:textId="77777777" w:rsidR="00463820" w:rsidRPr="00463820" w:rsidRDefault="00463820" w:rsidP="00463820">
      <w:pPr>
        <w:pStyle w:val="NormalWeb"/>
        <w:spacing w:line="360" w:lineRule="auto"/>
        <w:jc w:val="both"/>
        <w:rPr>
          <w:rFonts w:ascii="Arial" w:hAnsi="Arial" w:cs="Arial"/>
        </w:rPr>
      </w:pPr>
      <w:r w:rsidRPr="00463820">
        <w:rPr>
          <w:rFonts w:ascii="Arial" w:hAnsi="Arial" w:cs="Arial"/>
        </w:rPr>
        <w:t>Mongolia has some quantifiable demand-side and digital leverage, which Diageo can capitalize on. The nominal GDP of the country is estimated at approximately 25.1 billion in the year 2025 and the projections of growth have been strong, which helps to increase urban disposable incomes which are focused on Ulaanbaatar. This macro trend is supplemented by high digital penetration: the number of internet users in the start of 2025 was approximately 2.90 million, which means approximately 83 percent online penetration, which facilitates cost-effective online marketing, CRM and online e-commerce collaborations</w:t>
      </w:r>
      <w:r w:rsidR="00F212DB">
        <w:rPr>
          <w:rFonts w:ascii="Arial" w:hAnsi="Arial" w:cs="Arial"/>
        </w:rPr>
        <w:t xml:space="preserve"> </w:t>
      </w:r>
      <w:r w:rsidR="00F212DB" w:rsidRPr="00130145">
        <w:rPr>
          <w:rFonts w:ascii="Arial" w:hAnsi="Arial" w:cs="Arial"/>
        </w:rPr>
        <w:t>(</w:t>
      </w:r>
      <w:proofErr w:type="spellStart"/>
      <w:r w:rsidR="00F212DB" w:rsidRPr="00130145">
        <w:rPr>
          <w:rFonts w:ascii="Arial" w:hAnsi="Arial" w:cs="Arial"/>
        </w:rPr>
        <w:t>Anuno</w:t>
      </w:r>
      <w:proofErr w:type="spellEnd"/>
      <w:r w:rsidR="00F212DB" w:rsidRPr="00130145">
        <w:rPr>
          <w:rFonts w:ascii="Arial" w:hAnsi="Arial" w:cs="Arial"/>
        </w:rPr>
        <w:t xml:space="preserve"> et al.</w:t>
      </w:r>
      <w:r w:rsidR="00F212DB" w:rsidRPr="00854FEC">
        <w:rPr>
          <w:rFonts w:ascii="Arial" w:hAnsi="Arial" w:cs="Arial"/>
        </w:rPr>
        <w:t>, 2024)</w:t>
      </w:r>
      <w:r w:rsidRPr="00463820">
        <w:rPr>
          <w:rFonts w:ascii="Arial" w:hAnsi="Arial" w:cs="Arial"/>
        </w:rPr>
        <w:t xml:space="preserve">. To Diageo, such numbers suggest a programmable scaling of premium trial via on-trade activations channelled by influencers with selected social campaigns, direct-to-consumer sampling voucher channelled through the urban retail and hospitality channels; these data-based </w:t>
      </w:r>
      <w:r w:rsidRPr="00463820">
        <w:rPr>
          <w:rFonts w:ascii="Arial" w:hAnsi="Arial" w:cs="Arial"/>
        </w:rPr>
        <w:lastRenderedPageBreak/>
        <w:t>innovations eliminate the classical risk of creating a nationwide coverage of awareness, which is compacted within a limited area of geographical coverage.</w:t>
      </w:r>
    </w:p>
    <w:p w14:paraId="662999CB" w14:textId="77777777" w:rsidR="00463820" w:rsidRPr="00463820" w:rsidRDefault="00463820" w:rsidP="00463820">
      <w:pPr>
        <w:spacing w:line="360" w:lineRule="auto"/>
        <w:jc w:val="both"/>
        <w:rPr>
          <w:rFonts w:ascii="Arial" w:hAnsi="Arial" w:cs="Arial"/>
          <w:b/>
          <w:sz w:val="24"/>
          <w:szCs w:val="24"/>
        </w:rPr>
      </w:pPr>
      <w:r w:rsidRPr="00463820">
        <w:rPr>
          <w:rFonts w:ascii="Arial" w:hAnsi="Arial" w:cs="Arial"/>
          <w:b/>
          <w:sz w:val="24"/>
          <w:szCs w:val="24"/>
        </w:rPr>
        <w:t>Threats</w:t>
      </w:r>
    </w:p>
    <w:p w14:paraId="64FDEA3E" w14:textId="77777777" w:rsidR="00463820" w:rsidRPr="00463820" w:rsidRDefault="00463820" w:rsidP="00463820">
      <w:pPr>
        <w:pStyle w:val="NormalWeb"/>
        <w:spacing w:line="360" w:lineRule="auto"/>
        <w:jc w:val="both"/>
        <w:rPr>
          <w:rStyle w:val="Heading2Char"/>
          <w:rFonts w:ascii="Arial" w:eastAsia="Times New Roman" w:hAnsi="Arial" w:cs="Arial"/>
          <w:color w:val="auto"/>
          <w:sz w:val="24"/>
          <w:szCs w:val="24"/>
          <w:lang w:val="en-IN"/>
        </w:rPr>
      </w:pPr>
      <w:r w:rsidRPr="00463820">
        <w:rPr>
          <w:rFonts w:ascii="Arial" w:hAnsi="Arial" w:cs="Arial"/>
        </w:rPr>
        <w:t>Material downside risk is caused by structural market constraints and the regulation of public-health. The total observed and unobserved levels of alcohol consumption per adult are also among the larger regional rates (WHO and other country compilations list total consumption at 7-8 litres of pure alcohol per adult in recent years), which attracts regulatory and civil-society attention to the matters of availability and advertising. In addition, the alcoholic beverages market is highly concentrated around domestic incumbent APU JSC that is historically mentioned as holding a dominant portion of vodka market and majority of beer distribution content, which increases the cost and difficulty of securing prime on-trade and retail locations</w:t>
      </w:r>
      <w:r w:rsidR="00F212DB">
        <w:rPr>
          <w:rFonts w:ascii="Arial" w:hAnsi="Arial" w:cs="Arial"/>
        </w:rPr>
        <w:t xml:space="preserve"> </w:t>
      </w:r>
      <w:r w:rsidR="00F212DB" w:rsidRPr="00854FEC">
        <w:rPr>
          <w:rFonts w:ascii="Arial" w:hAnsi="Arial" w:cs="Arial"/>
        </w:rPr>
        <w:t>(Mowat, 2025)</w:t>
      </w:r>
      <w:r w:rsidRPr="00463820">
        <w:rPr>
          <w:rFonts w:ascii="Arial" w:hAnsi="Arial" w:cs="Arial"/>
        </w:rPr>
        <w:t xml:space="preserve">. Combined with increased regulatory focus on harmful drinking and established suppliers locally, this implies that Diageo </w:t>
      </w:r>
      <w:proofErr w:type="gramStart"/>
      <w:r w:rsidRPr="00463820">
        <w:rPr>
          <w:rFonts w:ascii="Arial" w:hAnsi="Arial" w:cs="Arial"/>
        </w:rPr>
        <w:t>has to</w:t>
      </w:r>
      <w:proofErr w:type="gramEnd"/>
      <w:r w:rsidRPr="00463820">
        <w:rPr>
          <w:rFonts w:ascii="Arial" w:hAnsi="Arial" w:cs="Arial"/>
        </w:rPr>
        <w:t xml:space="preserve"> invest in compliance, community programmes, and perhaps even higher trade terms to convince distributors and hospitality partners to focus on imported premium SKUs.</w:t>
      </w:r>
    </w:p>
    <w:p w14:paraId="7C104322" w14:textId="77777777" w:rsidR="00463820" w:rsidRPr="00463820" w:rsidRDefault="00463820" w:rsidP="00F212DB">
      <w:pPr>
        <w:pStyle w:val="Heading2"/>
        <w:spacing w:line="360" w:lineRule="auto"/>
        <w:jc w:val="both"/>
        <w:rPr>
          <w:rStyle w:val="Heading2Char"/>
          <w:rFonts w:ascii="Arial" w:hAnsi="Arial" w:cs="Arial"/>
          <w:b/>
          <w:color w:val="auto"/>
          <w:sz w:val="24"/>
          <w:szCs w:val="24"/>
        </w:rPr>
      </w:pPr>
      <w:bookmarkStart w:id="8" w:name="_Toc216374193"/>
      <w:r w:rsidRPr="00463820">
        <w:rPr>
          <w:rStyle w:val="Heading2Char"/>
          <w:rFonts w:ascii="Arial" w:hAnsi="Arial" w:cs="Arial"/>
          <w:b/>
          <w:color w:val="auto"/>
          <w:sz w:val="24"/>
          <w:szCs w:val="24"/>
        </w:rPr>
        <w:t>Conclusion</w:t>
      </w:r>
      <w:bookmarkEnd w:id="8"/>
      <w:r w:rsidRPr="00463820">
        <w:rPr>
          <w:rStyle w:val="Heading2Char"/>
          <w:rFonts w:ascii="Arial" w:hAnsi="Arial" w:cs="Arial"/>
          <w:b/>
          <w:color w:val="auto"/>
          <w:sz w:val="24"/>
          <w:szCs w:val="24"/>
        </w:rPr>
        <w:t xml:space="preserve"> </w:t>
      </w:r>
    </w:p>
    <w:p w14:paraId="16EC5DCC" w14:textId="77777777" w:rsidR="00463820" w:rsidRPr="00F212DB" w:rsidRDefault="00463820" w:rsidP="00F212DB">
      <w:pPr>
        <w:spacing w:line="360" w:lineRule="auto"/>
        <w:jc w:val="both"/>
        <w:rPr>
          <w:rFonts w:ascii="Arial" w:hAnsi="Arial" w:cs="Arial"/>
          <w:sz w:val="24"/>
          <w:szCs w:val="24"/>
        </w:rPr>
      </w:pPr>
      <w:r w:rsidRPr="00F212DB">
        <w:rPr>
          <w:rFonts w:ascii="Arial" w:hAnsi="Arial" w:cs="Arial"/>
          <w:sz w:val="24"/>
          <w:szCs w:val="24"/>
        </w:rPr>
        <w:t xml:space="preserve">The joint information of the PESTLE, the Porters Five Forces, and the SWOT analysis reveal that Mongolia is a strategically </w:t>
      </w:r>
      <w:proofErr w:type="spellStart"/>
      <w:r w:rsidRPr="00F212DB">
        <w:rPr>
          <w:rFonts w:ascii="Arial" w:hAnsi="Arial" w:cs="Arial"/>
          <w:sz w:val="24"/>
          <w:szCs w:val="24"/>
        </w:rPr>
        <w:t>favorable</w:t>
      </w:r>
      <w:proofErr w:type="spellEnd"/>
      <w:r w:rsidRPr="00F212DB">
        <w:rPr>
          <w:rFonts w:ascii="Arial" w:hAnsi="Arial" w:cs="Arial"/>
          <w:sz w:val="24"/>
          <w:szCs w:val="24"/>
        </w:rPr>
        <w:t xml:space="preserve"> but operationally challenging growth frontier to Diageo. Connections with the strong macroeconomic spring, fast urbanisation, and the </w:t>
      </w:r>
      <w:proofErr w:type="gramStart"/>
      <w:r w:rsidRPr="00F212DB">
        <w:rPr>
          <w:rFonts w:ascii="Arial" w:hAnsi="Arial" w:cs="Arial"/>
          <w:sz w:val="24"/>
          <w:szCs w:val="24"/>
        </w:rPr>
        <w:t>digitally-active</w:t>
      </w:r>
      <w:proofErr w:type="gramEnd"/>
      <w:r w:rsidRPr="00F212DB">
        <w:rPr>
          <w:rFonts w:ascii="Arial" w:hAnsi="Arial" w:cs="Arial"/>
          <w:sz w:val="24"/>
          <w:szCs w:val="24"/>
        </w:rPr>
        <w:t xml:space="preserve"> youth generation provide a good demand environment of premium </w:t>
      </w:r>
      <w:proofErr w:type="gramStart"/>
      <w:r w:rsidRPr="00F212DB">
        <w:rPr>
          <w:rFonts w:ascii="Arial" w:hAnsi="Arial" w:cs="Arial"/>
          <w:sz w:val="24"/>
          <w:szCs w:val="24"/>
        </w:rPr>
        <w:t>spirits</w:t>
      </w:r>
      <w:proofErr w:type="gramEnd"/>
      <w:r w:rsidRPr="00F212DB">
        <w:rPr>
          <w:rFonts w:ascii="Arial" w:hAnsi="Arial" w:cs="Arial"/>
          <w:sz w:val="24"/>
          <w:szCs w:val="24"/>
        </w:rPr>
        <w:t xml:space="preserve"> and the open investment environment and the growing retail infrastructure of Mongolia facilitates the easy market penetration. Nonetheless, the monopoly of APU JSC, the growing regulatory dissection concerning alcohol drinking, and the limited population in the country demand a gentle and relationship-based entry approach that emphasizes brand differentiation and rigorous capital investment. The global scale, strong portfolio and distribution skills provide Diageo with obvious competitive advantage, yet long-term success will rely on the ability to navigate through the excise regulation, create a local legitimacy, and transform the current consumption of spirits into premium segments. </w:t>
      </w:r>
    </w:p>
    <w:p w14:paraId="04D72B10" w14:textId="77777777" w:rsidR="00F212DB" w:rsidRPr="00F212DB" w:rsidRDefault="00F212DB" w:rsidP="00F212DB">
      <w:pPr>
        <w:spacing w:line="360" w:lineRule="auto"/>
        <w:jc w:val="both"/>
        <w:rPr>
          <w:rFonts w:ascii="Arial" w:hAnsi="Arial" w:cs="Arial"/>
          <w:sz w:val="24"/>
          <w:szCs w:val="24"/>
        </w:rPr>
      </w:pPr>
      <w:r w:rsidRPr="00F212DB">
        <w:rPr>
          <w:rFonts w:ascii="Arial" w:hAnsi="Arial" w:cs="Arial"/>
          <w:sz w:val="24"/>
          <w:szCs w:val="24"/>
        </w:rPr>
        <w:br w:type="page"/>
      </w:r>
    </w:p>
    <w:p w14:paraId="4D9BB105" w14:textId="77777777" w:rsidR="00463820" w:rsidRPr="005D46A9" w:rsidRDefault="00463820" w:rsidP="005D46A9">
      <w:pPr>
        <w:pStyle w:val="Heading1"/>
        <w:spacing w:line="360" w:lineRule="auto"/>
        <w:jc w:val="both"/>
        <w:rPr>
          <w:rFonts w:ascii="Arial" w:hAnsi="Arial" w:cs="Arial"/>
          <w:b/>
          <w:color w:val="auto"/>
          <w:sz w:val="24"/>
          <w:szCs w:val="24"/>
          <w:shd w:val="clear" w:color="auto" w:fill="FFFFFF"/>
        </w:rPr>
      </w:pPr>
      <w:bookmarkStart w:id="9" w:name="_Toc216374194"/>
      <w:r w:rsidRPr="005D46A9">
        <w:rPr>
          <w:rFonts w:ascii="Arial" w:hAnsi="Arial" w:cs="Arial"/>
          <w:b/>
          <w:color w:val="auto"/>
          <w:sz w:val="24"/>
          <w:szCs w:val="24"/>
          <w:shd w:val="clear" w:color="auto" w:fill="FFFFFF"/>
        </w:rPr>
        <w:lastRenderedPageBreak/>
        <w:t>Section 3</w:t>
      </w:r>
      <w:bookmarkEnd w:id="9"/>
      <w:r w:rsidRPr="005D46A9">
        <w:rPr>
          <w:rFonts w:ascii="Arial" w:hAnsi="Arial" w:cs="Arial"/>
          <w:b/>
          <w:color w:val="auto"/>
          <w:sz w:val="24"/>
          <w:szCs w:val="24"/>
          <w:shd w:val="clear" w:color="auto" w:fill="FFFFFF"/>
        </w:rPr>
        <w:t xml:space="preserve"> </w:t>
      </w:r>
    </w:p>
    <w:p w14:paraId="68E2ED19" w14:textId="77777777" w:rsidR="00463820" w:rsidRPr="005D46A9" w:rsidRDefault="00463820" w:rsidP="005D46A9">
      <w:pPr>
        <w:pStyle w:val="Heading2"/>
        <w:spacing w:line="360" w:lineRule="auto"/>
        <w:jc w:val="both"/>
        <w:rPr>
          <w:rFonts w:ascii="Arial" w:hAnsi="Arial" w:cs="Arial"/>
          <w:b/>
          <w:color w:val="auto"/>
          <w:sz w:val="24"/>
          <w:szCs w:val="24"/>
          <w:shd w:val="clear" w:color="auto" w:fill="FFFFFF"/>
        </w:rPr>
      </w:pPr>
      <w:bookmarkStart w:id="10" w:name="_Toc216374195"/>
      <w:r w:rsidRPr="005D46A9">
        <w:rPr>
          <w:rFonts w:ascii="Arial" w:hAnsi="Arial" w:cs="Arial"/>
          <w:b/>
          <w:color w:val="auto"/>
          <w:sz w:val="24"/>
          <w:szCs w:val="24"/>
          <w:shd w:val="clear" w:color="auto" w:fill="FFFFFF"/>
        </w:rPr>
        <w:t>4 expansion method</w:t>
      </w:r>
      <w:bookmarkEnd w:id="10"/>
    </w:p>
    <w:p w14:paraId="64AEC194" w14:textId="77777777" w:rsidR="00463820" w:rsidRPr="005D46A9" w:rsidRDefault="00463820" w:rsidP="005D46A9">
      <w:pPr>
        <w:spacing w:line="360" w:lineRule="auto"/>
        <w:jc w:val="both"/>
        <w:rPr>
          <w:rFonts w:ascii="Arial" w:hAnsi="Arial" w:cs="Arial"/>
          <w:b/>
          <w:bCs/>
          <w:sz w:val="24"/>
          <w:szCs w:val="24"/>
          <w:shd w:val="clear" w:color="auto" w:fill="FFFFFF"/>
        </w:rPr>
      </w:pPr>
      <w:r w:rsidRPr="005D46A9">
        <w:rPr>
          <w:rFonts w:ascii="Arial" w:hAnsi="Arial" w:cs="Arial"/>
          <w:b/>
          <w:bCs/>
          <w:sz w:val="24"/>
          <w:szCs w:val="24"/>
          <w:shd w:val="clear" w:color="auto" w:fill="FFFFFF"/>
        </w:rPr>
        <w:t>Exporting</w:t>
      </w:r>
      <w:r w:rsidR="0090470C" w:rsidRPr="005D46A9">
        <w:rPr>
          <w:rFonts w:ascii="Arial" w:hAnsi="Arial" w:cs="Arial"/>
          <w:b/>
          <w:bCs/>
          <w:sz w:val="24"/>
          <w:szCs w:val="24"/>
          <w:shd w:val="clear" w:color="auto" w:fill="FFFFFF"/>
        </w:rPr>
        <w:t xml:space="preserve">: </w:t>
      </w:r>
      <w:r w:rsidR="0090470C" w:rsidRPr="005D46A9">
        <w:rPr>
          <w:rFonts w:ascii="Arial" w:hAnsi="Arial" w:cs="Arial"/>
          <w:bCs/>
          <w:sz w:val="24"/>
          <w:szCs w:val="24"/>
          <w:shd w:val="clear" w:color="auto" w:fill="FFFFFF"/>
        </w:rPr>
        <w:t xml:space="preserve">Export exporting entails Diageo supplying completed </w:t>
      </w:r>
      <w:proofErr w:type="gramStart"/>
      <w:r w:rsidR="0090470C" w:rsidRPr="005D46A9">
        <w:rPr>
          <w:rFonts w:ascii="Arial" w:hAnsi="Arial" w:cs="Arial"/>
          <w:bCs/>
          <w:sz w:val="24"/>
          <w:szCs w:val="24"/>
          <w:shd w:val="clear" w:color="auto" w:fill="FFFFFF"/>
        </w:rPr>
        <w:t>high quality</w:t>
      </w:r>
      <w:proofErr w:type="gramEnd"/>
      <w:r w:rsidR="0090470C" w:rsidRPr="005D46A9">
        <w:rPr>
          <w:rFonts w:ascii="Arial" w:hAnsi="Arial" w:cs="Arial"/>
          <w:bCs/>
          <w:sz w:val="24"/>
          <w:szCs w:val="24"/>
          <w:shd w:val="clear" w:color="auto" w:fill="FFFFFF"/>
        </w:rPr>
        <w:t xml:space="preserve"> spirits through its world production centres directly into Mongolia via an appointed distributor. This approach will be suitable in the small demand setup in Mongolia, where almost half of the population </w:t>
      </w:r>
      <w:proofErr w:type="gramStart"/>
      <w:r w:rsidR="0090470C" w:rsidRPr="005D46A9">
        <w:rPr>
          <w:rFonts w:ascii="Arial" w:hAnsi="Arial" w:cs="Arial"/>
          <w:bCs/>
          <w:sz w:val="24"/>
          <w:szCs w:val="24"/>
          <w:shd w:val="clear" w:color="auto" w:fill="FFFFFF"/>
        </w:rPr>
        <w:t>is located in</w:t>
      </w:r>
      <w:proofErr w:type="gramEnd"/>
      <w:r w:rsidR="0090470C" w:rsidRPr="005D46A9">
        <w:rPr>
          <w:rFonts w:ascii="Arial" w:hAnsi="Arial" w:cs="Arial"/>
          <w:bCs/>
          <w:sz w:val="24"/>
          <w:szCs w:val="24"/>
          <w:shd w:val="clear" w:color="auto" w:fill="FFFFFF"/>
        </w:rPr>
        <w:t xml:space="preserve"> Ulaanbaatar, which can be easily distributed with a small amount of fixed investment. The comparatively low rates of applied tariffs and good 2025 economic perspective of the country (Quantum growth of real GDP is estimated between 5 and 6.6%) favour the importation of premium goods. </w:t>
      </w:r>
    </w:p>
    <w:p w14:paraId="1F454161" w14:textId="77777777" w:rsidR="00463820" w:rsidRPr="005D46A9" w:rsidRDefault="00463820" w:rsidP="005D46A9">
      <w:pPr>
        <w:spacing w:line="360" w:lineRule="auto"/>
        <w:jc w:val="both"/>
        <w:rPr>
          <w:rFonts w:ascii="Arial" w:hAnsi="Arial" w:cs="Arial"/>
          <w:b/>
          <w:bCs/>
          <w:sz w:val="24"/>
          <w:szCs w:val="24"/>
          <w:shd w:val="clear" w:color="auto" w:fill="FFFFFF"/>
        </w:rPr>
      </w:pPr>
      <w:r w:rsidRPr="005D46A9">
        <w:rPr>
          <w:rFonts w:ascii="Arial" w:hAnsi="Arial" w:cs="Arial"/>
          <w:b/>
          <w:bCs/>
          <w:sz w:val="24"/>
          <w:szCs w:val="24"/>
          <w:shd w:val="clear" w:color="auto" w:fill="FFFFFF"/>
        </w:rPr>
        <w:t>Company's advantage and disadvantages </w:t>
      </w:r>
    </w:p>
    <w:p w14:paraId="3EE9EE52" w14:textId="77777777" w:rsidR="0090470C" w:rsidRPr="005D46A9" w:rsidRDefault="0090470C" w:rsidP="005D46A9">
      <w:pPr>
        <w:spacing w:line="360" w:lineRule="auto"/>
        <w:jc w:val="both"/>
        <w:rPr>
          <w:rFonts w:ascii="Arial" w:hAnsi="Arial" w:cs="Arial"/>
          <w:b/>
          <w:sz w:val="24"/>
          <w:szCs w:val="24"/>
        </w:rPr>
      </w:pPr>
      <w:r w:rsidRPr="005D46A9">
        <w:rPr>
          <w:rFonts w:ascii="Arial" w:hAnsi="Arial" w:cs="Arial"/>
          <w:b/>
          <w:sz w:val="24"/>
          <w:szCs w:val="24"/>
        </w:rPr>
        <w:t>Advantages for Diageo</w:t>
      </w:r>
    </w:p>
    <w:p w14:paraId="2F688F97" w14:textId="77777777" w:rsidR="0090470C" w:rsidRPr="005D46A9" w:rsidRDefault="0090470C" w:rsidP="005D46A9">
      <w:pPr>
        <w:pStyle w:val="NormalWeb"/>
        <w:spacing w:line="360" w:lineRule="auto"/>
        <w:jc w:val="both"/>
        <w:rPr>
          <w:rFonts w:ascii="Arial" w:hAnsi="Arial" w:cs="Arial"/>
        </w:rPr>
      </w:pPr>
      <w:r w:rsidRPr="005D46A9">
        <w:rPr>
          <w:rFonts w:ascii="Arial" w:hAnsi="Arial" w:cs="Arial"/>
        </w:rPr>
        <w:t xml:space="preserve">Exporting will enable Diageo to venture into Mongolia with reduced financial risk because it will be able to utilize its current international production facilities instead of investing in the local production. This is a strategic advantage since Mongolia has a small population of approximately 3.5 million people and the demand is concentrated in Ulaanbaatar and hence does not require so many </w:t>
      </w:r>
      <w:proofErr w:type="gramStart"/>
      <w:r w:rsidRPr="005D46A9">
        <w:rPr>
          <w:rFonts w:ascii="Arial" w:hAnsi="Arial" w:cs="Arial"/>
        </w:rPr>
        <w:t>infrastructure</w:t>
      </w:r>
      <w:proofErr w:type="gramEnd"/>
      <w:r w:rsidRPr="005D46A9">
        <w:rPr>
          <w:rFonts w:ascii="Arial" w:hAnsi="Arial" w:cs="Arial"/>
        </w:rPr>
        <w:t>. Exporting also helps Diageo to live up to the global quality standards and at the same time launch high-margin premium spirits within a rising economy that is predicted to grow by more than 5 percent in 2025</w:t>
      </w:r>
      <w:r w:rsidR="00F212DB">
        <w:rPr>
          <w:rFonts w:ascii="Arial" w:hAnsi="Arial" w:cs="Arial"/>
        </w:rPr>
        <w:t xml:space="preserve"> </w:t>
      </w:r>
      <w:r w:rsidR="00F212DB" w:rsidRPr="00854FEC">
        <w:rPr>
          <w:rFonts w:ascii="Arial" w:hAnsi="Arial" w:cs="Arial"/>
        </w:rPr>
        <w:t xml:space="preserve">(Bányai </w:t>
      </w:r>
      <w:r w:rsidR="00F212DB" w:rsidRPr="00130145">
        <w:rPr>
          <w:rFonts w:ascii="Arial" w:hAnsi="Arial" w:cs="Arial"/>
          <w:i/>
          <w:iCs/>
        </w:rPr>
        <w:t>et al.</w:t>
      </w:r>
      <w:r w:rsidR="00F212DB" w:rsidRPr="00854FEC">
        <w:rPr>
          <w:rFonts w:ascii="Arial" w:hAnsi="Arial" w:cs="Arial"/>
        </w:rPr>
        <w:t>, 2025)</w:t>
      </w:r>
      <w:r w:rsidRPr="005D46A9">
        <w:rPr>
          <w:rFonts w:ascii="Arial" w:hAnsi="Arial" w:cs="Arial"/>
        </w:rPr>
        <w:t xml:space="preserve">. </w:t>
      </w:r>
    </w:p>
    <w:p w14:paraId="5959587D" w14:textId="77777777" w:rsidR="0090470C" w:rsidRPr="005D46A9" w:rsidRDefault="0090470C" w:rsidP="005D46A9">
      <w:pPr>
        <w:spacing w:line="360" w:lineRule="auto"/>
        <w:jc w:val="both"/>
        <w:rPr>
          <w:rFonts w:ascii="Arial" w:hAnsi="Arial" w:cs="Arial"/>
          <w:b/>
          <w:sz w:val="24"/>
          <w:szCs w:val="24"/>
        </w:rPr>
      </w:pPr>
      <w:r w:rsidRPr="005D46A9">
        <w:rPr>
          <w:rFonts w:ascii="Arial" w:hAnsi="Arial" w:cs="Arial"/>
          <w:b/>
          <w:sz w:val="24"/>
          <w:szCs w:val="24"/>
        </w:rPr>
        <w:t>Disadvantages for Diageo</w:t>
      </w:r>
    </w:p>
    <w:p w14:paraId="53A49BEF" w14:textId="77777777" w:rsidR="0090470C" w:rsidRPr="005D46A9" w:rsidRDefault="0090470C" w:rsidP="005D46A9">
      <w:pPr>
        <w:pStyle w:val="NormalWeb"/>
        <w:spacing w:line="360" w:lineRule="auto"/>
        <w:jc w:val="both"/>
        <w:rPr>
          <w:rFonts w:ascii="Arial" w:hAnsi="Arial" w:cs="Arial"/>
        </w:rPr>
      </w:pPr>
      <w:r w:rsidRPr="005D46A9">
        <w:rPr>
          <w:rFonts w:ascii="Arial" w:hAnsi="Arial" w:cs="Arial"/>
        </w:rPr>
        <w:t>Even though the risk is low, the exporting aspect denies Diageo the power to control vital areas of the value chain, especially in terms of distribution, pricing implementation and store visibility, which is highly reliant on performance of the local distributor. This is a significant weakness in a market with so powerful domestic brands like APU JSC that already has a better retail access and brand recognition</w:t>
      </w:r>
      <w:r w:rsidR="00F212DB">
        <w:rPr>
          <w:rFonts w:ascii="Arial" w:hAnsi="Arial" w:cs="Arial"/>
        </w:rPr>
        <w:t xml:space="preserve"> </w:t>
      </w:r>
      <w:r w:rsidR="00F212DB" w:rsidRPr="00854FEC">
        <w:rPr>
          <w:rFonts w:ascii="Arial" w:hAnsi="Arial" w:cs="Arial"/>
        </w:rPr>
        <w:t>(Vieira, 2025)</w:t>
      </w:r>
      <w:r w:rsidRPr="005D46A9">
        <w:rPr>
          <w:rFonts w:ascii="Arial" w:hAnsi="Arial" w:cs="Arial"/>
        </w:rPr>
        <w:t xml:space="preserve">. Exporting also exposes Diageo to increased logistics expense, excise expenses and possible currency fluctuation, which </w:t>
      </w:r>
      <w:proofErr w:type="gramStart"/>
      <w:r w:rsidRPr="005D46A9">
        <w:rPr>
          <w:rFonts w:ascii="Arial" w:hAnsi="Arial" w:cs="Arial"/>
        </w:rPr>
        <w:t>is able to</w:t>
      </w:r>
      <w:proofErr w:type="gramEnd"/>
      <w:r w:rsidRPr="005D46A9">
        <w:rPr>
          <w:rFonts w:ascii="Arial" w:hAnsi="Arial" w:cs="Arial"/>
        </w:rPr>
        <w:t xml:space="preserve"> reduce the margins on imported spirits. </w:t>
      </w:r>
    </w:p>
    <w:p w14:paraId="6CFF0892" w14:textId="77777777" w:rsidR="00463820" w:rsidRPr="005D46A9" w:rsidRDefault="00463820" w:rsidP="005D46A9">
      <w:pPr>
        <w:spacing w:line="360" w:lineRule="auto"/>
        <w:jc w:val="both"/>
        <w:rPr>
          <w:rFonts w:ascii="Arial" w:hAnsi="Arial" w:cs="Arial"/>
          <w:b/>
          <w:bCs/>
          <w:sz w:val="24"/>
          <w:szCs w:val="24"/>
          <w:shd w:val="clear" w:color="auto" w:fill="FFFFFF"/>
        </w:rPr>
      </w:pPr>
      <w:r w:rsidRPr="005D46A9">
        <w:rPr>
          <w:rFonts w:ascii="Arial" w:hAnsi="Arial" w:cs="Arial"/>
          <w:b/>
          <w:bCs/>
          <w:sz w:val="24"/>
          <w:szCs w:val="24"/>
          <w:shd w:val="clear" w:color="auto" w:fill="FFFFFF"/>
        </w:rPr>
        <w:t>Franchising</w:t>
      </w:r>
      <w:r w:rsidR="0090470C" w:rsidRPr="005D46A9">
        <w:rPr>
          <w:rFonts w:ascii="Arial" w:hAnsi="Arial" w:cs="Arial"/>
          <w:b/>
          <w:bCs/>
          <w:sz w:val="24"/>
          <w:szCs w:val="24"/>
          <w:shd w:val="clear" w:color="auto" w:fill="FFFFFF"/>
        </w:rPr>
        <w:t xml:space="preserve">: </w:t>
      </w:r>
      <w:r w:rsidR="0090470C" w:rsidRPr="005D46A9">
        <w:rPr>
          <w:rFonts w:ascii="Arial" w:hAnsi="Arial" w:cs="Arial"/>
          <w:bCs/>
          <w:sz w:val="24"/>
          <w:szCs w:val="24"/>
          <w:shd w:val="clear" w:color="auto" w:fill="FFFFFF"/>
        </w:rPr>
        <w:t>The form of franchise in Mongolia would be by Diageo licensing their brand idea including branded bars, tasting lounges or experiential retailing spaces to the local operators who operate the day-to-day operations</w:t>
      </w:r>
      <w:r w:rsidR="00F212DB">
        <w:rPr>
          <w:rFonts w:ascii="Arial" w:hAnsi="Arial" w:cs="Arial"/>
          <w:bCs/>
          <w:sz w:val="24"/>
          <w:szCs w:val="24"/>
          <w:shd w:val="clear" w:color="auto" w:fill="FFFFFF"/>
        </w:rPr>
        <w:t xml:space="preserve"> </w:t>
      </w:r>
      <w:r w:rsidR="00F212DB" w:rsidRPr="00130145">
        <w:rPr>
          <w:rFonts w:ascii="Arial" w:eastAsia="Times New Roman" w:hAnsi="Arial" w:cs="Arial"/>
          <w:sz w:val="24"/>
          <w:szCs w:val="24"/>
          <w:lang w:val="en-IN" w:eastAsia="en-IN"/>
        </w:rPr>
        <w:t>(</w:t>
      </w:r>
      <w:proofErr w:type="spellStart"/>
      <w:r w:rsidR="00F212DB" w:rsidRPr="00130145">
        <w:rPr>
          <w:rFonts w:ascii="Arial" w:eastAsia="Times New Roman" w:hAnsi="Arial" w:cs="Arial"/>
          <w:sz w:val="24"/>
          <w:szCs w:val="24"/>
          <w:lang w:val="en-IN" w:eastAsia="en-IN"/>
        </w:rPr>
        <w:t>Buyl</w:t>
      </w:r>
      <w:proofErr w:type="spellEnd"/>
      <w:r w:rsidR="00F212DB" w:rsidRPr="00130145">
        <w:rPr>
          <w:rFonts w:ascii="Arial" w:eastAsia="Times New Roman" w:hAnsi="Arial" w:cs="Arial"/>
          <w:sz w:val="24"/>
          <w:szCs w:val="24"/>
          <w:lang w:val="en-IN" w:eastAsia="en-IN"/>
        </w:rPr>
        <w:t xml:space="preserve"> et al.</w:t>
      </w:r>
      <w:r w:rsidR="00F212DB" w:rsidRPr="00854FEC">
        <w:rPr>
          <w:rFonts w:ascii="Arial" w:eastAsia="Times New Roman" w:hAnsi="Arial" w:cs="Arial"/>
          <w:sz w:val="24"/>
          <w:szCs w:val="24"/>
          <w:lang w:val="en-IN" w:eastAsia="en-IN"/>
        </w:rPr>
        <w:t>, 2025)</w:t>
      </w:r>
      <w:r w:rsidR="0090470C" w:rsidRPr="005D46A9">
        <w:rPr>
          <w:rFonts w:ascii="Arial" w:hAnsi="Arial" w:cs="Arial"/>
          <w:bCs/>
          <w:sz w:val="24"/>
          <w:szCs w:val="24"/>
          <w:shd w:val="clear" w:color="auto" w:fill="FFFFFF"/>
        </w:rPr>
        <w:t xml:space="preserve">. The </w:t>
      </w:r>
      <w:r w:rsidR="0090470C" w:rsidRPr="005D46A9">
        <w:rPr>
          <w:rFonts w:ascii="Arial" w:hAnsi="Arial" w:cs="Arial"/>
          <w:bCs/>
          <w:sz w:val="24"/>
          <w:szCs w:val="24"/>
          <w:shd w:val="clear" w:color="auto" w:fill="FFFFFF"/>
        </w:rPr>
        <w:lastRenderedPageBreak/>
        <w:t xml:space="preserve">youthful, highly connected population of Ulaanbaatar and good social-media coverage has seen branded experiential spaces being very successful in creating the perception of premiums. </w:t>
      </w:r>
    </w:p>
    <w:p w14:paraId="0EF8C6B2" w14:textId="77777777" w:rsidR="00463820" w:rsidRPr="005D46A9" w:rsidRDefault="00463820" w:rsidP="005D46A9">
      <w:pPr>
        <w:spacing w:line="360" w:lineRule="auto"/>
        <w:jc w:val="both"/>
        <w:rPr>
          <w:rFonts w:ascii="Arial" w:hAnsi="Arial" w:cs="Arial"/>
          <w:b/>
          <w:bCs/>
          <w:sz w:val="24"/>
          <w:szCs w:val="24"/>
          <w:shd w:val="clear" w:color="auto" w:fill="FFFFFF"/>
        </w:rPr>
      </w:pPr>
      <w:r w:rsidRPr="005D46A9">
        <w:rPr>
          <w:rFonts w:ascii="Arial" w:hAnsi="Arial" w:cs="Arial"/>
          <w:b/>
          <w:bCs/>
          <w:sz w:val="24"/>
          <w:szCs w:val="24"/>
          <w:shd w:val="clear" w:color="auto" w:fill="FFFFFF"/>
        </w:rPr>
        <w:t>Company's advantage and disadvantages </w:t>
      </w:r>
    </w:p>
    <w:p w14:paraId="78EB65AA" w14:textId="77777777" w:rsidR="0090470C" w:rsidRPr="005D46A9" w:rsidRDefault="0090470C" w:rsidP="005D46A9">
      <w:pPr>
        <w:spacing w:line="360" w:lineRule="auto"/>
        <w:jc w:val="both"/>
        <w:rPr>
          <w:rFonts w:ascii="Arial" w:hAnsi="Arial" w:cs="Arial"/>
          <w:b/>
          <w:sz w:val="24"/>
          <w:szCs w:val="24"/>
        </w:rPr>
      </w:pPr>
      <w:r w:rsidRPr="005D46A9">
        <w:rPr>
          <w:rFonts w:ascii="Arial" w:hAnsi="Arial" w:cs="Arial"/>
          <w:b/>
          <w:sz w:val="24"/>
          <w:szCs w:val="24"/>
        </w:rPr>
        <w:t>Advantages for Diageo</w:t>
      </w:r>
    </w:p>
    <w:p w14:paraId="79A82423" w14:textId="77777777" w:rsidR="0090470C" w:rsidRPr="005D46A9" w:rsidRDefault="0090470C" w:rsidP="005D46A9">
      <w:pPr>
        <w:pStyle w:val="NormalWeb"/>
        <w:spacing w:line="360" w:lineRule="auto"/>
        <w:jc w:val="both"/>
        <w:rPr>
          <w:rFonts w:ascii="Arial" w:hAnsi="Arial" w:cs="Arial"/>
        </w:rPr>
      </w:pPr>
      <w:r w:rsidRPr="005D46A9">
        <w:rPr>
          <w:rFonts w:ascii="Arial" w:hAnsi="Arial" w:cs="Arial"/>
        </w:rPr>
        <w:t xml:space="preserve">Franchising will allow Diageo to </w:t>
      </w:r>
      <w:proofErr w:type="gramStart"/>
      <w:r w:rsidRPr="005D46A9">
        <w:rPr>
          <w:rFonts w:ascii="Arial" w:hAnsi="Arial" w:cs="Arial"/>
        </w:rPr>
        <w:t>fast track</w:t>
      </w:r>
      <w:proofErr w:type="gramEnd"/>
      <w:r w:rsidRPr="005D46A9">
        <w:rPr>
          <w:rFonts w:ascii="Arial" w:hAnsi="Arial" w:cs="Arial"/>
        </w:rPr>
        <w:t xml:space="preserve"> brand awareness and interaction with consumers in the Mongolian market at an exceptionally lower cost as compared to establishment of company-owned establishments. Local franchisees will provide the capital, compliance, and </w:t>
      </w:r>
      <w:proofErr w:type="spellStart"/>
      <w:r w:rsidRPr="005D46A9">
        <w:rPr>
          <w:rFonts w:ascii="Arial" w:hAnsi="Arial" w:cs="Arial"/>
        </w:rPr>
        <w:t>maneuvering</w:t>
      </w:r>
      <w:proofErr w:type="spellEnd"/>
      <w:r w:rsidRPr="005D46A9">
        <w:rPr>
          <w:rFonts w:ascii="Arial" w:hAnsi="Arial" w:cs="Arial"/>
        </w:rPr>
        <w:t xml:space="preserve"> around the licensing regulations which is beneficial in a highly controlled alcohol market</w:t>
      </w:r>
      <w:r w:rsidR="00F212DB">
        <w:rPr>
          <w:rFonts w:ascii="Arial" w:hAnsi="Arial" w:cs="Arial"/>
        </w:rPr>
        <w:t xml:space="preserve"> </w:t>
      </w:r>
      <w:r w:rsidR="00F212DB" w:rsidRPr="00854FEC">
        <w:rPr>
          <w:rFonts w:ascii="Arial" w:hAnsi="Arial" w:cs="Arial"/>
        </w:rPr>
        <w:t>(Gjikolli, 2024)</w:t>
      </w:r>
      <w:r w:rsidRPr="005D46A9">
        <w:rPr>
          <w:rFonts w:ascii="Arial" w:hAnsi="Arial" w:cs="Arial"/>
        </w:rPr>
        <w:t xml:space="preserve">. Diageo maintains strategic ownership of brand guidelines and marketing policies besides enjoying a recurring income in terms of franchise fee and royalty. </w:t>
      </w:r>
    </w:p>
    <w:p w14:paraId="427F5CCF" w14:textId="77777777" w:rsidR="0090470C" w:rsidRPr="005D46A9" w:rsidRDefault="0090470C" w:rsidP="005D46A9">
      <w:pPr>
        <w:spacing w:line="360" w:lineRule="auto"/>
        <w:jc w:val="both"/>
        <w:rPr>
          <w:rFonts w:ascii="Arial" w:hAnsi="Arial" w:cs="Arial"/>
          <w:b/>
          <w:sz w:val="24"/>
          <w:szCs w:val="24"/>
        </w:rPr>
      </w:pPr>
      <w:r w:rsidRPr="005D46A9">
        <w:rPr>
          <w:rFonts w:ascii="Arial" w:hAnsi="Arial" w:cs="Arial"/>
          <w:b/>
          <w:sz w:val="24"/>
          <w:szCs w:val="24"/>
        </w:rPr>
        <w:t>Disadvantages for Diageo</w:t>
      </w:r>
    </w:p>
    <w:p w14:paraId="2B18420C" w14:textId="77777777" w:rsidR="0090470C" w:rsidRPr="005D46A9" w:rsidRDefault="0090470C" w:rsidP="005D46A9">
      <w:pPr>
        <w:pStyle w:val="NormalWeb"/>
        <w:spacing w:line="360" w:lineRule="auto"/>
        <w:jc w:val="both"/>
        <w:rPr>
          <w:rFonts w:ascii="Arial" w:hAnsi="Arial" w:cs="Arial"/>
        </w:rPr>
      </w:pPr>
      <w:r w:rsidRPr="005D46A9">
        <w:rPr>
          <w:rFonts w:ascii="Arial" w:hAnsi="Arial" w:cs="Arial"/>
        </w:rPr>
        <w:t xml:space="preserve">The franchising model also restricts direct customer experience and service provision as well as compliance practices which means that Diageo is exposed to reputational risks in case franchisees do not meet the global standards of operating practices. The regulations regarding alcohol in Mongolia are constantly changing, so franchise partners might not be able to ensure compliance without the constant attention. Secondly, Diageo loses control on the financial strength and operating capability of its franchisees; poor performing franchisees might undermine the brand image and drag in the market. </w:t>
      </w:r>
    </w:p>
    <w:p w14:paraId="5CAA9FD3" w14:textId="77777777" w:rsidR="00F212DB" w:rsidRDefault="00463820" w:rsidP="005D46A9">
      <w:pPr>
        <w:spacing w:line="360" w:lineRule="auto"/>
        <w:jc w:val="both"/>
        <w:rPr>
          <w:rFonts w:ascii="Arial" w:hAnsi="Arial" w:cs="Arial"/>
          <w:bCs/>
          <w:sz w:val="24"/>
          <w:szCs w:val="24"/>
          <w:shd w:val="clear" w:color="auto" w:fill="FFFFFF"/>
        </w:rPr>
      </w:pPr>
      <w:r w:rsidRPr="005D46A9">
        <w:rPr>
          <w:rFonts w:ascii="Arial" w:hAnsi="Arial" w:cs="Arial"/>
          <w:b/>
          <w:bCs/>
          <w:sz w:val="24"/>
          <w:szCs w:val="24"/>
          <w:shd w:val="clear" w:color="auto" w:fill="FFFFFF"/>
        </w:rPr>
        <w:t>Joint venture</w:t>
      </w:r>
      <w:r w:rsidR="005D46A9" w:rsidRPr="005D46A9">
        <w:rPr>
          <w:rFonts w:ascii="Arial" w:hAnsi="Arial" w:cs="Arial"/>
          <w:b/>
          <w:bCs/>
          <w:sz w:val="24"/>
          <w:szCs w:val="24"/>
          <w:shd w:val="clear" w:color="auto" w:fill="FFFFFF"/>
        </w:rPr>
        <w:t xml:space="preserve">: </w:t>
      </w:r>
      <w:r w:rsidR="005D46A9" w:rsidRPr="005D46A9">
        <w:rPr>
          <w:rFonts w:ascii="Arial" w:hAnsi="Arial" w:cs="Arial"/>
          <w:bCs/>
          <w:sz w:val="24"/>
          <w:szCs w:val="24"/>
          <w:shd w:val="clear" w:color="auto" w:fill="FFFFFF"/>
        </w:rPr>
        <w:t xml:space="preserve">Joint venture in Mongolia would entail Diageo collaborating with a local distributor/beverage company to share resources, ownership, and responsibilities. The given model is appealing in the environment, where the domestic players, particularly APU JSC, the prevailing producer of vodka and beer, own </w:t>
      </w:r>
      <w:proofErr w:type="gramStart"/>
      <w:r w:rsidR="005D46A9" w:rsidRPr="005D46A9">
        <w:rPr>
          <w:rFonts w:ascii="Arial" w:hAnsi="Arial" w:cs="Arial"/>
          <w:bCs/>
          <w:sz w:val="24"/>
          <w:szCs w:val="24"/>
          <w:shd w:val="clear" w:color="auto" w:fill="FFFFFF"/>
        </w:rPr>
        <w:t>the majority of</w:t>
      </w:r>
      <w:proofErr w:type="gramEnd"/>
      <w:r w:rsidR="005D46A9" w:rsidRPr="005D46A9">
        <w:rPr>
          <w:rFonts w:ascii="Arial" w:hAnsi="Arial" w:cs="Arial"/>
          <w:bCs/>
          <w:sz w:val="24"/>
          <w:szCs w:val="24"/>
          <w:shd w:val="clear" w:color="auto" w:fill="FFFFFF"/>
        </w:rPr>
        <w:t xml:space="preserve"> the retail access and logistics channels</w:t>
      </w:r>
      <w:r w:rsidR="00F212DB">
        <w:rPr>
          <w:rFonts w:ascii="Arial" w:hAnsi="Arial" w:cs="Arial"/>
          <w:bCs/>
          <w:sz w:val="24"/>
          <w:szCs w:val="24"/>
          <w:shd w:val="clear" w:color="auto" w:fill="FFFFFF"/>
        </w:rPr>
        <w:t xml:space="preserve"> </w:t>
      </w:r>
      <w:r w:rsidR="00F212DB" w:rsidRPr="00854FEC">
        <w:rPr>
          <w:rFonts w:ascii="Arial" w:eastAsia="Times New Roman" w:hAnsi="Arial" w:cs="Arial"/>
          <w:sz w:val="24"/>
          <w:szCs w:val="24"/>
          <w:lang w:val="en-IN" w:eastAsia="en-IN"/>
        </w:rPr>
        <w:t>(Gathogo, 2024)</w:t>
      </w:r>
      <w:r w:rsidR="005D46A9" w:rsidRPr="005D46A9">
        <w:rPr>
          <w:rFonts w:ascii="Arial" w:hAnsi="Arial" w:cs="Arial"/>
          <w:bCs/>
          <w:sz w:val="24"/>
          <w:szCs w:val="24"/>
          <w:shd w:val="clear" w:color="auto" w:fill="FFFFFF"/>
        </w:rPr>
        <w:t xml:space="preserve">. </w:t>
      </w:r>
    </w:p>
    <w:p w14:paraId="18C236D9" w14:textId="77777777" w:rsidR="00463820" w:rsidRPr="005D46A9" w:rsidRDefault="00463820" w:rsidP="005D46A9">
      <w:pPr>
        <w:spacing w:line="360" w:lineRule="auto"/>
        <w:jc w:val="both"/>
        <w:rPr>
          <w:rFonts w:ascii="Arial" w:hAnsi="Arial" w:cs="Arial"/>
          <w:b/>
          <w:bCs/>
          <w:sz w:val="24"/>
          <w:szCs w:val="24"/>
          <w:shd w:val="clear" w:color="auto" w:fill="FFFFFF"/>
        </w:rPr>
      </w:pPr>
      <w:r w:rsidRPr="005D46A9">
        <w:rPr>
          <w:rFonts w:ascii="Arial" w:hAnsi="Arial" w:cs="Arial"/>
          <w:b/>
          <w:bCs/>
          <w:sz w:val="24"/>
          <w:szCs w:val="24"/>
          <w:shd w:val="clear" w:color="auto" w:fill="FFFFFF"/>
        </w:rPr>
        <w:t>Company's advantage and disadvantages </w:t>
      </w:r>
    </w:p>
    <w:p w14:paraId="6DBEEA76" w14:textId="77777777" w:rsidR="005D46A9" w:rsidRPr="005D46A9" w:rsidRDefault="005D46A9" w:rsidP="005D46A9">
      <w:pPr>
        <w:spacing w:line="360" w:lineRule="auto"/>
        <w:jc w:val="both"/>
        <w:rPr>
          <w:rFonts w:ascii="Arial" w:hAnsi="Arial" w:cs="Arial"/>
          <w:b/>
          <w:sz w:val="24"/>
          <w:szCs w:val="24"/>
        </w:rPr>
      </w:pPr>
      <w:r w:rsidRPr="005D46A9">
        <w:rPr>
          <w:rFonts w:ascii="Arial" w:hAnsi="Arial" w:cs="Arial"/>
          <w:b/>
          <w:sz w:val="24"/>
          <w:szCs w:val="24"/>
        </w:rPr>
        <w:t>Advantages for Diageo</w:t>
      </w:r>
    </w:p>
    <w:p w14:paraId="5035A395" w14:textId="77777777" w:rsidR="005D46A9" w:rsidRPr="005D46A9" w:rsidRDefault="005D46A9" w:rsidP="005D46A9">
      <w:pPr>
        <w:spacing w:line="360" w:lineRule="auto"/>
        <w:jc w:val="both"/>
        <w:rPr>
          <w:rFonts w:ascii="Arial" w:eastAsia="Times New Roman" w:hAnsi="Arial" w:cs="Arial"/>
          <w:sz w:val="24"/>
          <w:szCs w:val="24"/>
          <w:lang w:val="en-IN" w:eastAsia="en-IN"/>
        </w:rPr>
      </w:pPr>
      <w:r w:rsidRPr="005D46A9">
        <w:rPr>
          <w:rFonts w:ascii="Arial" w:eastAsia="Times New Roman" w:hAnsi="Arial" w:cs="Arial"/>
          <w:sz w:val="24"/>
          <w:szCs w:val="24"/>
          <w:lang w:val="en-IN" w:eastAsia="en-IN"/>
        </w:rPr>
        <w:lastRenderedPageBreak/>
        <w:t>Joint venture will provide Diageo with instant entry into the local market experience and less learning curve in the regulatory environment and excise laws and the cultural aspects of alcohol drinking in Mongolia. Working with a partner with a good relationship helps Diageo to gain shelf space, on-trade placements and fast distribution coverage that would otherwise take years to establish on their own</w:t>
      </w:r>
      <w:r w:rsidR="00F212DB">
        <w:rPr>
          <w:rFonts w:ascii="Arial" w:eastAsia="Times New Roman" w:hAnsi="Arial" w:cs="Arial"/>
          <w:sz w:val="24"/>
          <w:szCs w:val="24"/>
          <w:lang w:val="en-IN" w:eastAsia="en-IN"/>
        </w:rPr>
        <w:t xml:space="preserve"> </w:t>
      </w:r>
      <w:r w:rsidR="00F212DB" w:rsidRPr="00854FEC">
        <w:rPr>
          <w:rFonts w:ascii="Arial" w:eastAsia="Times New Roman" w:hAnsi="Arial" w:cs="Arial"/>
          <w:sz w:val="24"/>
          <w:szCs w:val="24"/>
          <w:lang w:val="en-IN" w:eastAsia="en-IN"/>
        </w:rPr>
        <w:t>(</w:t>
      </w:r>
      <w:proofErr w:type="spellStart"/>
      <w:r w:rsidR="00F212DB" w:rsidRPr="00854FEC">
        <w:rPr>
          <w:rFonts w:ascii="Arial" w:eastAsia="Times New Roman" w:hAnsi="Arial" w:cs="Arial"/>
          <w:sz w:val="24"/>
          <w:szCs w:val="24"/>
          <w:lang w:val="en-IN" w:eastAsia="en-IN"/>
        </w:rPr>
        <w:t>Katsaliaki</w:t>
      </w:r>
      <w:proofErr w:type="spellEnd"/>
      <w:r w:rsidR="00F212DB" w:rsidRPr="00854FEC">
        <w:rPr>
          <w:rFonts w:ascii="Arial" w:eastAsia="Times New Roman" w:hAnsi="Arial" w:cs="Arial"/>
          <w:sz w:val="24"/>
          <w:szCs w:val="24"/>
          <w:lang w:val="en-IN" w:eastAsia="en-IN"/>
        </w:rPr>
        <w:t xml:space="preserve"> </w:t>
      </w:r>
      <w:r w:rsidR="00F212DB" w:rsidRPr="00130145">
        <w:rPr>
          <w:rFonts w:ascii="Arial" w:eastAsia="Times New Roman" w:hAnsi="Arial" w:cs="Arial"/>
          <w:i/>
          <w:iCs/>
          <w:sz w:val="24"/>
          <w:szCs w:val="24"/>
          <w:lang w:val="en-IN" w:eastAsia="en-IN"/>
        </w:rPr>
        <w:t>et al.</w:t>
      </w:r>
      <w:r w:rsidR="00F212DB" w:rsidRPr="00854FEC">
        <w:rPr>
          <w:rFonts w:ascii="Arial" w:eastAsia="Times New Roman" w:hAnsi="Arial" w:cs="Arial"/>
          <w:sz w:val="24"/>
          <w:szCs w:val="24"/>
          <w:lang w:val="en-IN" w:eastAsia="en-IN"/>
        </w:rPr>
        <w:t>, 2025)</w:t>
      </w:r>
      <w:r w:rsidRPr="005D46A9">
        <w:rPr>
          <w:rFonts w:ascii="Arial" w:eastAsia="Times New Roman" w:hAnsi="Arial" w:cs="Arial"/>
          <w:sz w:val="24"/>
          <w:szCs w:val="24"/>
          <w:lang w:val="en-IN" w:eastAsia="en-IN"/>
        </w:rPr>
        <w:t xml:space="preserve">. Shared investment minimizes financial and </w:t>
      </w:r>
      <w:proofErr w:type="gramStart"/>
      <w:r w:rsidRPr="005D46A9">
        <w:rPr>
          <w:rFonts w:ascii="Arial" w:eastAsia="Times New Roman" w:hAnsi="Arial" w:cs="Arial"/>
          <w:sz w:val="24"/>
          <w:szCs w:val="24"/>
          <w:lang w:val="en-IN" w:eastAsia="en-IN"/>
        </w:rPr>
        <w:t>exposure, and</w:t>
      </w:r>
      <w:proofErr w:type="gramEnd"/>
      <w:r w:rsidRPr="005D46A9">
        <w:rPr>
          <w:rFonts w:ascii="Arial" w:eastAsia="Times New Roman" w:hAnsi="Arial" w:cs="Arial"/>
          <w:sz w:val="24"/>
          <w:szCs w:val="24"/>
          <w:lang w:val="en-IN" w:eastAsia="en-IN"/>
        </w:rPr>
        <w:t xml:space="preserve"> allows Diageo to join more profitable activities including local bottling or exclusive distribution arrangements. </w:t>
      </w:r>
    </w:p>
    <w:p w14:paraId="34D16891" w14:textId="77777777" w:rsidR="005D46A9" w:rsidRPr="005D46A9" w:rsidRDefault="005D46A9" w:rsidP="005D46A9">
      <w:pPr>
        <w:spacing w:line="360" w:lineRule="auto"/>
        <w:jc w:val="both"/>
        <w:rPr>
          <w:rFonts w:ascii="Arial" w:hAnsi="Arial" w:cs="Arial"/>
          <w:b/>
          <w:sz w:val="24"/>
          <w:szCs w:val="24"/>
        </w:rPr>
      </w:pPr>
      <w:r w:rsidRPr="005D46A9">
        <w:rPr>
          <w:rFonts w:ascii="Arial" w:hAnsi="Arial" w:cs="Arial"/>
          <w:b/>
          <w:sz w:val="24"/>
          <w:szCs w:val="24"/>
        </w:rPr>
        <w:t>Disadvantages for Diageo</w:t>
      </w:r>
    </w:p>
    <w:p w14:paraId="60A5498E" w14:textId="77777777" w:rsidR="005D46A9" w:rsidRPr="005D46A9" w:rsidRDefault="005D46A9" w:rsidP="005D46A9">
      <w:pPr>
        <w:pStyle w:val="NormalWeb"/>
        <w:spacing w:line="360" w:lineRule="auto"/>
        <w:jc w:val="both"/>
        <w:rPr>
          <w:rFonts w:ascii="Arial" w:hAnsi="Arial" w:cs="Arial"/>
        </w:rPr>
      </w:pPr>
      <w:r w:rsidRPr="005D46A9">
        <w:rPr>
          <w:rFonts w:ascii="Arial" w:hAnsi="Arial" w:cs="Arial"/>
        </w:rPr>
        <w:t>Although it has its advantages, a joint venture will give Diageo less control in the operations, branding and the overall long-term strategic path</w:t>
      </w:r>
      <w:r w:rsidR="00F212DB">
        <w:rPr>
          <w:rFonts w:ascii="Arial" w:hAnsi="Arial" w:cs="Arial"/>
        </w:rPr>
        <w:t xml:space="preserve"> </w:t>
      </w:r>
      <w:r w:rsidR="00F212DB" w:rsidRPr="00854FEC">
        <w:rPr>
          <w:rFonts w:ascii="Arial" w:hAnsi="Arial" w:cs="Arial"/>
        </w:rPr>
        <w:t>(Gillespie, 2024)</w:t>
      </w:r>
      <w:r w:rsidRPr="005D46A9">
        <w:rPr>
          <w:rFonts w:ascii="Arial" w:hAnsi="Arial" w:cs="Arial"/>
        </w:rPr>
        <w:t xml:space="preserve">. There is the risk of conflicts in case the local partner focuses on domestic brands or preserves the local practices that would not aim at the Diageo premium positioning or global compliance. Profit-sharing arrangements lower the financial rewards of Diageo in comparison to wholly owned models, and disputes on resource distribution or development priorities may slack performance. </w:t>
      </w:r>
    </w:p>
    <w:p w14:paraId="4003C658" w14:textId="77777777" w:rsidR="005D46A9" w:rsidRPr="005D46A9" w:rsidRDefault="00463820" w:rsidP="005D46A9">
      <w:pPr>
        <w:spacing w:line="360" w:lineRule="auto"/>
        <w:jc w:val="both"/>
        <w:rPr>
          <w:rStyle w:val="Strong"/>
          <w:rFonts w:ascii="Arial" w:hAnsi="Arial" w:cs="Arial"/>
          <w:sz w:val="24"/>
          <w:szCs w:val="24"/>
          <w:shd w:val="clear" w:color="auto" w:fill="FFFFFF"/>
        </w:rPr>
      </w:pPr>
      <w:r w:rsidRPr="005D46A9">
        <w:rPr>
          <w:rStyle w:val="Strong"/>
          <w:rFonts w:ascii="Arial" w:hAnsi="Arial" w:cs="Arial"/>
          <w:sz w:val="24"/>
          <w:szCs w:val="24"/>
          <w:shd w:val="clear" w:color="auto" w:fill="FFFFFF"/>
        </w:rPr>
        <w:t>Wholly Owned Subsidiary</w:t>
      </w:r>
      <w:r w:rsidR="005D46A9" w:rsidRPr="005D46A9">
        <w:rPr>
          <w:rStyle w:val="Strong"/>
          <w:rFonts w:ascii="Arial" w:hAnsi="Arial" w:cs="Arial"/>
          <w:sz w:val="24"/>
          <w:szCs w:val="24"/>
          <w:shd w:val="clear" w:color="auto" w:fill="FFFFFF"/>
        </w:rPr>
        <w:t xml:space="preserve">: </w:t>
      </w:r>
      <w:r w:rsidR="005D46A9" w:rsidRPr="005D46A9">
        <w:rPr>
          <w:rStyle w:val="Strong"/>
          <w:rFonts w:ascii="Arial" w:hAnsi="Arial" w:cs="Arial"/>
          <w:b w:val="0"/>
          <w:sz w:val="24"/>
          <w:szCs w:val="24"/>
          <w:shd w:val="clear" w:color="auto" w:fill="FFFFFF"/>
        </w:rPr>
        <w:t xml:space="preserve">Wholly owned subsidiary would force Diageo to form a separate legal establishment in Mongolia either as a special import/distribution office or local bottling/packaging plant. This technique offers maximum control and is however associated with the highest financial investment. Considering the limited market size (population of about 3.5 million) but rapidly developing economy, the GDP of which is expected to increase over 5% as of 2025, a fully owned operation will provide the chance to control compliance, pricing, logistics and marketing processes with full autonomy. </w:t>
      </w:r>
    </w:p>
    <w:p w14:paraId="6BDCFE2D" w14:textId="77777777" w:rsidR="00463820" w:rsidRPr="005D46A9" w:rsidRDefault="00463820" w:rsidP="005D46A9">
      <w:pPr>
        <w:spacing w:line="360" w:lineRule="auto"/>
        <w:jc w:val="both"/>
        <w:rPr>
          <w:rFonts w:ascii="Arial" w:hAnsi="Arial" w:cs="Arial"/>
          <w:b/>
          <w:bCs/>
          <w:sz w:val="24"/>
          <w:szCs w:val="24"/>
          <w:shd w:val="clear" w:color="auto" w:fill="FFFFFF"/>
        </w:rPr>
      </w:pPr>
      <w:r w:rsidRPr="005D46A9">
        <w:rPr>
          <w:rFonts w:ascii="Arial" w:hAnsi="Arial" w:cs="Arial"/>
          <w:b/>
          <w:bCs/>
          <w:sz w:val="24"/>
          <w:szCs w:val="24"/>
          <w:shd w:val="clear" w:color="auto" w:fill="FFFFFF"/>
        </w:rPr>
        <w:t>Company's advantage and disadvantages </w:t>
      </w:r>
    </w:p>
    <w:p w14:paraId="180FE6E2" w14:textId="77777777" w:rsidR="005D46A9" w:rsidRPr="005D46A9" w:rsidRDefault="005D46A9" w:rsidP="005D46A9">
      <w:pPr>
        <w:spacing w:line="360" w:lineRule="auto"/>
        <w:jc w:val="both"/>
        <w:rPr>
          <w:rFonts w:ascii="Arial" w:hAnsi="Arial" w:cs="Arial"/>
          <w:b/>
          <w:sz w:val="24"/>
          <w:szCs w:val="24"/>
        </w:rPr>
      </w:pPr>
      <w:r w:rsidRPr="005D46A9">
        <w:rPr>
          <w:rFonts w:ascii="Arial" w:hAnsi="Arial" w:cs="Arial"/>
          <w:b/>
          <w:sz w:val="24"/>
          <w:szCs w:val="24"/>
        </w:rPr>
        <w:t>Advantages for Diageo</w:t>
      </w:r>
    </w:p>
    <w:p w14:paraId="35191A2F" w14:textId="77777777" w:rsidR="005D46A9" w:rsidRPr="005D46A9" w:rsidRDefault="005D46A9" w:rsidP="005D46A9">
      <w:pPr>
        <w:pStyle w:val="NormalWeb"/>
        <w:spacing w:line="360" w:lineRule="auto"/>
        <w:jc w:val="both"/>
        <w:rPr>
          <w:rFonts w:ascii="Arial" w:hAnsi="Arial" w:cs="Arial"/>
        </w:rPr>
      </w:pPr>
      <w:r w:rsidRPr="005D46A9">
        <w:rPr>
          <w:rFonts w:ascii="Arial" w:hAnsi="Arial" w:cs="Arial"/>
        </w:rPr>
        <w:t xml:space="preserve">Wholly owned subsidiary will ensure that Diageo can exercise absolute control of its brand presentation, distribution plan, and customer interaction in Mongolia. In the absence of the intermediary margins, Diageo enjoys a larger portion of </w:t>
      </w:r>
      <w:proofErr w:type="gramStart"/>
      <w:r w:rsidRPr="005D46A9">
        <w:rPr>
          <w:rFonts w:ascii="Arial" w:hAnsi="Arial" w:cs="Arial"/>
        </w:rPr>
        <w:t>profitability</w:t>
      </w:r>
      <w:proofErr w:type="gramEnd"/>
      <w:r w:rsidRPr="005D46A9">
        <w:rPr>
          <w:rFonts w:ascii="Arial" w:hAnsi="Arial" w:cs="Arial"/>
        </w:rPr>
        <w:t xml:space="preserve"> and it </w:t>
      </w:r>
      <w:proofErr w:type="gramStart"/>
      <w:r w:rsidRPr="005D46A9">
        <w:rPr>
          <w:rFonts w:ascii="Arial" w:hAnsi="Arial" w:cs="Arial"/>
        </w:rPr>
        <w:t>is able to</w:t>
      </w:r>
      <w:proofErr w:type="gramEnd"/>
      <w:r w:rsidRPr="005D46A9">
        <w:rPr>
          <w:rFonts w:ascii="Arial" w:hAnsi="Arial" w:cs="Arial"/>
        </w:rPr>
        <w:t xml:space="preserve"> directly practice premiumisation tactics, including base brand events, </w:t>
      </w:r>
      <w:r w:rsidRPr="005D46A9">
        <w:rPr>
          <w:rFonts w:ascii="Arial" w:hAnsi="Arial" w:cs="Arial"/>
        </w:rPr>
        <w:lastRenderedPageBreak/>
        <w:t xml:space="preserve">regulated pricing, and regular retail activation, to reinforce high-end positioning. Complete authority over compliance further promotes regulatory credibility in a market where the alcohol laws and excise conditions are changed quite often. </w:t>
      </w:r>
    </w:p>
    <w:p w14:paraId="1F0E4BC0" w14:textId="77777777" w:rsidR="005D46A9" w:rsidRPr="005D46A9" w:rsidRDefault="005D46A9" w:rsidP="005D46A9">
      <w:pPr>
        <w:spacing w:line="360" w:lineRule="auto"/>
        <w:jc w:val="both"/>
        <w:rPr>
          <w:rFonts w:ascii="Arial" w:hAnsi="Arial" w:cs="Arial"/>
          <w:b/>
          <w:sz w:val="24"/>
          <w:szCs w:val="24"/>
        </w:rPr>
      </w:pPr>
      <w:r w:rsidRPr="005D46A9">
        <w:rPr>
          <w:rFonts w:ascii="Arial" w:hAnsi="Arial" w:cs="Arial"/>
          <w:b/>
          <w:sz w:val="24"/>
          <w:szCs w:val="24"/>
        </w:rPr>
        <w:t>Disadvantages for Diageo</w:t>
      </w:r>
    </w:p>
    <w:p w14:paraId="027CD3F4" w14:textId="77777777" w:rsidR="005D46A9" w:rsidRPr="005D46A9" w:rsidRDefault="005D46A9" w:rsidP="005D46A9">
      <w:pPr>
        <w:pStyle w:val="NormalWeb"/>
        <w:spacing w:line="360" w:lineRule="auto"/>
        <w:jc w:val="both"/>
        <w:rPr>
          <w:rFonts w:ascii="Arial" w:hAnsi="Arial" w:cs="Arial"/>
        </w:rPr>
      </w:pPr>
      <w:r w:rsidRPr="005D46A9">
        <w:rPr>
          <w:rFonts w:ascii="Arial" w:hAnsi="Arial" w:cs="Arial"/>
        </w:rPr>
        <w:t xml:space="preserve">The main downside of wholly owned subsidiary is that large amounts of capital would be necessary to create a legal entity, license, construct a distribution network and staff with a local workforce. The rate of investment payoff may be sluggish in a small market like Mongolia in which the overall sales of beverages are relatively low and located in one metropolitan area. Diageo has all the operational and regulatory risk either; any change in excise or advertising bans or restrictions on imports can have a direct impact on profitability. </w:t>
      </w:r>
    </w:p>
    <w:p w14:paraId="09DBEAE5" w14:textId="77777777" w:rsidR="00F212DB" w:rsidRPr="00130145" w:rsidRDefault="00F212DB" w:rsidP="00F212DB">
      <w:pPr>
        <w:pStyle w:val="Heading2"/>
        <w:spacing w:line="360" w:lineRule="auto"/>
        <w:jc w:val="both"/>
        <w:rPr>
          <w:rFonts w:ascii="Arial" w:hAnsi="Arial" w:cs="Arial"/>
          <w:b/>
          <w:color w:val="auto"/>
          <w:sz w:val="24"/>
          <w:szCs w:val="24"/>
        </w:rPr>
      </w:pPr>
      <w:bookmarkStart w:id="11" w:name="_Toc216374196"/>
      <w:r w:rsidRPr="00130145">
        <w:rPr>
          <w:rFonts w:ascii="Arial" w:hAnsi="Arial" w:cs="Arial"/>
          <w:b/>
          <w:color w:val="auto"/>
          <w:sz w:val="24"/>
          <w:szCs w:val="24"/>
        </w:rPr>
        <w:t>Relevant strategic models discussed in class to formulate a market entry strategy</w:t>
      </w:r>
      <w:bookmarkEnd w:id="11"/>
    </w:p>
    <w:p w14:paraId="54CF0FF6" w14:textId="77777777" w:rsidR="00F212DB" w:rsidRPr="00130145" w:rsidRDefault="00F212DB" w:rsidP="00F212DB">
      <w:pPr>
        <w:spacing w:line="360" w:lineRule="auto"/>
        <w:jc w:val="both"/>
        <w:rPr>
          <w:rFonts w:ascii="Arial" w:hAnsi="Arial" w:cs="Arial"/>
          <w:b/>
          <w:sz w:val="24"/>
          <w:szCs w:val="24"/>
          <w:shd w:val="clear" w:color="auto" w:fill="FFFFFF"/>
        </w:rPr>
      </w:pPr>
      <w:r w:rsidRPr="00130145">
        <w:rPr>
          <w:rFonts w:ascii="Arial" w:hAnsi="Arial" w:cs="Arial"/>
          <w:b/>
          <w:sz w:val="24"/>
          <w:szCs w:val="24"/>
          <w:shd w:val="clear" w:color="auto" w:fill="FFFFFF"/>
        </w:rPr>
        <w:t>Porter's Diamond Model</w:t>
      </w:r>
    </w:p>
    <w:p w14:paraId="26A426C1" w14:textId="77777777" w:rsidR="00F212DB" w:rsidRPr="00130145" w:rsidRDefault="00F212DB" w:rsidP="00F212DB">
      <w:pPr>
        <w:spacing w:line="360" w:lineRule="auto"/>
        <w:jc w:val="both"/>
        <w:rPr>
          <w:rFonts w:ascii="Arial" w:hAnsi="Arial" w:cs="Arial"/>
          <w:b/>
          <w:sz w:val="24"/>
          <w:szCs w:val="24"/>
        </w:rPr>
      </w:pPr>
      <w:r w:rsidRPr="00130145">
        <w:rPr>
          <w:rFonts w:ascii="Arial" w:hAnsi="Arial" w:cs="Arial"/>
          <w:b/>
          <w:sz w:val="24"/>
          <w:szCs w:val="24"/>
        </w:rPr>
        <w:t>Factor Conditions</w:t>
      </w:r>
    </w:p>
    <w:p w14:paraId="026F6EDE" w14:textId="77777777" w:rsidR="00F212DB" w:rsidRPr="00130145" w:rsidRDefault="00F212DB" w:rsidP="00F212DB">
      <w:pPr>
        <w:spacing w:before="100" w:beforeAutospacing="1" w:after="100" w:afterAutospacing="1" w:line="360" w:lineRule="auto"/>
        <w:jc w:val="both"/>
        <w:rPr>
          <w:rFonts w:ascii="Arial" w:hAnsi="Arial" w:cs="Arial"/>
          <w:sz w:val="24"/>
          <w:szCs w:val="24"/>
        </w:rPr>
      </w:pPr>
      <w:r w:rsidRPr="00130145">
        <w:rPr>
          <w:rFonts w:ascii="Arial" w:hAnsi="Arial" w:cs="Arial"/>
          <w:sz w:val="24"/>
          <w:szCs w:val="24"/>
        </w:rPr>
        <w:t xml:space="preserve">The factor conditions are mixed but may be of potential attraction in the entry of Diageo on the high-end spirits in Mongolia. By the year 2024, the GDP per capita (nominal) of the state of Mongolia will be about US 6,050 meaning that there is an increase in average income as compared to previous decades </w:t>
      </w:r>
      <w:r w:rsidRPr="00854FEC">
        <w:rPr>
          <w:rFonts w:ascii="Arial" w:eastAsia="Times New Roman" w:hAnsi="Arial" w:cs="Arial"/>
          <w:sz w:val="24"/>
          <w:szCs w:val="24"/>
          <w:lang w:val="en-IN" w:eastAsia="en-IN"/>
        </w:rPr>
        <w:t>(</w:t>
      </w:r>
      <w:proofErr w:type="spellStart"/>
      <w:r w:rsidRPr="00854FEC">
        <w:rPr>
          <w:rFonts w:ascii="Arial" w:eastAsia="Times New Roman" w:hAnsi="Arial" w:cs="Arial"/>
          <w:sz w:val="24"/>
          <w:szCs w:val="24"/>
          <w:lang w:val="en-IN" w:eastAsia="en-IN"/>
        </w:rPr>
        <w:t>Provasi</w:t>
      </w:r>
      <w:proofErr w:type="spellEnd"/>
      <w:r w:rsidRPr="00854FEC">
        <w:rPr>
          <w:rFonts w:ascii="Arial" w:eastAsia="Times New Roman" w:hAnsi="Arial" w:cs="Arial"/>
          <w:sz w:val="24"/>
          <w:szCs w:val="24"/>
          <w:lang w:val="en-IN" w:eastAsia="en-IN"/>
        </w:rPr>
        <w:t>, 2024)</w:t>
      </w:r>
      <w:r w:rsidRPr="00130145">
        <w:rPr>
          <w:rFonts w:ascii="Arial" w:hAnsi="Arial" w:cs="Arial"/>
          <w:sz w:val="24"/>
          <w:szCs w:val="24"/>
        </w:rPr>
        <w:t>. Special focus is given to Mongolia though despite its reliance on the resources, mining makes up a significant part of the national output, urban labour force and growing services sector can offer the human resources and infrastructures which are favourable to import-oriented consumer goods. Moreover, the growth of foreign direct investment and trade openness is an indicator that the logistic, distribution and import facilities are becoming more efficient to manage the imported consumer good</w:t>
      </w:r>
      <w:r>
        <w:rPr>
          <w:rFonts w:ascii="Arial" w:hAnsi="Arial" w:cs="Arial"/>
          <w:sz w:val="24"/>
          <w:szCs w:val="24"/>
        </w:rPr>
        <w:t>s.</w:t>
      </w:r>
    </w:p>
    <w:p w14:paraId="07FCE955"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noProof/>
          <w:sz w:val="24"/>
          <w:szCs w:val="24"/>
          <w:lang w:val="en-IN" w:eastAsia="en-IN"/>
        </w:rPr>
        <w:lastRenderedPageBreak/>
        <w:drawing>
          <wp:inline distT="0" distB="0" distL="0" distR="0" wp14:anchorId="13B6973D" wp14:editId="5ED4C2BE">
            <wp:extent cx="3834983" cy="37750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39249" cy="3779275"/>
                    </a:xfrm>
                    <a:prstGeom prst="rect">
                      <a:avLst/>
                    </a:prstGeom>
                  </pic:spPr>
                </pic:pic>
              </a:graphicData>
            </a:graphic>
          </wp:inline>
        </w:drawing>
      </w:r>
    </w:p>
    <w:p w14:paraId="0C901B94"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sz w:val="24"/>
          <w:szCs w:val="24"/>
          <w:lang w:val="en-IN" w:eastAsia="en-IN"/>
        </w:rPr>
        <w:t>Fig 7: Porter’s Diamond Model</w:t>
      </w:r>
    </w:p>
    <w:p w14:paraId="0F7EC1FE" w14:textId="77777777" w:rsidR="00F212DB" w:rsidRPr="00130145" w:rsidRDefault="00F212DB" w:rsidP="00F212DB">
      <w:pPr>
        <w:spacing w:before="100" w:beforeAutospacing="1" w:after="100" w:afterAutospacing="1" w:line="360" w:lineRule="auto"/>
        <w:jc w:val="center"/>
        <w:rPr>
          <w:rFonts w:ascii="Arial" w:eastAsia="Times New Roman" w:hAnsi="Arial" w:cs="Arial"/>
          <w:b/>
          <w:sz w:val="24"/>
          <w:szCs w:val="24"/>
          <w:lang w:val="en-IN" w:eastAsia="en-IN"/>
        </w:rPr>
      </w:pPr>
      <w:r w:rsidRPr="00130145">
        <w:rPr>
          <w:rFonts w:ascii="Arial" w:eastAsia="Times New Roman" w:hAnsi="Arial" w:cs="Arial"/>
          <w:b/>
          <w:sz w:val="24"/>
          <w:szCs w:val="24"/>
          <w:lang w:val="en-IN" w:eastAsia="en-IN"/>
        </w:rPr>
        <w:t>Source:</w:t>
      </w:r>
      <w:r w:rsidRPr="00130145">
        <w:rPr>
          <w:rFonts w:ascii="Arial" w:hAnsi="Arial" w:cs="Arial"/>
          <w:sz w:val="24"/>
          <w:szCs w:val="24"/>
        </w:rPr>
        <w:t xml:space="preserve"> (EPM, 2018)</w:t>
      </w:r>
    </w:p>
    <w:p w14:paraId="0CE4F191" w14:textId="77777777" w:rsidR="00F212DB" w:rsidRPr="00130145" w:rsidRDefault="00F212DB" w:rsidP="00F212DB">
      <w:pPr>
        <w:spacing w:line="360" w:lineRule="auto"/>
        <w:jc w:val="both"/>
        <w:rPr>
          <w:rFonts w:ascii="Arial" w:hAnsi="Arial" w:cs="Arial"/>
          <w:b/>
          <w:sz w:val="24"/>
          <w:szCs w:val="24"/>
        </w:rPr>
      </w:pPr>
      <w:r w:rsidRPr="00130145">
        <w:rPr>
          <w:rFonts w:ascii="Arial" w:hAnsi="Arial" w:cs="Arial"/>
          <w:b/>
          <w:sz w:val="24"/>
          <w:szCs w:val="24"/>
        </w:rPr>
        <w:t>Demand Conditions</w:t>
      </w:r>
    </w:p>
    <w:p w14:paraId="4613EE6A" w14:textId="77777777" w:rsidR="00F212DB" w:rsidRPr="00130145" w:rsidRDefault="00F212DB" w:rsidP="00F212DB">
      <w:pPr>
        <w:pStyle w:val="NormalWeb"/>
        <w:spacing w:line="360" w:lineRule="auto"/>
        <w:jc w:val="both"/>
        <w:rPr>
          <w:rFonts w:ascii="Arial" w:hAnsi="Arial" w:cs="Arial"/>
        </w:rPr>
      </w:pPr>
      <w:r w:rsidRPr="00130145">
        <w:rPr>
          <w:rFonts w:ascii="Arial" w:hAnsi="Arial" w:cs="Arial"/>
        </w:rPr>
        <w:t xml:space="preserve">The domestic demand in Mongolia has favourable prospects to high end international spirits. In 2024, the economy recorded a real GDP growth of 5.0 percent and is expected to increase to about 6.3% in 2025, indicating the growing consumer buying power. As household income and urbanisation increase, the proportion of consumers exposed to global consumption patterns is also increasing, which is opening the consumer to high-end imported goods </w:t>
      </w:r>
      <w:r w:rsidRPr="00854FEC">
        <w:rPr>
          <w:rFonts w:ascii="Arial" w:hAnsi="Arial" w:cs="Arial"/>
        </w:rPr>
        <w:t>(Houghton, 2024)</w:t>
      </w:r>
      <w:r w:rsidRPr="00130145">
        <w:rPr>
          <w:rFonts w:ascii="Arial" w:hAnsi="Arial" w:cs="Arial"/>
        </w:rPr>
        <w:t xml:space="preserve">. Although the population size is small (around 3.5 million), the urban population is concentrated, particularly in the capital city and the large cities so that it is possible to significantly aggregate demand in the hospitality, retail and lifestyle markets. With the given trends, Diageo can take advantage of a market where the demand conditions are </w:t>
      </w:r>
      <w:proofErr w:type="gramStart"/>
      <w:r w:rsidRPr="00130145">
        <w:rPr>
          <w:rFonts w:ascii="Arial" w:hAnsi="Arial" w:cs="Arial"/>
        </w:rPr>
        <w:t>shifting:</w:t>
      </w:r>
      <w:proofErr w:type="gramEnd"/>
      <w:r w:rsidRPr="00130145">
        <w:rPr>
          <w:rFonts w:ascii="Arial" w:hAnsi="Arial" w:cs="Arial"/>
        </w:rPr>
        <w:t xml:space="preserve"> as the incomes of many consumers increase and the taste changes, Diageo can potentially charge aspirational premium spirits, so a niche positioning approach will give them opportunity (World Bank, 2025b).</w:t>
      </w:r>
    </w:p>
    <w:p w14:paraId="05AE2ED4" w14:textId="77777777" w:rsidR="00F212DB" w:rsidRPr="00130145" w:rsidRDefault="00F212DB" w:rsidP="00F212DB">
      <w:pPr>
        <w:spacing w:line="360" w:lineRule="auto"/>
        <w:jc w:val="both"/>
        <w:rPr>
          <w:rFonts w:ascii="Arial" w:hAnsi="Arial" w:cs="Arial"/>
          <w:b/>
          <w:sz w:val="24"/>
          <w:szCs w:val="24"/>
        </w:rPr>
      </w:pPr>
      <w:r w:rsidRPr="00130145">
        <w:rPr>
          <w:rFonts w:ascii="Arial" w:hAnsi="Arial" w:cs="Arial"/>
          <w:b/>
          <w:sz w:val="24"/>
          <w:szCs w:val="24"/>
        </w:rPr>
        <w:lastRenderedPageBreak/>
        <w:t>Related and Supporting Industries</w:t>
      </w:r>
    </w:p>
    <w:p w14:paraId="06473816" w14:textId="77777777" w:rsidR="00F212DB" w:rsidRPr="00130145"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130145">
        <w:rPr>
          <w:rFonts w:ascii="Arial" w:hAnsi="Arial" w:cs="Arial"/>
          <w:sz w:val="24"/>
          <w:szCs w:val="24"/>
        </w:rPr>
        <w:t xml:space="preserve">In the case of an imported-spirits company, such as Diageo, the availability of strong related and supporting industries is highly essential. It is also seen that Mongolia has good indicators. Services sector has also expanded significantly in the country </w:t>
      </w:r>
      <w:proofErr w:type="gramStart"/>
      <w:r w:rsidRPr="00130145">
        <w:rPr>
          <w:rFonts w:ascii="Arial" w:hAnsi="Arial" w:cs="Arial"/>
          <w:sz w:val="24"/>
          <w:szCs w:val="24"/>
        </w:rPr>
        <w:t>as a result of</w:t>
      </w:r>
      <w:proofErr w:type="gramEnd"/>
      <w:r w:rsidRPr="00130145">
        <w:rPr>
          <w:rFonts w:ascii="Arial" w:hAnsi="Arial" w:cs="Arial"/>
          <w:sz w:val="24"/>
          <w:szCs w:val="24"/>
        </w:rPr>
        <w:t xml:space="preserve"> the country diversifying into non-mineral sectors and comprises of; wholesale/retail, hospitality, transport and logistics all of which the beverage distribution can be used </w:t>
      </w:r>
      <w:r w:rsidRPr="00854FEC">
        <w:rPr>
          <w:rFonts w:ascii="Arial" w:eastAsia="Times New Roman" w:hAnsi="Arial" w:cs="Arial"/>
          <w:sz w:val="24"/>
          <w:szCs w:val="24"/>
          <w:lang w:val="en-IN" w:eastAsia="en-IN"/>
        </w:rPr>
        <w:t xml:space="preserve">(Poon </w:t>
      </w:r>
      <w:r w:rsidRPr="00130145">
        <w:rPr>
          <w:rFonts w:ascii="Arial" w:eastAsia="Times New Roman" w:hAnsi="Arial" w:cs="Arial"/>
          <w:i/>
          <w:iCs/>
          <w:sz w:val="24"/>
          <w:szCs w:val="24"/>
          <w:lang w:val="en-IN" w:eastAsia="en-IN"/>
        </w:rPr>
        <w:t>et al.</w:t>
      </w:r>
      <w:r w:rsidRPr="00854FEC">
        <w:rPr>
          <w:rFonts w:ascii="Arial" w:eastAsia="Times New Roman" w:hAnsi="Arial" w:cs="Arial"/>
          <w:sz w:val="24"/>
          <w:szCs w:val="24"/>
          <w:lang w:val="en-IN" w:eastAsia="en-IN"/>
        </w:rPr>
        <w:t>, 2025)</w:t>
      </w:r>
      <w:r w:rsidRPr="00130145">
        <w:rPr>
          <w:rFonts w:ascii="Arial" w:hAnsi="Arial" w:cs="Arial"/>
          <w:sz w:val="24"/>
          <w:szCs w:val="24"/>
        </w:rPr>
        <w:t xml:space="preserve">. The increasing receptivity of foreign goods, the rising turnover of trade, and the growth of foreign direct investment are all aspects that indicate that the supporting industries (logistics, distribution, retail import-channels) are operational and becoming better. These factors would imply that Diageo would have a good chance of finding trusted importers, distributors, wholesalers, and retailers, reducing entry barriers. </w:t>
      </w:r>
    </w:p>
    <w:p w14:paraId="753F58E3" w14:textId="77777777" w:rsidR="00F212DB" w:rsidRPr="00130145" w:rsidRDefault="00F212DB" w:rsidP="00F212DB">
      <w:pPr>
        <w:spacing w:line="360" w:lineRule="auto"/>
        <w:jc w:val="both"/>
        <w:rPr>
          <w:rFonts w:ascii="Arial" w:hAnsi="Arial" w:cs="Arial"/>
          <w:b/>
          <w:sz w:val="24"/>
          <w:szCs w:val="24"/>
        </w:rPr>
      </w:pPr>
      <w:r w:rsidRPr="00130145">
        <w:rPr>
          <w:rFonts w:ascii="Arial" w:hAnsi="Arial" w:cs="Arial"/>
          <w:b/>
          <w:sz w:val="24"/>
          <w:szCs w:val="24"/>
        </w:rPr>
        <w:t>Firm Strategy, Structure and Rivalry</w:t>
      </w:r>
    </w:p>
    <w:p w14:paraId="1A4205D0" w14:textId="77777777" w:rsidR="00F212DB" w:rsidRPr="00F212DB"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130145">
        <w:rPr>
          <w:rFonts w:ascii="Arial" w:hAnsi="Arial" w:cs="Arial"/>
          <w:sz w:val="24"/>
          <w:szCs w:val="24"/>
        </w:rPr>
        <w:t xml:space="preserve">The application of Porters diamond to Mongolia indicates that Diageo international strategy and structure would fit well in the country competitive situation. Since the local competition within the high-end spirits sector is minimal, </w:t>
      </w:r>
      <w:proofErr w:type="gramStart"/>
      <w:r w:rsidRPr="00130145">
        <w:rPr>
          <w:rFonts w:ascii="Arial" w:hAnsi="Arial" w:cs="Arial"/>
          <w:sz w:val="24"/>
          <w:szCs w:val="24"/>
        </w:rPr>
        <w:t>the majority of</w:t>
      </w:r>
      <w:proofErr w:type="gramEnd"/>
      <w:r w:rsidRPr="00130145">
        <w:rPr>
          <w:rFonts w:ascii="Arial" w:hAnsi="Arial" w:cs="Arial"/>
          <w:sz w:val="24"/>
          <w:szCs w:val="24"/>
        </w:rPr>
        <w:t xml:space="preserve"> domestic firms within the industry focus on traditional or low-cost spirits and beverage manufacturers, a first-mover benefits of a global premium player </w:t>
      </w:r>
      <w:r w:rsidRPr="00854FEC">
        <w:rPr>
          <w:rFonts w:ascii="Arial" w:eastAsia="Times New Roman" w:hAnsi="Arial" w:cs="Arial"/>
          <w:sz w:val="24"/>
          <w:szCs w:val="24"/>
          <w:lang w:val="en-IN" w:eastAsia="en-IN"/>
        </w:rPr>
        <w:t>(Dijkstra-Silva, 2024)</w:t>
      </w:r>
      <w:r w:rsidRPr="00130145">
        <w:rPr>
          <w:rFonts w:ascii="Arial" w:hAnsi="Arial" w:cs="Arial"/>
          <w:sz w:val="24"/>
          <w:szCs w:val="24"/>
        </w:rPr>
        <w:t xml:space="preserve">. Since the Mongolian consumer base is small but is expanding with a growing openness to imports, Diageo </w:t>
      </w:r>
      <w:proofErr w:type="gramStart"/>
      <w:r w:rsidRPr="00130145">
        <w:rPr>
          <w:rFonts w:ascii="Arial" w:hAnsi="Arial" w:cs="Arial"/>
          <w:sz w:val="24"/>
          <w:szCs w:val="24"/>
        </w:rPr>
        <w:t>has the opportunity to</w:t>
      </w:r>
      <w:proofErr w:type="gramEnd"/>
      <w:r w:rsidRPr="00130145">
        <w:rPr>
          <w:rFonts w:ascii="Arial" w:hAnsi="Arial" w:cs="Arial"/>
          <w:sz w:val="24"/>
          <w:szCs w:val="24"/>
        </w:rPr>
        <w:t xml:space="preserve"> leverage its global brand commitment, quality assurance, and marketing experience to help establish a certain level of differentiation. Competition at home is </w:t>
      </w:r>
      <w:proofErr w:type="gramStart"/>
      <w:r w:rsidRPr="00130145">
        <w:rPr>
          <w:rFonts w:ascii="Arial" w:hAnsi="Arial" w:cs="Arial"/>
          <w:sz w:val="24"/>
          <w:szCs w:val="24"/>
        </w:rPr>
        <w:t>fairly low</w:t>
      </w:r>
      <w:proofErr w:type="gramEnd"/>
      <w:r w:rsidRPr="00130145">
        <w:rPr>
          <w:rFonts w:ascii="Arial" w:hAnsi="Arial" w:cs="Arial"/>
          <w:sz w:val="24"/>
          <w:szCs w:val="24"/>
        </w:rPr>
        <w:t xml:space="preserve">, which implies that there will be fewer issues with enterprising price wars; Diageo instead can use its differentiation strategy, stressing on quality, established tradition, and aspirational branding </w:t>
      </w:r>
      <w:r w:rsidRPr="00854FEC">
        <w:rPr>
          <w:rFonts w:ascii="Arial" w:eastAsia="Times New Roman" w:hAnsi="Arial" w:cs="Arial"/>
          <w:sz w:val="24"/>
          <w:szCs w:val="24"/>
          <w:lang w:val="en-IN" w:eastAsia="en-IN"/>
        </w:rPr>
        <w:t>(Mager, 2024)</w:t>
      </w:r>
      <w:r w:rsidRPr="00130145">
        <w:rPr>
          <w:rFonts w:ascii="Arial" w:hAnsi="Arial" w:cs="Arial"/>
          <w:sz w:val="24"/>
          <w:szCs w:val="24"/>
        </w:rPr>
        <w:t xml:space="preserve">. </w:t>
      </w:r>
      <w:r>
        <w:rPr>
          <w:rFonts w:ascii="Arial" w:hAnsi="Arial" w:cs="Arial"/>
          <w:b/>
          <w:sz w:val="24"/>
          <w:szCs w:val="24"/>
          <w:shd w:val="clear" w:color="auto" w:fill="FFFFFF"/>
        </w:rPr>
        <w:br w:type="page"/>
      </w:r>
    </w:p>
    <w:p w14:paraId="71E5AE16" w14:textId="77777777" w:rsidR="00463820" w:rsidRDefault="00463820" w:rsidP="00463820">
      <w:pPr>
        <w:pStyle w:val="Heading1"/>
        <w:spacing w:line="360" w:lineRule="auto"/>
        <w:jc w:val="both"/>
        <w:rPr>
          <w:rFonts w:ascii="Arial" w:hAnsi="Arial" w:cs="Arial"/>
          <w:b/>
          <w:color w:val="auto"/>
          <w:sz w:val="24"/>
          <w:szCs w:val="24"/>
          <w:shd w:val="clear" w:color="auto" w:fill="FFFFFF"/>
        </w:rPr>
      </w:pPr>
      <w:bookmarkStart w:id="12" w:name="_Toc216374197"/>
      <w:r w:rsidRPr="00463820">
        <w:rPr>
          <w:rFonts w:ascii="Arial" w:hAnsi="Arial" w:cs="Arial"/>
          <w:b/>
          <w:color w:val="auto"/>
          <w:sz w:val="24"/>
          <w:szCs w:val="24"/>
          <w:shd w:val="clear" w:color="auto" w:fill="FFFFFF"/>
        </w:rPr>
        <w:lastRenderedPageBreak/>
        <w:t>Section 4</w:t>
      </w:r>
      <w:bookmarkEnd w:id="12"/>
      <w:r w:rsidRPr="00463820">
        <w:rPr>
          <w:rFonts w:ascii="Arial" w:hAnsi="Arial" w:cs="Arial"/>
          <w:b/>
          <w:color w:val="auto"/>
          <w:sz w:val="24"/>
          <w:szCs w:val="24"/>
          <w:shd w:val="clear" w:color="auto" w:fill="FFFFFF"/>
        </w:rPr>
        <w:t xml:space="preserve"> </w:t>
      </w:r>
    </w:p>
    <w:p w14:paraId="135484AC" w14:textId="77777777" w:rsidR="00F212DB" w:rsidRPr="004A5F36" w:rsidRDefault="00F212DB" w:rsidP="00F212DB">
      <w:pPr>
        <w:pStyle w:val="Heading2"/>
        <w:spacing w:line="360" w:lineRule="auto"/>
        <w:jc w:val="both"/>
        <w:rPr>
          <w:rFonts w:ascii="Arial" w:hAnsi="Arial" w:cs="Arial"/>
          <w:b/>
          <w:color w:val="auto"/>
          <w:sz w:val="24"/>
          <w:szCs w:val="24"/>
        </w:rPr>
      </w:pPr>
      <w:bookmarkStart w:id="13" w:name="_Toc215244818"/>
      <w:bookmarkStart w:id="14" w:name="_Toc216374198"/>
      <w:r w:rsidRPr="004A5F36">
        <w:rPr>
          <w:rFonts w:ascii="Arial" w:hAnsi="Arial" w:cs="Arial"/>
          <w:b/>
          <w:color w:val="auto"/>
          <w:sz w:val="24"/>
          <w:szCs w:val="24"/>
        </w:rPr>
        <w:t>Triple Bottom Line to identify key performance indicators (KPIs) and success metrics</w:t>
      </w:r>
      <w:bookmarkEnd w:id="13"/>
      <w:bookmarkEnd w:id="14"/>
    </w:p>
    <w:p w14:paraId="2C726592" w14:textId="77777777" w:rsidR="00F212DB" w:rsidRPr="004A5F36" w:rsidRDefault="00F212DB" w:rsidP="00F212DB">
      <w:pPr>
        <w:spacing w:line="360" w:lineRule="auto"/>
        <w:jc w:val="both"/>
        <w:rPr>
          <w:rFonts w:ascii="Arial" w:hAnsi="Arial" w:cs="Arial"/>
          <w:b/>
          <w:sz w:val="24"/>
          <w:szCs w:val="24"/>
        </w:rPr>
      </w:pPr>
      <w:r w:rsidRPr="004A5F36">
        <w:rPr>
          <w:rFonts w:ascii="Arial" w:hAnsi="Arial" w:cs="Arial"/>
          <w:b/>
          <w:sz w:val="24"/>
          <w:szCs w:val="24"/>
        </w:rPr>
        <w:t>People</w:t>
      </w:r>
    </w:p>
    <w:p w14:paraId="3BAF5686" w14:textId="77777777" w:rsidR="00F212DB" w:rsidRPr="004A5F36" w:rsidRDefault="00F212DB" w:rsidP="00F212DB">
      <w:pPr>
        <w:spacing w:before="100" w:beforeAutospacing="1" w:after="100" w:afterAutospacing="1" w:line="360" w:lineRule="auto"/>
        <w:jc w:val="both"/>
        <w:rPr>
          <w:rFonts w:ascii="Arial" w:eastAsia="Times New Roman" w:hAnsi="Arial" w:cs="Arial"/>
          <w:sz w:val="24"/>
          <w:szCs w:val="24"/>
          <w:lang w:val="en-IN" w:eastAsia="en-IN"/>
        </w:rPr>
      </w:pPr>
      <w:r w:rsidRPr="004A5F36">
        <w:rPr>
          <w:rFonts w:ascii="Arial" w:hAnsi="Arial" w:cs="Arial"/>
          <w:sz w:val="24"/>
          <w:szCs w:val="24"/>
        </w:rPr>
        <w:t xml:space="preserve">The social context of Mongolia needs KPIs to quantify the commercialization of the market and social responsibility since people consumption patterns and health issues determine the legitimacy and the rights to operate. On the demand side, 7.74 litres of pure alcohol per capita of total adult (15+) alcohol consumption in Mongolia implies that the country has an established culture of spirits that Diageo can convert to premium products in a responsible manner; on the population side, the capital city of Ulaanbaatar is the largest concentration of alcohol drinkers (metro population 1.7-1.73 million in 2023-2024), implying that the greatest number of high-value drinkers are served by urban-based programmes </w:t>
      </w:r>
      <w:r w:rsidRPr="004A5F36">
        <w:rPr>
          <w:rFonts w:ascii="Arial" w:eastAsia="Times New Roman" w:hAnsi="Arial" w:cs="Arial"/>
          <w:sz w:val="24"/>
          <w:szCs w:val="24"/>
          <w:lang w:val="en-IN" w:eastAsia="en-IN"/>
        </w:rPr>
        <w:t>(</w:t>
      </w:r>
      <w:proofErr w:type="spellStart"/>
      <w:r w:rsidRPr="004A5F36">
        <w:rPr>
          <w:rFonts w:ascii="Arial" w:eastAsia="Times New Roman" w:hAnsi="Arial" w:cs="Arial"/>
          <w:sz w:val="24"/>
          <w:szCs w:val="24"/>
          <w:lang w:val="en-IN" w:eastAsia="en-IN"/>
        </w:rPr>
        <w:t>Sangroya</w:t>
      </w:r>
      <w:proofErr w:type="spellEnd"/>
      <w:r w:rsidRPr="004A5F36">
        <w:rPr>
          <w:rFonts w:ascii="Arial" w:eastAsia="Times New Roman" w:hAnsi="Arial" w:cs="Arial"/>
          <w:sz w:val="24"/>
          <w:szCs w:val="24"/>
          <w:lang w:val="en-IN" w:eastAsia="en-IN"/>
        </w:rPr>
        <w:t xml:space="preserve"> </w:t>
      </w:r>
      <w:r w:rsidRPr="004A5F36">
        <w:rPr>
          <w:rFonts w:ascii="Arial" w:eastAsia="Times New Roman" w:hAnsi="Arial" w:cs="Arial"/>
          <w:iCs/>
          <w:sz w:val="24"/>
          <w:szCs w:val="24"/>
          <w:lang w:val="en-IN" w:eastAsia="en-IN"/>
        </w:rPr>
        <w:t>et al.</w:t>
      </w:r>
      <w:r w:rsidRPr="004A5F36">
        <w:rPr>
          <w:rFonts w:ascii="Arial" w:eastAsia="Times New Roman" w:hAnsi="Arial" w:cs="Arial"/>
          <w:sz w:val="24"/>
          <w:szCs w:val="24"/>
          <w:lang w:val="en-IN" w:eastAsia="en-IN"/>
        </w:rPr>
        <w:t>, 2025)</w:t>
      </w:r>
      <w:r w:rsidRPr="004A5F36">
        <w:rPr>
          <w:rFonts w:ascii="Arial" w:hAnsi="Arial" w:cs="Arial"/>
          <w:sz w:val="24"/>
          <w:szCs w:val="24"/>
        </w:rPr>
        <w:t xml:space="preserve">. </w:t>
      </w:r>
    </w:p>
    <w:p w14:paraId="50972D44" w14:textId="77777777" w:rsidR="00F212DB" w:rsidRPr="004A5F36" w:rsidRDefault="00F212DB" w:rsidP="00F212DB">
      <w:pPr>
        <w:spacing w:line="360" w:lineRule="auto"/>
        <w:jc w:val="both"/>
        <w:rPr>
          <w:rFonts w:ascii="Arial" w:hAnsi="Arial" w:cs="Arial"/>
          <w:b/>
          <w:sz w:val="24"/>
          <w:szCs w:val="24"/>
        </w:rPr>
      </w:pPr>
      <w:r w:rsidRPr="004A5F36">
        <w:rPr>
          <w:rFonts w:ascii="Arial" w:hAnsi="Arial" w:cs="Arial"/>
          <w:b/>
          <w:sz w:val="24"/>
          <w:szCs w:val="24"/>
        </w:rPr>
        <w:t>Planet</w:t>
      </w:r>
    </w:p>
    <w:p w14:paraId="52B07AB2" w14:textId="77777777" w:rsidR="00F212DB" w:rsidRPr="004A5F36" w:rsidRDefault="00F212DB" w:rsidP="00F212DB">
      <w:pPr>
        <w:pStyle w:val="NormalWeb"/>
        <w:spacing w:line="360" w:lineRule="auto"/>
        <w:jc w:val="both"/>
        <w:rPr>
          <w:rFonts w:ascii="Arial" w:hAnsi="Arial" w:cs="Arial"/>
        </w:rPr>
      </w:pPr>
      <w:r w:rsidRPr="004A5F36">
        <w:rPr>
          <w:rFonts w:ascii="Arial" w:hAnsi="Arial" w:cs="Arial"/>
        </w:rPr>
        <w:t xml:space="preserve">The environmental KPIs should capture the acute urban environmental issues of Mongolia </w:t>
      </w:r>
      <w:proofErr w:type="gramStart"/>
      <w:r w:rsidRPr="004A5F36">
        <w:rPr>
          <w:rFonts w:ascii="Arial" w:hAnsi="Arial" w:cs="Arial"/>
        </w:rPr>
        <w:t>and also</w:t>
      </w:r>
      <w:proofErr w:type="gramEnd"/>
      <w:r w:rsidRPr="004A5F36">
        <w:rPr>
          <w:rFonts w:ascii="Arial" w:hAnsi="Arial" w:cs="Arial"/>
        </w:rPr>
        <w:t xml:space="preserve"> the carbon and packaging footprint of imported drinks (World Bank, 2025a). Ulaanbaatar is also very susceptible to air-quality issues (according to the </w:t>
      </w:r>
      <w:proofErr w:type="spellStart"/>
      <w:r w:rsidRPr="004A5F36">
        <w:rPr>
          <w:rFonts w:ascii="Arial" w:hAnsi="Arial" w:cs="Arial"/>
        </w:rPr>
        <w:t>IQAir</w:t>
      </w:r>
      <w:proofErr w:type="spellEnd"/>
      <w:r w:rsidRPr="004A5F36">
        <w:rPr>
          <w:rFonts w:ascii="Arial" w:hAnsi="Arial" w:cs="Arial"/>
        </w:rPr>
        <w:t>, in 2024, the city has an average concentration of PM2.5 of approximately 25.7 µg/m 3, which is about 5 times higher than the annual threshold offered by the WHO), and Diageo must also ensure that its logistics processes emit the lowest possible level of emissions, as well as ensure that its packaging materials do</w:t>
      </w:r>
      <w:r>
        <w:rPr>
          <w:rFonts w:ascii="Arial" w:hAnsi="Arial" w:cs="Arial"/>
        </w:rPr>
        <w:t xml:space="preserve"> not contribute to urban waste </w:t>
      </w:r>
      <w:r w:rsidRPr="004A5F36">
        <w:rPr>
          <w:rFonts w:ascii="Arial" w:hAnsi="Arial" w:cs="Arial"/>
        </w:rPr>
        <w:t xml:space="preserve">(MacKenzie </w:t>
      </w:r>
      <w:r w:rsidRPr="004A5F36">
        <w:rPr>
          <w:rFonts w:ascii="Arial" w:hAnsi="Arial" w:cs="Arial"/>
          <w:iCs/>
        </w:rPr>
        <w:t>et al.</w:t>
      </w:r>
      <w:r w:rsidRPr="004A5F36">
        <w:rPr>
          <w:rFonts w:ascii="Arial" w:hAnsi="Arial" w:cs="Arial"/>
        </w:rPr>
        <w:t xml:space="preserve">, 2024). </w:t>
      </w:r>
    </w:p>
    <w:p w14:paraId="575FD535" w14:textId="77777777" w:rsidR="00F212DB" w:rsidRPr="004A5F36" w:rsidRDefault="00F212DB" w:rsidP="00F212DB">
      <w:pPr>
        <w:pStyle w:val="NormalWeb"/>
        <w:spacing w:line="360" w:lineRule="auto"/>
        <w:jc w:val="center"/>
        <w:rPr>
          <w:rFonts w:ascii="Arial" w:hAnsi="Arial" w:cs="Arial"/>
          <w:b/>
        </w:rPr>
      </w:pPr>
      <w:r w:rsidRPr="004A5F36">
        <w:rPr>
          <w:rFonts w:ascii="Arial" w:hAnsi="Arial" w:cs="Arial"/>
          <w:b/>
          <w:noProof/>
        </w:rPr>
        <w:lastRenderedPageBreak/>
        <w:drawing>
          <wp:inline distT="0" distB="0" distL="0" distR="0" wp14:anchorId="233FED15" wp14:editId="66771458">
            <wp:extent cx="3757326" cy="3154471"/>
            <wp:effectExtent l="0" t="0" r="0" b="8255"/>
            <wp:docPr id="10" name="Picture 10" descr="African brands Leveraging Triple Bottom Line Sustainabil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frican brands Leveraging Triple Bottom Line Sustainability framewor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61416" cy="3157904"/>
                    </a:xfrm>
                    <a:prstGeom prst="rect">
                      <a:avLst/>
                    </a:prstGeom>
                    <a:noFill/>
                    <a:ln>
                      <a:noFill/>
                    </a:ln>
                  </pic:spPr>
                </pic:pic>
              </a:graphicData>
            </a:graphic>
          </wp:inline>
        </w:drawing>
      </w:r>
    </w:p>
    <w:p w14:paraId="1283243B" w14:textId="77777777" w:rsidR="00F212DB" w:rsidRPr="004A5F36" w:rsidRDefault="00F212DB" w:rsidP="00F212DB">
      <w:pPr>
        <w:pStyle w:val="NormalWeb"/>
        <w:spacing w:line="360" w:lineRule="auto"/>
        <w:jc w:val="center"/>
        <w:rPr>
          <w:rFonts w:ascii="Arial" w:hAnsi="Arial" w:cs="Arial"/>
          <w:b/>
        </w:rPr>
      </w:pPr>
      <w:r w:rsidRPr="004A5F36">
        <w:rPr>
          <w:rFonts w:ascii="Arial" w:hAnsi="Arial" w:cs="Arial"/>
          <w:b/>
        </w:rPr>
        <w:t>Fig 8: TBL Framework</w:t>
      </w:r>
    </w:p>
    <w:p w14:paraId="4C1193F8" w14:textId="77777777" w:rsidR="00F212DB" w:rsidRPr="004A5F36" w:rsidRDefault="00F212DB" w:rsidP="00F212DB">
      <w:pPr>
        <w:pStyle w:val="NormalWeb"/>
        <w:spacing w:line="360" w:lineRule="auto"/>
        <w:jc w:val="center"/>
        <w:rPr>
          <w:rFonts w:ascii="Arial" w:hAnsi="Arial" w:cs="Arial"/>
        </w:rPr>
      </w:pPr>
      <w:r w:rsidRPr="004A5F36">
        <w:rPr>
          <w:rFonts w:ascii="Arial" w:hAnsi="Arial" w:cs="Arial"/>
          <w:b/>
        </w:rPr>
        <w:t>Source:</w:t>
      </w:r>
      <w:r w:rsidRPr="004A5F36">
        <w:rPr>
          <w:rFonts w:ascii="Arial" w:hAnsi="Arial" w:cs="Arial"/>
        </w:rPr>
        <w:t xml:space="preserve"> (Adekoya, 2025)</w:t>
      </w:r>
    </w:p>
    <w:p w14:paraId="59667532" w14:textId="77777777" w:rsidR="00F212DB" w:rsidRPr="004A5F36" w:rsidRDefault="00F212DB" w:rsidP="00F212DB">
      <w:pPr>
        <w:spacing w:line="360" w:lineRule="auto"/>
        <w:jc w:val="both"/>
        <w:rPr>
          <w:rFonts w:ascii="Arial" w:hAnsi="Arial" w:cs="Arial"/>
          <w:b/>
          <w:sz w:val="24"/>
          <w:szCs w:val="24"/>
        </w:rPr>
      </w:pPr>
      <w:r w:rsidRPr="004A5F36">
        <w:rPr>
          <w:rFonts w:ascii="Arial" w:hAnsi="Arial" w:cs="Arial"/>
          <w:b/>
          <w:sz w:val="24"/>
          <w:szCs w:val="24"/>
        </w:rPr>
        <w:t>Profit</w:t>
      </w:r>
    </w:p>
    <w:p w14:paraId="4AAAF2C7" w14:textId="77777777" w:rsidR="00F212DB" w:rsidRPr="004A5F36" w:rsidRDefault="00F212DB" w:rsidP="00F212DB">
      <w:pPr>
        <w:spacing w:line="360" w:lineRule="auto"/>
        <w:jc w:val="both"/>
        <w:rPr>
          <w:rFonts w:ascii="Arial" w:hAnsi="Arial" w:cs="Arial"/>
          <w:sz w:val="24"/>
          <w:szCs w:val="24"/>
          <w:shd w:val="clear" w:color="auto" w:fill="FFFFFF"/>
        </w:rPr>
      </w:pPr>
      <w:r w:rsidRPr="004A5F36">
        <w:rPr>
          <w:rFonts w:ascii="Arial" w:hAnsi="Arial" w:cs="Arial"/>
          <w:sz w:val="24"/>
          <w:szCs w:val="24"/>
        </w:rPr>
        <w:t xml:space="preserve">The profit KPIs should track the market traction, channel profitability and payback on the entry investment to the market in terms of the scale of the Mongolian economy: in 2024 the nominal GDP was reported to be about USD 23,586 million and the tourism, as a high-value demand source of premium spirits, has recovered to about 808,900 international arrivals in 2024 (Mongolian official figures) and has given the company attractive sales channels of duty-free and hospitality </w:t>
      </w:r>
      <w:r w:rsidRPr="004A5F36">
        <w:rPr>
          <w:rFonts w:ascii="Arial" w:hAnsi="Arial" w:cs="Arial"/>
          <w:sz w:val="24"/>
          <w:szCs w:val="24"/>
          <w:shd w:val="clear" w:color="auto" w:fill="FFFFFF"/>
        </w:rPr>
        <w:t>(Geoghegan, 2025)</w:t>
      </w:r>
      <w:r w:rsidRPr="004A5F36">
        <w:rPr>
          <w:rFonts w:ascii="Arial" w:hAnsi="Arial" w:cs="Arial"/>
          <w:sz w:val="24"/>
          <w:szCs w:val="24"/>
        </w:rPr>
        <w:t xml:space="preserve">. </w:t>
      </w:r>
    </w:p>
    <w:p w14:paraId="1B30A08D" w14:textId="77777777" w:rsidR="00F212DB" w:rsidRPr="004A5F36" w:rsidRDefault="00F212DB" w:rsidP="00F212DB">
      <w:pPr>
        <w:pStyle w:val="Heading2"/>
        <w:spacing w:line="360" w:lineRule="auto"/>
        <w:jc w:val="both"/>
        <w:rPr>
          <w:rFonts w:ascii="Arial" w:hAnsi="Arial" w:cs="Arial"/>
          <w:b/>
          <w:color w:val="auto"/>
          <w:sz w:val="24"/>
          <w:szCs w:val="24"/>
        </w:rPr>
      </w:pPr>
      <w:bookmarkStart w:id="15" w:name="_Toc215244819"/>
      <w:bookmarkStart w:id="16" w:name="_Toc216374199"/>
      <w:r w:rsidRPr="004A5F36">
        <w:rPr>
          <w:rFonts w:ascii="Arial" w:hAnsi="Arial" w:cs="Arial"/>
          <w:b/>
          <w:color w:val="auto"/>
          <w:sz w:val="24"/>
          <w:szCs w:val="24"/>
        </w:rPr>
        <w:t>Triple Bottom Line to analyse the impact and progress of the expansion initiative</w:t>
      </w:r>
      <w:bookmarkEnd w:id="15"/>
      <w:bookmarkEnd w:id="16"/>
    </w:p>
    <w:p w14:paraId="338BF60C" w14:textId="77777777" w:rsidR="00F212DB" w:rsidRPr="004A5F36" w:rsidRDefault="00F212DB" w:rsidP="00F212DB">
      <w:pPr>
        <w:spacing w:line="360" w:lineRule="auto"/>
        <w:jc w:val="both"/>
        <w:rPr>
          <w:rFonts w:ascii="Arial" w:hAnsi="Arial" w:cs="Arial"/>
          <w:b/>
          <w:sz w:val="24"/>
          <w:szCs w:val="24"/>
        </w:rPr>
      </w:pPr>
      <w:r w:rsidRPr="004A5F36">
        <w:rPr>
          <w:rFonts w:ascii="Arial" w:hAnsi="Arial" w:cs="Arial"/>
          <w:b/>
          <w:sz w:val="24"/>
          <w:szCs w:val="24"/>
        </w:rPr>
        <w:t>People Impact</w:t>
      </w:r>
    </w:p>
    <w:p w14:paraId="1B6B0660" w14:textId="77777777" w:rsidR="00F212DB" w:rsidRPr="004A5F36" w:rsidRDefault="00F212DB" w:rsidP="00F212DB">
      <w:pPr>
        <w:spacing w:line="360" w:lineRule="auto"/>
        <w:jc w:val="both"/>
        <w:rPr>
          <w:rFonts w:ascii="Arial" w:hAnsi="Arial" w:cs="Arial"/>
          <w:sz w:val="24"/>
          <w:szCs w:val="24"/>
          <w:shd w:val="clear" w:color="auto" w:fill="FFFFFF"/>
        </w:rPr>
      </w:pPr>
      <w:r w:rsidRPr="004A5F36">
        <w:rPr>
          <w:rFonts w:ascii="Arial" w:hAnsi="Arial" w:cs="Arial"/>
          <w:sz w:val="24"/>
          <w:szCs w:val="24"/>
        </w:rPr>
        <w:t xml:space="preserve">The profit KPIs should track the market traction, channel profitability and payback on the entry investment to the market in terms of the scale of the Mongolian economy: in 2024 the nominal GDP was reported to be about USD 23,586 million and the tourism, as a high-value demand source of premium spirits, has recovered to about 808,900 international arrivals in 2024 (Mongolian official figures) and has given the company attractive sales channels of duty-free and hospitality </w:t>
      </w:r>
      <w:r w:rsidRPr="004A5F36">
        <w:rPr>
          <w:rFonts w:ascii="Arial" w:hAnsi="Arial" w:cs="Arial"/>
          <w:sz w:val="24"/>
          <w:szCs w:val="24"/>
          <w:shd w:val="clear" w:color="auto" w:fill="FFFFFF"/>
        </w:rPr>
        <w:t>(Penttilä, 2025)</w:t>
      </w:r>
      <w:r w:rsidRPr="004A5F36">
        <w:rPr>
          <w:rFonts w:ascii="Arial" w:hAnsi="Arial" w:cs="Arial"/>
          <w:sz w:val="24"/>
          <w:szCs w:val="24"/>
        </w:rPr>
        <w:t xml:space="preserve">. </w:t>
      </w:r>
    </w:p>
    <w:p w14:paraId="73E04672" w14:textId="77777777" w:rsidR="00F212DB" w:rsidRPr="004A5F36" w:rsidRDefault="00F212DB" w:rsidP="00F212DB">
      <w:pPr>
        <w:spacing w:line="360" w:lineRule="auto"/>
        <w:jc w:val="both"/>
        <w:rPr>
          <w:rFonts w:ascii="Arial" w:hAnsi="Arial" w:cs="Arial"/>
          <w:b/>
          <w:sz w:val="24"/>
          <w:szCs w:val="24"/>
        </w:rPr>
      </w:pPr>
      <w:r w:rsidRPr="004A5F36">
        <w:rPr>
          <w:rFonts w:ascii="Arial" w:hAnsi="Arial" w:cs="Arial"/>
          <w:b/>
          <w:sz w:val="24"/>
          <w:szCs w:val="24"/>
        </w:rPr>
        <w:lastRenderedPageBreak/>
        <w:t>Planet Impact</w:t>
      </w:r>
    </w:p>
    <w:p w14:paraId="7DFB7EBE" w14:textId="77777777" w:rsidR="00F212DB" w:rsidRPr="004A5F36" w:rsidRDefault="00F212DB" w:rsidP="00F212DB">
      <w:pPr>
        <w:pStyle w:val="NormalWeb"/>
        <w:spacing w:line="360" w:lineRule="auto"/>
        <w:jc w:val="both"/>
        <w:rPr>
          <w:rFonts w:ascii="Arial" w:hAnsi="Arial" w:cs="Arial"/>
        </w:rPr>
      </w:pPr>
      <w:r w:rsidRPr="004A5F36">
        <w:rPr>
          <w:rFonts w:ascii="Arial" w:hAnsi="Arial" w:cs="Arial"/>
        </w:rPr>
        <w:t>Environmentally speaking, the growth of Diageo has impacts on carbon emissions, packaging waste and logistics efficiency in a landlocked nation whereby environmental forces (especially air pollution and urban waste) are high. The initial effect of import-based logistics is scope-3 emissions, but the improvement in CO2e/case/delivery rates can be assessed annually through the decline of the exchange of freight routes, shipment consolidation and collaboration with suppliers (</w:t>
      </w:r>
      <w:proofErr w:type="spellStart"/>
      <w:r w:rsidRPr="004A5F36">
        <w:rPr>
          <w:rFonts w:ascii="Arial" w:hAnsi="Arial" w:cs="Arial"/>
        </w:rPr>
        <w:t>DataReportal</w:t>
      </w:r>
      <w:proofErr w:type="spellEnd"/>
      <w:r w:rsidRPr="004A5F36">
        <w:rPr>
          <w:rFonts w:ascii="Arial" w:hAnsi="Arial" w:cs="Arial"/>
        </w:rPr>
        <w:t xml:space="preserve">, 2025).   </w:t>
      </w:r>
    </w:p>
    <w:p w14:paraId="343A3EA1" w14:textId="77777777" w:rsidR="00F212DB" w:rsidRPr="004A5F36" w:rsidRDefault="00F212DB" w:rsidP="00F212DB">
      <w:pPr>
        <w:spacing w:line="360" w:lineRule="auto"/>
        <w:jc w:val="both"/>
        <w:rPr>
          <w:rFonts w:ascii="Arial" w:hAnsi="Arial" w:cs="Arial"/>
          <w:b/>
          <w:sz w:val="24"/>
          <w:szCs w:val="24"/>
        </w:rPr>
      </w:pPr>
      <w:r w:rsidRPr="004A5F36">
        <w:rPr>
          <w:rFonts w:ascii="Arial" w:hAnsi="Arial" w:cs="Arial"/>
          <w:b/>
          <w:sz w:val="24"/>
          <w:szCs w:val="24"/>
        </w:rPr>
        <w:t>Profit Impact</w:t>
      </w:r>
    </w:p>
    <w:p w14:paraId="398166DA" w14:textId="77777777" w:rsidR="00F212DB" w:rsidRPr="004A5F36" w:rsidRDefault="00F212DB" w:rsidP="00F212DB">
      <w:pPr>
        <w:pStyle w:val="NormalWeb"/>
        <w:spacing w:line="360" w:lineRule="auto"/>
        <w:jc w:val="both"/>
        <w:rPr>
          <w:rFonts w:ascii="Arial" w:hAnsi="Arial" w:cs="Arial"/>
        </w:rPr>
      </w:pPr>
      <w:r w:rsidRPr="004A5F36">
        <w:rPr>
          <w:rFonts w:ascii="Arial" w:hAnsi="Arial" w:cs="Arial"/>
        </w:rPr>
        <w:t>The financial effect of the expansion may be measured by comparing the market penetration, revenue and profitability trend with the economic situation in Mongolia and the well-being of the market demand. The immediate boost in revenues will be on the premium on-trade outlets like high-end hotels and duty-free, which will be backed by increasing tourism inflow and an upper urban middle income (</w:t>
      </w:r>
      <w:proofErr w:type="spellStart"/>
      <w:r w:rsidRPr="004A5F36">
        <w:rPr>
          <w:rFonts w:ascii="Arial" w:hAnsi="Arial" w:cs="Arial"/>
        </w:rPr>
        <w:t>IQAir</w:t>
      </w:r>
      <w:proofErr w:type="spellEnd"/>
      <w:r w:rsidRPr="004A5F36">
        <w:rPr>
          <w:rFonts w:ascii="Arial" w:hAnsi="Arial" w:cs="Arial"/>
        </w:rPr>
        <w:t>, 2025). The organic sales increased by 1.7%, operating profit decreased by 0.7% and EPS were reduced to 164.2 cents in 2025. Profitability is enhanced when brand awareness increases, distribution becomes more competitive and product mix to high margin SKUs including Scotch whisky and tequila.</w:t>
      </w:r>
    </w:p>
    <w:p w14:paraId="34539429" w14:textId="77777777" w:rsidR="00F212DB" w:rsidRPr="004A5F36" w:rsidRDefault="00F212DB" w:rsidP="00F212DB">
      <w:pPr>
        <w:pStyle w:val="NormalWeb"/>
        <w:spacing w:line="360" w:lineRule="auto"/>
        <w:jc w:val="both"/>
        <w:rPr>
          <w:rFonts w:ascii="Arial" w:hAnsi="Arial" w:cs="Arial"/>
        </w:rPr>
      </w:pPr>
      <w:r w:rsidRPr="004A5F36">
        <w:rPr>
          <w:rFonts w:ascii="Arial" w:hAnsi="Arial" w:cs="Arial"/>
          <w:noProof/>
        </w:rPr>
        <w:drawing>
          <wp:inline distT="0" distB="0" distL="0" distR="0" wp14:anchorId="01546C62" wp14:editId="1ECE9B1C">
            <wp:extent cx="5731510" cy="14903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90345"/>
                    </a:xfrm>
                    <a:prstGeom prst="rect">
                      <a:avLst/>
                    </a:prstGeom>
                  </pic:spPr>
                </pic:pic>
              </a:graphicData>
            </a:graphic>
          </wp:inline>
        </w:drawing>
      </w:r>
    </w:p>
    <w:p w14:paraId="0567B001" w14:textId="77777777" w:rsidR="00F212DB" w:rsidRPr="004A5F36" w:rsidRDefault="00F212DB" w:rsidP="00F212DB">
      <w:pPr>
        <w:pStyle w:val="NormalWeb"/>
        <w:spacing w:line="360" w:lineRule="auto"/>
        <w:jc w:val="center"/>
        <w:rPr>
          <w:rFonts w:ascii="Arial" w:hAnsi="Arial" w:cs="Arial"/>
          <w:b/>
        </w:rPr>
      </w:pPr>
      <w:r w:rsidRPr="004A5F36">
        <w:rPr>
          <w:rFonts w:ascii="Arial" w:hAnsi="Arial" w:cs="Arial"/>
          <w:b/>
        </w:rPr>
        <w:t>Fig 9: Company Metrics</w:t>
      </w:r>
    </w:p>
    <w:p w14:paraId="75D7D84C" w14:textId="77777777" w:rsidR="00F212DB" w:rsidRDefault="00F212DB" w:rsidP="00F212DB">
      <w:pPr>
        <w:pStyle w:val="NormalWeb"/>
        <w:spacing w:line="360" w:lineRule="auto"/>
        <w:jc w:val="center"/>
        <w:rPr>
          <w:rFonts w:ascii="Arial" w:hAnsi="Arial" w:cs="Arial"/>
        </w:rPr>
      </w:pPr>
      <w:r w:rsidRPr="004A5F36">
        <w:rPr>
          <w:rFonts w:ascii="Arial" w:hAnsi="Arial" w:cs="Arial"/>
          <w:b/>
        </w:rPr>
        <w:t>Source:</w:t>
      </w:r>
      <w:r w:rsidRPr="004A5F36">
        <w:rPr>
          <w:rFonts w:ascii="Arial" w:hAnsi="Arial" w:cs="Arial"/>
        </w:rPr>
        <w:t xml:space="preserve"> (Diageo Plc, 2025)</w:t>
      </w:r>
    </w:p>
    <w:p w14:paraId="7491D5D1" w14:textId="77777777" w:rsidR="00F212DB" w:rsidRDefault="00F212DB">
      <w:pPr>
        <w:rPr>
          <w:rFonts w:ascii="Arial" w:eastAsia="Times New Roman" w:hAnsi="Arial" w:cs="Arial"/>
          <w:sz w:val="24"/>
          <w:szCs w:val="24"/>
          <w:lang w:val="en-IN" w:eastAsia="en-IN"/>
        </w:rPr>
      </w:pPr>
      <w:r>
        <w:rPr>
          <w:rFonts w:ascii="Arial" w:hAnsi="Arial" w:cs="Arial"/>
        </w:rPr>
        <w:br w:type="page"/>
      </w:r>
    </w:p>
    <w:p w14:paraId="19C496A8" w14:textId="77777777" w:rsidR="00F212DB" w:rsidRPr="00130145" w:rsidRDefault="00F212DB" w:rsidP="00F212DB">
      <w:pPr>
        <w:pStyle w:val="Heading1"/>
        <w:spacing w:line="360" w:lineRule="auto"/>
        <w:jc w:val="both"/>
        <w:rPr>
          <w:rFonts w:ascii="Arial" w:hAnsi="Arial" w:cs="Arial"/>
          <w:b/>
          <w:color w:val="auto"/>
          <w:sz w:val="24"/>
          <w:szCs w:val="24"/>
        </w:rPr>
      </w:pPr>
      <w:bookmarkStart w:id="17" w:name="_Toc215244821"/>
      <w:bookmarkStart w:id="18" w:name="_Toc216374200"/>
      <w:r w:rsidRPr="00130145">
        <w:rPr>
          <w:rFonts w:ascii="Arial" w:hAnsi="Arial" w:cs="Arial"/>
          <w:b/>
          <w:color w:val="auto"/>
          <w:sz w:val="24"/>
          <w:szCs w:val="24"/>
        </w:rPr>
        <w:lastRenderedPageBreak/>
        <w:t>References</w:t>
      </w:r>
      <w:bookmarkEnd w:id="17"/>
      <w:bookmarkEnd w:id="18"/>
    </w:p>
    <w:p w14:paraId="25D47BE1"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Abdulsalam, A. and Abdullahi, N., 2024. Effect of focus strategy on the performance of Guinness Nigeria Plc, Abuja. </w:t>
      </w:r>
      <w:r w:rsidRPr="00130145">
        <w:rPr>
          <w:rFonts w:ascii="Arial" w:hAnsi="Arial" w:cs="Arial"/>
          <w:i/>
          <w:iCs/>
          <w:sz w:val="24"/>
          <w:szCs w:val="24"/>
          <w:shd w:val="clear" w:color="auto" w:fill="FFFFFF"/>
        </w:rPr>
        <w:t>Abuja journal of business and management</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2</w:t>
      </w:r>
      <w:r w:rsidRPr="00130145">
        <w:rPr>
          <w:rFonts w:ascii="Arial" w:hAnsi="Arial" w:cs="Arial"/>
          <w:sz w:val="24"/>
          <w:szCs w:val="24"/>
          <w:shd w:val="clear" w:color="auto" w:fill="FFFFFF"/>
        </w:rPr>
        <w:t>(4).</w:t>
      </w:r>
    </w:p>
    <w:p w14:paraId="63A14033"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 xml:space="preserve">Aminu, M.A., 2024. Effect Of Cyber Security Measures </w:t>
      </w:r>
      <w:proofErr w:type="gramStart"/>
      <w:r w:rsidRPr="00130145">
        <w:rPr>
          <w:rFonts w:ascii="Arial" w:hAnsi="Arial" w:cs="Arial"/>
          <w:sz w:val="24"/>
          <w:szCs w:val="24"/>
          <w:shd w:val="clear" w:color="auto" w:fill="FFFFFF"/>
        </w:rPr>
        <w:t>On</w:t>
      </w:r>
      <w:proofErr w:type="gramEnd"/>
      <w:r w:rsidRPr="00130145">
        <w:rPr>
          <w:rFonts w:ascii="Arial" w:hAnsi="Arial" w:cs="Arial"/>
          <w:sz w:val="24"/>
          <w:szCs w:val="24"/>
          <w:shd w:val="clear" w:color="auto" w:fill="FFFFFF"/>
        </w:rPr>
        <w:t xml:space="preserve"> Financial Performance </w:t>
      </w:r>
      <w:proofErr w:type="gramStart"/>
      <w:r w:rsidRPr="00130145">
        <w:rPr>
          <w:rFonts w:ascii="Arial" w:hAnsi="Arial" w:cs="Arial"/>
          <w:sz w:val="24"/>
          <w:szCs w:val="24"/>
          <w:shd w:val="clear" w:color="auto" w:fill="FFFFFF"/>
        </w:rPr>
        <w:t>In</w:t>
      </w:r>
      <w:proofErr w:type="gramEnd"/>
      <w:r w:rsidRPr="00130145">
        <w:rPr>
          <w:rFonts w:ascii="Arial" w:hAnsi="Arial" w:cs="Arial"/>
          <w:sz w:val="24"/>
          <w:szCs w:val="24"/>
          <w:shd w:val="clear" w:color="auto" w:fill="FFFFFF"/>
        </w:rPr>
        <w:t xml:space="preserve"> Listed Food </w:t>
      </w:r>
      <w:proofErr w:type="gramStart"/>
      <w:r w:rsidRPr="00130145">
        <w:rPr>
          <w:rFonts w:ascii="Arial" w:hAnsi="Arial" w:cs="Arial"/>
          <w:sz w:val="24"/>
          <w:szCs w:val="24"/>
          <w:shd w:val="clear" w:color="auto" w:fill="FFFFFF"/>
        </w:rPr>
        <w:t>And</w:t>
      </w:r>
      <w:proofErr w:type="gramEnd"/>
      <w:r w:rsidRPr="00130145">
        <w:rPr>
          <w:rFonts w:ascii="Arial" w:hAnsi="Arial" w:cs="Arial"/>
          <w:sz w:val="24"/>
          <w:szCs w:val="24"/>
          <w:shd w:val="clear" w:color="auto" w:fill="FFFFFF"/>
        </w:rPr>
        <w:t xml:space="preserve"> Beverage Companies </w:t>
      </w:r>
      <w:proofErr w:type="gramStart"/>
      <w:r w:rsidRPr="00130145">
        <w:rPr>
          <w:rFonts w:ascii="Arial" w:hAnsi="Arial" w:cs="Arial"/>
          <w:sz w:val="24"/>
          <w:szCs w:val="24"/>
          <w:shd w:val="clear" w:color="auto" w:fill="FFFFFF"/>
        </w:rPr>
        <w:t>In</w:t>
      </w:r>
      <w:proofErr w:type="gramEnd"/>
      <w:r w:rsidRPr="00130145">
        <w:rPr>
          <w:rFonts w:ascii="Arial" w:hAnsi="Arial" w:cs="Arial"/>
          <w:sz w:val="24"/>
          <w:szCs w:val="24"/>
          <w:shd w:val="clear" w:color="auto" w:fill="FFFFFF"/>
        </w:rPr>
        <w:t xml:space="preserve"> Nigeria. </w:t>
      </w:r>
      <w:r w:rsidRPr="00130145">
        <w:rPr>
          <w:rFonts w:ascii="Arial" w:hAnsi="Arial" w:cs="Arial"/>
          <w:i/>
          <w:iCs/>
          <w:sz w:val="24"/>
          <w:szCs w:val="24"/>
          <w:shd w:val="clear" w:color="auto" w:fill="FFFFFF"/>
        </w:rPr>
        <w:t>ANUK College of Private Sector Accounting Journal</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1</w:t>
      </w:r>
      <w:r w:rsidRPr="00130145">
        <w:rPr>
          <w:rFonts w:ascii="Arial" w:hAnsi="Arial" w:cs="Arial"/>
          <w:sz w:val="24"/>
          <w:szCs w:val="24"/>
          <w:shd w:val="clear" w:color="auto" w:fill="FFFFFF"/>
        </w:rPr>
        <w:t>(2), pp.232-242.</w:t>
      </w:r>
    </w:p>
    <w:p w14:paraId="3C28E016"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Anuno</w:t>
      </w:r>
      <w:proofErr w:type="spellEnd"/>
      <w:r w:rsidRPr="00130145">
        <w:rPr>
          <w:rFonts w:ascii="Arial" w:hAnsi="Arial" w:cs="Arial"/>
          <w:sz w:val="24"/>
          <w:szCs w:val="24"/>
          <w:shd w:val="clear" w:color="auto" w:fill="FFFFFF"/>
        </w:rPr>
        <w:t>, F., Madaleno, M. and Vieira, E., 2024. Testing of portfolio optimization by Timor-Leste portfolio investment strategy on the stock market. </w:t>
      </w:r>
      <w:r w:rsidRPr="00130145">
        <w:rPr>
          <w:rFonts w:ascii="Arial" w:hAnsi="Arial" w:cs="Arial"/>
          <w:i/>
          <w:iCs/>
          <w:sz w:val="24"/>
          <w:szCs w:val="24"/>
          <w:shd w:val="clear" w:color="auto" w:fill="FFFFFF"/>
        </w:rPr>
        <w:t>Journal of Risk and Financial Management</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17</w:t>
      </w:r>
      <w:r w:rsidRPr="00130145">
        <w:rPr>
          <w:rFonts w:ascii="Arial" w:hAnsi="Arial" w:cs="Arial"/>
          <w:sz w:val="24"/>
          <w:szCs w:val="24"/>
          <w:shd w:val="clear" w:color="auto" w:fill="FFFFFF"/>
        </w:rPr>
        <w:t>(2), p.78.</w:t>
      </w:r>
    </w:p>
    <w:p w14:paraId="072973A1"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Balula, D.S., 2024. </w:t>
      </w:r>
      <w:r w:rsidRPr="00130145">
        <w:rPr>
          <w:rFonts w:ascii="Arial" w:hAnsi="Arial" w:cs="Arial"/>
          <w:i/>
          <w:iCs/>
          <w:sz w:val="24"/>
          <w:szCs w:val="24"/>
          <w:shd w:val="clear" w:color="auto" w:fill="FFFFFF"/>
        </w:rPr>
        <w:t xml:space="preserve">Circular economy and SDGs represented in sustainability reports of the top revenue </w:t>
      </w:r>
      <w:proofErr w:type="spellStart"/>
      <w:r w:rsidRPr="00130145">
        <w:rPr>
          <w:rFonts w:ascii="Arial" w:hAnsi="Arial" w:cs="Arial"/>
          <w:i/>
          <w:iCs/>
          <w:sz w:val="24"/>
          <w:szCs w:val="24"/>
          <w:shd w:val="clear" w:color="auto" w:fill="FFFFFF"/>
        </w:rPr>
        <w:t>european</w:t>
      </w:r>
      <w:proofErr w:type="spellEnd"/>
      <w:r w:rsidRPr="00130145">
        <w:rPr>
          <w:rFonts w:ascii="Arial" w:hAnsi="Arial" w:cs="Arial"/>
          <w:i/>
          <w:iCs/>
          <w:sz w:val="24"/>
          <w:szCs w:val="24"/>
          <w:shd w:val="clear" w:color="auto" w:fill="FFFFFF"/>
        </w:rPr>
        <w:t xml:space="preserve"> companies of the food, beverage, and tobacco sector</w:t>
      </w:r>
      <w:r w:rsidRPr="00130145">
        <w:rPr>
          <w:rFonts w:ascii="Arial" w:hAnsi="Arial" w:cs="Arial"/>
          <w:sz w:val="24"/>
          <w:szCs w:val="24"/>
          <w:shd w:val="clear" w:color="auto" w:fill="FFFFFF"/>
        </w:rPr>
        <w:t xml:space="preserve"> (Doctoral dissertation, Instituto Superior de Economia e </w:t>
      </w:r>
      <w:proofErr w:type="spellStart"/>
      <w:r w:rsidRPr="00130145">
        <w:rPr>
          <w:rFonts w:ascii="Arial" w:hAnsi="Arial" w:cs="Arial"/>
          <w:sz w:val="24"/>
          <w:szCs w:val="24"/>
          <w:shd w:val="clear" w:color="auto" w:fill="FFFFFF"/>
        </w:rPr>
        <w:t>Gestão</w:t>
      </w:r>
      <w:proofErr w:type="spellEnd"/>
      <w:r w:rsidRPr="00130145">
        <w:rPr>
          <w:rFonts w:ascii="Arial" w:hAnsi="Arial" w:cs="Arial"/>
          <w:sz w:val="24"/>
          <w:szCs w:val="24"/>
          <w:shd w:val="clear" w:color="auto" w:fill="FFFFFF"/>
        </w:rPr>
        <w:t>).</w:t>
      </w:r>
    </w:p>
    <w:p w14:paraId="5C458D7A"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 xml:space="preserve">Bányai, A., Tatay, T., </w:t>
      </w:r>
      <w:proofErr w:type="spellStart"/>
      <w:r w:rsidRPr="00130145">
        <w:rPr>
          <w:rFonts w:ascii="Arial" w:hAnsi="Arial" w:cs="Arial"/>
          <w:sz w:val="24"/>
          <w:szCs w:val="24"/>
          <w:shd w:val="clear" w:color="auto" w:fill="FFFFFF"/>
        </w:rPr>
        <w:t>Thalmeiner</w:t>
      </w:r>
      <w:proofErr w:type="spellEnd"/>
      <w:r w:rsidRPr="00130145">
        <w:rPr>
          <w:rFonts w:ascii="Arial" w:hAnsi="Arial" w:cs="Arial"/>
          <w:sz w:val="24"/>
          <w:szCs w:val="24"/>
          <w:shd w:val="clear" w:color="auto" w:fill="FFFFFF"/>
        </w:rPr>
        <w:t>, G. and Pataki, L., 2025. Consumer Expenditure-Based Portfolio Optimization. </w:t>
      </w:r>
      <w:r w:rsidRPr="00130145">
        <w:rPr>
          <w:rFonts w:ascii="Arial" w:hAnsi="Arial" w:cs="Arial"/>
          <w:i/>
          <w:iCs/>
          <w:sz w:val="24"/>
          <w:szCs w:val="24"/>
          <w:shd w:val="clear" w:color="auto" w:fill="FFFFFF"/>
        </w:rPr>
        <w:t>International Journal of Financial Studies</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13</w:t>
      </w:r>
      <w:r w:rsidRPr="00130145">
        <w:rPr>
          <w:rFonts w:ascii="Arial" w:hAnsi="Arial" w:cs="Arial"/>
          <w:sz w:val="24"/>
          <w:szCs w:val="24"/>
          <w:shd w:val="clear" w:color="auto" w:fill="FFFFFF"/>
        </w:rPr>
        <w:t>(2), p.99.</w:t>
      </w:r>
    </w:p>
    <w:p w14:paraId="73515EAE"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Boiral</w:t>
      </w:r>
      <w:proofErr w:type="spellEnd"/>
      <w:r w:rsidRPr="00130145">
        <w:rPr>
          <w:rFonts w:ascii="Arial" w:hAnsi="Arial" w:cs="Arial"/>
          <w:sz w:val="24"/>
          <w:szCs w:val="24"/>
          <w:shd w:val="clear" w:color="auto" w:fill="FFFFFF"/>
        </w:rPr>
        <w:t xml:space="preserve">, O., Brotherton, M.C., Talbot, D. and </w:t>
      </w:r>
      <w:proofErr w:type="spellStart"/>
      <w:r w:rsidRPr="00130145">
        <w:rPr>
          <w:rFonts w:ascii="Arial" w:hAnsi="Arial" w:cs="Arial"/>
          <w:sz w:val="24"/>
          <w:szCs w:val="24"/>
          <w:shd w:val="clear" w:color="auto" w:fill="FFFFFF"/>
        </w:rPr>
        <w:t>Guillaumie</w:t>
      </w:r>
      <w:proofErr w:type="spellEnd"/>
      <w:r w:rsidRPr="00130145">
        <w:rPr>
          <w:rFonts w:ascii="Arial" w:hAnsi="Arial" w:cs="Arial"/>
          <w:sz w:val="24"/>
          <w:szCs w:val="24"/>
          <w:shd w:val="clear" w:color="auto" w:fill="FFFFFF"/>
        </w:rPr>
        <w:t>, L., 2024. Assessing and managing environmental, social, and governance risks in agri</w:t>
      </w:r>
      <w:r w:rsidRPr="00130145">
        <w:rPr>
          <w:rFonts w:ascii="Cambria Math" w:hAnsi="Cambria Math" w:cs="Cambria Math"/>
          <w:sz w:val="24"/>
          <w:szCs w:val="24"/>
          <w:shd w:val="clear" w:color="auto" w:fill="FFFFFF"/>
        </w:rPr>
        <w:t>‐</w:t>
      </w:r>
      <w:r w:rsidRPr="00130145">
        <w:rPr>
          <w:rFonts w:ascii="Arial" w:hAnsi="Arial" w:cs="Arial"/>
          <w:sz w:val="24"/>
          <w:szCs w:val="24"/>
          <w:shd w:val="clear" w:color="auto" w:fill="FFFFFF"/>
        </w:rPr>
        <w:t>food companies. </w:t>
      </w:r>
      <w:r w:rsidRPr="00130145">
        <w:rPr>
          <w:rFonts w:ascii="Arial" w:hAnsi="Arial" w:cs="Arial"/>
          <w:i/>
          <w:iCs/>
          <w:sz w:val="24"/>
          <w:szCs w:val="24"/>
          <w:shd w:val="clear" w:color="auto" w:fill="FFFFFF"/>
        </w:rPr>
        <w:t>Corporate Social Responsibility and Environmental Management</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31</w:t>
      </w:r>
      <w:r w:rsidRPr="00130145">
        <w:rPr>
          <w:rFonts w:ascii="Arial" w:hAnsi="Arial" w:cs="Arial"/>
          <w:sz w:val="24"/>
          <w:szCs w:val="24"/>
          <w:shd w:val="clear" w:color="auto" w:fill="FFFFFF"/>
        </w:rPr>
        <w:t>(6), pp.5690-5708.</w:t>
      </w:r>
    </w:p>
    <w:p w14:paraId="13AA1F7E"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Buyl</w:t>
      </w:r>
      <w:proofErr w:type="spellEnd"/>
      <w:r w:rsidRPr="00130145">
        <w:rPr>
          <w:rFonts w:ascii="Arial" w:hAnsi="Arial" w:cs="Arial"/>
          <w:sz w:val="24"/>
          <w:szCs w:val="24"/>
          <w:shd w:val="clear" w:color="auto" w:fill="FFFFFF"/>
        </w:rPr>
        <w:t>, T., Lokshin, B. and Boone, C., 2025. How Institutional Context Affects Narcissistic CEOs’ CSR Activities. </w:t>
      </w:r>
      <w:r w:rsidRPr="00130145">
        <w:rPr>
          <w:rFonts w:ascii="Arial" w:hAnsi="Arial" w:cs="Arial"/>
          <w:i/>
          <w:iCs/>
          <w:sz w:val="24"/>
          <w:szCs w:val="24"/>
          <w:shd w:val="clear" w:color="auto" w:fill="FFFFFF"/>
        </w:rPr>
        <w:t>Journal of Management</w:t>
      </w:r>
      <w:r w:rsidRPr="00130145">
        <w:rPr>
          <w:rFonts w:ascii="Arial" w:hAnsi="Arial" w:cs="Arial"/>
          <w:sz w:val="24"/>
          <w:szCs w:val="24"/>
          <w:shd w:val="clear" w:color="auto" w:fill="FFFFFF"/>
        </w:rPr>
        <w:t>, p.01492063251381314.</w:t>
      </w:r>
    </w:p>
    <w:p w14:paraId="0086D601"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Canal Vieira, L., Longo, M. and Mura, M., 2024. Responding to a Wicked Problem: How Time, Sense of Place, and Organisational Boundaries Shape Companies’ Decarbonisation Strategies. </w:t>
      </w:r>
      <w:r w:rsidRPr="00130145">
        <w:rPr>
          <w:rFonts w:ascii="Arial" w:hAnsi="Arial" w:cs="Arial"/>
          <w:i/>
          <w:iCs/>
          <w:sz w:val="24"/>
          <w:szCs w:val="24"/>
          <w:shd w:val="clear" w:color="auto" w:fill="FFFFFF"/>
        </w:rPr>
        <w:t>Organization &amp; Environment</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37</w:t>
      </w:r>
      <w:r w:rsidRPr="00130145">
        <w:rPr>
          <w:rFonts w:ascii="Arial" w:hAnsi="Arial" w:cs="Arial"/>
          <w:sz w:val="24"/>
          <w:szCs w:val="24"/>
          <w:shd w:val="clear" w:color="auto" w:fill="FFFFFF"/>
        </w:rPr>
        <w:t>(1), pp.6-31.</w:t>
      </w:r>
    </w:p>
    <w:p w14:paraId="4FCCA4CD"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Dhlamini, J., 2025. Setting the strategic direction: the role of the mission, vision, values statements and strategic leadership. </w:t>
      </w:r>
      <w:r w:rsidRPr="00130145">
        <w:rPr>
          <w:rFonts w:ascii="Arial" w:hAnsi="Arial" w:cs="Arial"/>
          <w:i/>
          <w:iCs/>
          <w:sz w:val="24"/>
          <w:szCs w:val="24"/>
          <w:shd w:val="clear" w:color="auto" w:fill="FFFFFF"/>
        </w:rPr>
        <w:t>Journal of Strategy and Management</w:t>
      </w:r>
      <w:r w:rsidRPr="00130145">
        <w:rPr>
          <w:rFonts w:ascii="Arial" w:hAnsi="Arial" w:cs="Arial"/>
          <w:sz w:val="24"/>
          <w:szCs w:val="24"/>
          <w:shd w:val="clear" w:color="auto" w:fill="FFFFFF"/>
        </w:rPr>
        <w:t>.</w:t>
      </w:r>
    </w:p>
    <w:p w14:paraId="78DB2E67"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Dijkstra-Silva, S., 2024. Legitimisation strategies for reporting contributions to the SDGs. In </w:t>
      </w:r>
      <w:r w:rsidRPr="00130145">
        <w:rPr>
          <w:rFonts w:ascii="Arial" w:hAnsi="Arial" w:cs="Arial"/>
          <w:i/>
          <w:iCs/>
          <w:sz w:val="24"/>
          <w:szCs w:val="24"/>
          <w:shd w:val="clear" w:color="auto" w:fill="FFFFFF"/>
        </w:rPr>
        <w:t>The Routledge Handbook of Accounting for the Sustainable Development Goals</w:t>
      </w:r>
      <w:r w:rsidRPr="00130145">
        <w:rPr>
          <w:rFonts w:ascii="Arial" w:hAnsi="Arial" w:cs="Arial"/>
          <w:sz w:val="24"/>
          <w:szCs w:val="24"/>
          <w:shd w:val="clear" w:color="auto" w:fill="FFFFFF"/>
        </w:rPr>
        <w:t> (pp. 136-151). Routledge.</w:t>
      </w:r>
    </w:p>
    <w:p w14:paraId="0B901A3C"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Gathogo, P.W., 2024. </w:t>
      </w:r>
      <w:r w:rsidRPr="00130145">
        <w:rPr>
          <w:rFonts w:ascii="Arial" w:hAnsi="Arial" w:cs="Arial"/>
          <w:i/>
          <w:iCs/>
          <w:sz w:val="24"/>
          <w:szCs w:val="24"/>
          <w:shd w:val="clear" w:color="auto" w:fill="FFFFFF"/>
        </w:rPr>
        <w:t>Growth strategies and performance of food and beverage manufacturing firms in Kenya</w:t>
      </w:r>
      <w:r w:rsidRPr="00130145">
        <w:rPr>
          <w:rFonts w:ascii="Arial" w:hAnsi="Arial" w:cs="Arial"/>
          <w:sz w:val="24"/>
          <w:szCs w:val="24"/>
          <w:shd w:val="clear" w:color="auto" w:fill="FFFFFF"/>
        </w:rPr>
        <w:t> (Doctoral dissertation, Cuk).</w:t>
      </w:r>
    </w:p>
    <w:p w14:paraId="324B2A2B"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lastRenderedPageBreak/>
        <w:t xml:space="preserve">Gazzola, P., </w:t>
      </w:r>
      <w:proofErr w:type="spellStart"/>
      <w:r w:rsidRPr="00130145">
        <w:rPr>
          <w:rFonts w:ascii="Arial" w:hAnsi="Arial" w:cs="Arial"/>
          <w:sz w:val="24"/>
          <w:szCs w:val="24"/>
          <w:shd w:val="clear" w:color="auto" w:fill="FFFFFF"/>
        </w:rPr>
        <w:t>Pavione</w:t>
      </w:r>
      <w:proofErr w:type="spellEnd"/>
      <w:r w:rsidRPr="00130145">
        <w:rPr>
          <w:rFonts w:ascii="Arial" w:hAnsi="Arial" w:cs="Arial"/>
          <w:sz w:val="24"/>
          <w:szCs w:val="24"/>
          <w:shd w:val="clear" w:color="auto" w:fill="FFFFFF"/>
        </w:rPr>
        <w:t>, E., Amelio, S. and Mauri, M., 2024. Sustainable strategies and value creation in the food and beverage sector: The case of large listed European companies. </w:t>
      </w:r>
      <w:r w:rsidRPr="00130145">
        <w:rPr>
          <w:rFonts w:ascii="Arial" w:hAnsi="Arial" w:cs="Arial"/>
          <w:i/>
          <w:iCs/>
          <w:sz w:val="24"/>
          <w:szCs w:val="24"/>
          <w:shd w:val="clear" w:color="auto" w:fill="FFFFFF"/>
        </w:rPr>
        <w:t>Sustainability</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16</w:t>
      </w:r>
      <w:r w:rsidRPr="00130145">
        <w:rPr>
          <w:rFonts w:ascii="Arial" w:hAnsi="Arial" w:cs="Arial"/>
          <w:sz w:val="24"/>
          <w:szCs w:val="24"/>
          <w:shd w:val="clear" w:color="auto" w:fill="FFFFFF"/>
        </w:rPr>
        <w:t>(22), p.9798.</w:t>
      </w:r>
    </w:p>
    <w:p w14:paraId="089D7A35"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Geoghegan, A., 2025. </w:t>
      </w:r>
      <w:r w:rsidRPr="00130145">
        <w:rPr>
          <w:rFonts w:ascii="Arial" w:hAnsi="Arial" w:cs="Arial"/>
          <w:i/>
          <w:iCs/>
          <w:sz w:val="24"/>
          <w:szCs w:val="24"/>
          <w:shd w:val="clear" w:color="auto" w:fill="FFFFFF"/>
        </w:rPr>
        <w:t>Effective Brand Building: Unlock Growth with Strategy, Insights, and Measurement</w:t>
      </w:r>
      <w:r w:rsidRPr="00130145">
        <w:rPr>
          <w:rFonts w:ascii="Arial" w:hAnsi="Arial" w:cs="Arial"/>
          <w:sz w:val="24"/>
          <w:szCs w:val="24"/>
          <w:shd w:val="clear" w:color="auto" w:fill="FFFFFF"/>
        </w:rPr>
        <w:t>. Kogan Page Publishers.</w:t>
      </w:r>
    </w:p>
    <w:p w14:paraId="1C65FAC7"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Gillespie, A., 2024. </w:t>
      </w:r>
      <w:r w:rsidRPr="00130145">
        <w:rPr>
          <w:rFonts w:ascii="Arial" w:hAnsi="Arial" w:cs="Arial"/>
          <w:i/>
          <w:iCs/>
          <w:sz w:val="24"/>
          <w:szCs w:val="24"/>
          <w:shd w:val="clear" w:color="auto" w:fill="FFFFFF"/>
        </w:rPr>
        <w:t>Foundations of Business</w:t>
      </w:r>
      <w:r w:rsidRPr="00130145">
        <w:rPr>
          <w:rFonts w:ascii="Arial" w:hAnsi="Arial" w:cs="Arial"/>
          <w:sz w:val="24"/>
          <w:szCs w:val="24"/>
          <w:shd w:val="clear" w:color="auto" w:fill="FFFFFF"/>
        </w:rPr>
        <w:t>. Oxford University Press.</w:t>
      </w:r>
    </w:p>
    <w:p w14:paraId="0F526EA0"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Gjikolli, V., 2024. ''The Cost of Sustainability: ESG Impact on Stock Valuation, Exploring the European Food and Beverage Industry''. </w:t>
      </w:r>
      <w:r w:rsidRPr="00130145">
        <w:rPr>
          <w:rFonts w:ascii="Arial" w:hAnsi="Arial" w:cs="Arial"/>
          <w:i/>
          <w:iCs/>
          <w:sz w:val="24"/>
          <w:szCs w:val="24"/>
          <w:shd w:val="clear" w:color="auto" w:fill="FFFFFF"/>
        </w:rPr>
        <w:t>Exploring the European Food and Beverage Industry'' (August 09, 2024)</w:t>
      </w:r>
      <w:r w:rsidRPr="00130145">
        <w:rPr>
          <w:rFonts w:ascii="Arial" w:hAnsi="Arial" w:cs="Arial"/>
          <w:sz w:val="24"/>
          <w:szCs w:val="24"/>
          <w:shd w:val="clear" w:color="auto" w:fill="FFFFFF"/>
        </w:rPr>
        <w:t>.</w:t>
      </w:r>
    </w:p>
    <w:p w14:paraId="686AAACB"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Grant, R.M., 2024. </w:t>
      </w:r>
      <w:r w:rsidRPr="00130145">
        <w:rPr>
          <w:rFonts w:ascii="Arial" w:hAnsi="Arial" w:cs="Arial"/>
          <w:i/>
          <w:iCs/>
          <w:sz w:val="24"/>
          <w:szCs w:val="24"/>
          <w:shd w:val="clear" w:color="auto" w:fill="FFFFFF"/>
        </w:rPr>
        <w:t>Contemporary Strategy Analysis, with eBook Access Code</w:t>
      </w:r>
      <w:r w:rsidRPr="00130145">
        <w:rPr>
          <w:rFonts w:ascii="Arial" w:hAnsi="Arial" w:cs="Arial"/>
          <w:sz w:val="24"/>
          <w:szCs w:val="24"/>
          <w:shd w:val="clear" w:color="auto" w:fill="FFFFFF"/>
        </w:rPr>
        <w:t>. John Wiley &amp; Sons.</w:t>
      </w:r>
    </w:p>
    <w:p w14:paraId="5F271033"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Houghton, F., 2024. Maintaining integrity in alcohol research in Ireland: a commentary. </w:t>
      </w:r>
      <w:r w:rsidRPr="00130145">
        <w:rPr>
          <w:rFonts w:ascii="Arial" w:hAnsi="Arial" w:cs="Arial"/>
          <w:i/>
          <w:iCs/>
          <w:sz w:val="24"/>
          <w:szCs w:val="24"/>
          <w:shd w:val="clear" w:color="auto" w:fill="FFFFFF"/>
        </w:rPr>
        <w:t>Journal of Global, Public and One Health</w:t>
      </w:r>
      <w:r w:rsidRPr="00130145">
        <w:rPr>
          <w:rFonts w:ascii="Arial" w:hAnsi="Arial" w:cs="Arial"/>
          <w:sz w:val="24"/>
          <w:szCs w:val="24"/>
          <w:shd w:val="clear" w:color="auto" w:fill="FFFFFF"/>
        </w:rPr>
        <w:t>.</w:t>
      </w:r>
    </w:p>
    <w:p w14:paraId="78A5684A"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Ipsalat</w:t>
      </w:r>
      <w:proofErr w:type="spellEnd"/>
      <w:r w:rsidRPr="00130145">
        <w:rPr>
          <w:rFonts w:ascii="Arial" w:hAnsi="Arial" w:cs="Arial"/>
          <w:sz w:val="24"/>
          <w:szCs w:val="24"/>
          <w:shd w:val="clear" w:color="auto" w:fill="FFFFFF"/>
        </w:rPr>
        <w:t xml:space="preserve">, I.B. and Burciu, A., 2024. Innovation Timeliness </w:t>
      </w:r>
      <w:proofErr w:type="gramStart"/>
      <w:r w:rsidRPr="00130145">
        <w:rPr>
          <w:rFonts w:ascii="Arial" w:hAnsi="Arial" w:cs="Arial"/>
          <w:sz w:val="24"/>
          <w:szCs w:val="24"/>
          <w:shd w:val="clear" w:color="auto" w:fill="FFFFFF"/>
        </w:rPr>
        <w:t>In</w:t>
      </w:r>
      <w:proofErr w:type="gramEnd"/>
      <w:r w:rsidRPr="00130145">
        <w:rPr>
          <w:rFonts w:ascii="Arial" w:hAnsi="Arial" w:cs="Arial"/>
          <w:sz w:val="24"/>
          <w:szCs w:val="24"/>
          <w:shd w:val="clear" w:color="auto" w:fill="FFFFFF"/>
        </w:rPr>
        <w:t xml:space="preserve"> Hyper-Competitive </w:t>
      </w:r>
      <w:proofErr w:type="gramStart"/>
      <w:r w:rsidRPr="00130145">
        <w:rPr>
          <w:rFonts w:ascii="Arial" w:hAnsi="Arial" w:cs="Arial"/>
          <w:sz w:val="24"/>
          <w:szCs w:val="24"/>
          <w:shd w:val="clear" w:color="auto" w:fill="FFFFFF"/>
        </w:rPr>
        <w:t>And</w:t>
      </w:r>
      <w:proofErr w:type="gramEnd"/>
      <w:r w:rsidRPr="00130145">
        <w:rPr>
          <w:rFonts w:ascii="Arial" w:hAnsi="Arial" w:cs="Arial"/>
          <w:sz w:val="24"/>
          <w:szCs w:val="24"/>
          <w:shd w:val="clear" w:color="auto" w:fill="FFFFFF"/>
        </w:rPr>
        <w:t xml:space="preserve"> Turbulent Environments: Empirical Assessment Based </w:t>
      </w:r>
      <w:proofErr w:type="gramStart"/>
      <w:r w:rsidRPr="00130145">
        <w:rPr>
          <w:rFonts w:ascii="Arial" w:hAnsi="Arial" w:cs="Arial"/>
          <w:sz w:val="24"/>
          <w:szCs w:val="24"/>
          <w:shd w:val="clear" w:color="auto" w:fill="FFFFFF"/>
        </w:rPr>
        <w:t>On</w:t>
      </w:r>
      <w:proofErr w:type="gramEnd"/>
      <w:r w:rsidRPr="00130145">
        <w:rPr>
          <w:rFonts w:ascii="Arial" w:hAnsi="Arial" w:cs="Arial"/>
          <w:sz w:val="24"/>
          <w:szCs w:val="24"/>
          <w:shd w:val="clear" w:color="auto" w:fill="FFFFFF"/>
        </w:rPr>
        <w:t xml:space="preserve"> International Rankings. In </w:t>
      </w:r>
      <w:r w:rsidRPr="00130145">
        <w:rPr>
          <w:rFonts w:ascii="Arial" w:hAnsi="Arial" w:cs="Arial"/>
          <w:i/>
          <w:iCs/>
          <w:sz w:val="24"/>
          <w:szCs w:val="24"/>
          <w:shd w:val="clear" w:color="auto" w:fill="FFFFFF"/>
        </w:rPr>
        <w:t>Proceedings of the INTERNATIONAL MANAGEMENT CONFERENCE</w:t>
      </w:r>
      <w:r w:rsidRPr="00130145">
        <w:rPr>
          <w:rFonts w:ascii="Arial" w:hAnsi="Arial" w:cs="Arial"/>
          <w:sz w:val="24"/>
          <w:szCs w:val="24"/>
          <w:shd w:val="clear" w:color="auto" w:fill="FFFFFF"/>
        </w:rPr>
        <w:t> (Vol. 18, No. 1, pp. 140-154). Faculty of Management, Academy of Economic Studies, Bucharest, Romania.</w:t>
      </w:r>
    </w:p>
    <w:p w14:paraId="7C9ED112"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Kannan, N., 2025. A Financial Analysis and Valuation of DIAGEO PLC. </w:t>
      </w:r>
      <w:r w:rsidRPr="00130145">
        <w:rPr>
          <w:rFonts w:ascii="Arial" w:hAnsi="Arial" w:cs="Arial"/>
          <w:i/>
          <w:iCs/>
          <w:sz w:val="24"/>
          <w:szCs w:val="24"/>
          <w:shd w:val="clear" w:color="auto" w:fill="FFFFFF"/>
        </w:rPr>
        <w:t>Available at SSRN 5468586</w:t>
      </w:r>
      <w:r w:rsidRPr="00130145">
        <w:rPr>
          <w:rFonts w:ascii="Arial" w:hAnsi="Arial" w:cs="Arial"/>
          <w:sz w:val="24"/>
          <w:szCs w:val="24"/>
          <w:shd w:val="clear" w:color="auto" w:fill="FFFFFF"/>
        </w:rPr>
        <w:t>.</w:t>
      </w:r>
    </w:p>
    <w:p w14:paraId="73C798D8"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Katsaliaki</w:t>
      </w:r>
      <w:proofErr w:type="spellEnd"/>
      <w:r w:rsidRPr="00130145">
        <w:rPr>
          <w:rFonts w:ascii="Arial" w:hAnsi="Arial" w:cs="Arial"/>
          <w:sz w:val="24"/>
          <w:szCs w:val="24"/>
          <w:shd w:val="clear" w:color="auto" w:fill="FFFFFF"/>
        </w:rPr>
        <w:t xml:space="preserve">, K., </w:t>
      </w:r>
      <w:proofErr w:type="spellStart"/>
      <w:r w:rsidRPr="00130145">
        <w:rPr>
          <w:rFonts w:ascii="Arial" w:hAnsi="Arial" w:cs="Arial"/>
          <w:sz w:val="24"/>
          <w:szCs w:val="24"/>
          <w:shd w:val="clear" w:color="auto" w:fill="FFFFFF"/>
        </w:rPr>
        <w:t>Galetsi</w:t>
      </w:r>
      <w:proofErr w:type="spellEnd"/>
      <w:r w:rsidRPr="00130145">
        <w:rPr>
          <w:rFonts w:ascii="Arial" w:hAnsi="Arial" w:cs="Arial"/>
          <w:sz w:val="24"/>
          <w:szCs w:val="24"/>
          <w:shd w:val="clear" w:color="auto" w:fill="FFFFFF"/>
        </w:rPr>
        <w:t xml:space="preserve">, P., </w:t>
      </w:r>
      <w:proofErr w:type="spellStart"/>
      <w:r w:rsidRPr="00130145">
        <w:rPr>
          <w:rFonts w:ascii="Arial" w:hAnsi="Arial" w:cs="Arial"/>
          <w:sz w:val="24"/>
          <w:szCs w:val="24"/>
          <w:shd w:val="clear" w:color="auto" w:fill="FFFFFF"/>
        </w:rPr>
        <w:t>Chantziaras</w:t>
      </w:r>
      <w:proofErr w:type="spellEnd"/>
      <w:r w:rsidRPr="00130145">
        <w:rPr>
          <w:rFonts w:ascii="Arial" w:hAnsi="Arial" w:cs="Arial"/>
          <w:sz w:val="24"/>
          <w:szCs w:val="24"/>
          <w:shd w:val="clear" w:color="auto" w:fill="FFFFFF"/>
        </w:rPr>
        <w:t>, A. and Leventis, S., 2025. Assessing Corporate DEI Reporting: Conceptual Framework and State-of-the-Art Disclosures. </w:t>
      </w:r>
      <w:r w:rsidRPr="00130145">
        <w:rPr>
          <w:rFonts w:ascii="Arial" w:hAnsi="Arial" w:cs="Arial"/>
          <w:i/>
          <w:iCs/>
          <w:sz w:val="24"/>
          <w:szCs w:val="24"/>
          <w:shd w:val="clear" w:color="auto" w:fill="FFFFFF"/>
        </w:rPr>
        <w:t>Available at SSRN 5612690</w:t>
      </w:r>
      <w:r w:rsidRPr="00130145">
        <w:rPr>
          <w:rFonts w:ascii="Arial" w:hAnsi="Arial" w:cs="Arial"/>
          <w:sz w:val="24"/>
          <w:szCs w:val="24"/>
          <w:shd w:val="clear" w:color="auto" w:fill="FFFFFF"/>
        </w:rPr>
        <w:t>.</w:t>
      </w:r>
    </w:p>
    <w:p w14:paraId="4B3F99AB"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 xml:space="preserve">MacKenzie, N.G., </w:t>
      </w:r>
      <w:proofErr w:type="spellStart"/>
      <w:r w:rsidRPr="00130145">
        <w:rPr>
          <w:rFonts w:ascii="Arial" w:hAnsi="Arial" w:cs="Arial"/>
          <w:sz w:val="24"/>
          <w:szCs w:val="24"/>
          <w:shd w:val="clear" w:color="auto" w:fill="FFFFFF"/>
        </w:rPr>
        <w:t>Perchard</w:t>
      </w:r>
      <w:proofErr w:type="spellEnd"/>
      <w:r w:rsidRPr="00130145">
        <w:rPr>
          <w:rFonts w:ascii="Arial" w:hAnsi="Arial" w:cs="Arial"/>
          <w:sz w:val="24"/>
          <w:szCs w:val="24"/>
          <w:shd w:val="clear" w:color="auto" w:fill="FFFFFF"/>
        </w:rPr>
        <w:t>, A., Mackay, D. and Burt, G., 2024. Unlocking dynamic capabilities in the Scotch whisky industry, 1945–present. </w:t>
      </w:r>
      <w:r w:rsidRPr="00130145">
        <w:rPr>
          <w:rFonts w:ascii="Arial" w:hAnsi="Arial" w:cs="Arial"/>
          <w:i/>
          <w:iCs/>
          <w:sz w:val="24"/>
          <w:szCs w:val="24"/>
          <w:shd w:val="clear" w:color="auto" w:fill="FFFFFF"/>
        </w:rPr>
        <w:t>Business history</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66</w:t>
      </w:r>
      <w:r w:rsidRPr="00130145">
        <w:rPr>
          <w:rFonts w:ascii="Arial" w:hAnsi="Arial" w:cs="Arial"/>
          <w:sz w:val="24"/>
          <w:szCs w:val="24"/>
          <w:shd w:val="clear" w:color="auto" w:fill="FFFFFF"/>
        </w:rPr>
        <w:t>(5), pp.1082-1102.</w:t>
      </w:r>
    </w:p>
    <w:p w14:paraId="61F7110E"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Mager, A.K., 2024. Beer in Africa. In </w:t>
      </w:r>
      <w:r w:rsidRPr="00130145">
        <w:rPr>
          <w:rFonts w:ascii="Arial" w:hAnsi="Arial" w:cs="Arial"/>
          <w:i/>
          <w:iCs/>
          <w:sz w:val="24"/>
          <w:szCs w:val="24"/>
          <w:shd w:val="clear" w:color="auto" w:fill="FFFFFF"/>
        </w:rPr>
        <w:t xml:space="preserve">Oxford Research </w:t>
      </w:r>
      <w:proofErr w:type="spellStart"/>
      <w:r w:rsidRPr="00130145">
        <w:rPr>
          <w:rFonts w:ascii="Arial" w:hAnsi="Arial" w:cs="Arial"/>
          <w:i/>
          <w:iCs/>
          <w:sz w:val="24"/>
          <w:szCs w:val="24"/>
          <w:shd w:val="clear" w:color="auto" w:fill="FFFFFF"/>
        </w:rPr>
        <w:t>Encyclopedia</w:t>
      </w:r>
      <w:proofErr w:type="spellEnd"/>
      <w:r w:rsidRPr="00130145">
        <w:rPr>
          <w:rFonts w:ascii="Arial" w:hAnsi="Arial" w:cs="Arial"/>
          <w:i/>
          <w:iCs/>
          <w:sz w:val="24"/>
          <w:szCs w:val="24"/>
          <w:shd w:val="clear" w:color="auto" w:fill="FFFFFF"/>
        </w:rPr>
        <w:t xml:space="preserve"> of African History</w:t>
      </w:r>
      <w:r w:rsidRPr="00130145">
        <w:rPr>
          <w:rFonts w:ascii="Arial" w:hAnsi="Arial" w:cs="Arial"/>
          <w:sz w:val="24"/>
          <w:szCs w:val="24"/>
          <w:shd w:val="clear" w:color="auto" w:fill="FFFFFF"/>
        </w:rPr>
        <w:t>.</w:t>
      </w:r>
    </w:p>
    <w:p w14:paraId="5E56416B"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Mowat, M., 2025. </w:t>
      </w:r>
      <w:r w:rsidRPr="00130145">
        <w:rPr>
          <w:rFonts w:ascii="Arial" w:hAnsi="Arial" w:cs="Arial"/>
          <w:i/>
          <w:iCs/>
          <w:sz w:val="24"/>
          <w:szCs w:val="24"/>
          <w:shd w:val="clear" w:color="auto" w:fill="FFFFFF"/>
        </w:rPr>
        <w:t>Supply Chain Transformation: How to Leverage Technology for Competitive Advantage</w:t>
      </w:r>
      <w:r w:rsidRPr="00130145">
        <w:rPr>
          <w:rFonts w:ascii="Arial" w:hAnsi="Arial" w:cs="Arial"/>
          <w:sz w:val="24"/>
          <w:szCs w:val="24"/>
          <w:shd w:val="clear" w:color="auto" w:fill="FFFFFF"/>
        </w:rPr>
        <w:t>. Kogan Page Publishers.</w:t>
      </w:r>
    </w:p>
    <w:p w14:paraId="2E187EF6"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lastRenderedPageBreak/>
        <w:t>Niesten</w:t>
      </w:r>
      <w:proofErr w:type="spellEnd"/>
      <w:r w:rsidRPr="00130145">
        <w:rPr>
          <w:rFonts w:ascii="Arial" w:hAnsi="Arial" w:cs="Arial"/>
          <w:sz w:val="24"/>
          <w:szCs w:val="24"/>
          <w:shd w:val="clear" w:color="auto" w:fill="FFFFFF"/>
        </w:rPr>
        <w:t xml:space="preserve">, E., </w:t>
      </w:r>
      <w:proofErr w:type="spellStart"/>
      <w:r w:rsidRPr="00130145">
        <w:rPr>
          <w:rFonts w:ascii="Arial" w:hAnsi="Arial" w:cs="Arial"/>
          <w:sz w:val="24"/>
          <w:szCs w:val="24"/>
          <w:shd w:val="clear" w:color="auto" w:fill="FFFFFF"/>
        </w:rPr>
        <w:t>Jolink</w:t>
      </w:r>
      <w:proofErr w:type="spellEnd"/>
      <w:r w:rsidRPr="00130145">
        <w:rPr>
          <w:rFonts w:ascii="Arial" w:hAnsi="Arial" w:cs="Arial"/>
          <w:sz w:val="24"/>
          <w:szCs w:val="24"/>
          <w:shd w:val="clear" w:color="auto" w:fill="FFFFFF"/>
        </w:rPr>
        <w:t>, A. and Bacha, E., 2024. Sustainable development in turbulent environments: The impact of ESG capabilities on responses to turbulence. </w:t>
      </w:r>
      <w:r w:rsidRPr="00130145">
        <w:rPr>
          <w:rFonts w:ascii="Arial" w:hAnsi="Arial" w:cs="Arial"/>
          <w:i/>
          <w:iCs/>
          <w:sz w:val="24"/>
          <w:szCs w:val="24"/>
          <w:shd w:val="clear" w:color="auto" w:fill="FFFFFF"/>
        </w:rPr>
        <w:t>Business Strategy and the Environment</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33</w:t>
      </w:r>
      <w:r w:rsidRPr="00130145">
        <w:rPr>
          <w:rFonts w:ascii="Arial" w:hAnsi="Arial" w:cs="Arial"/>
          <w:sz w:val="24"/>
          <w:szCs w:val="24"/>
          <w:shd w:val="clear" w:color="auto" w:fill="FFFFFF"/>
        </w:rPr>
        <w:t>(7), pp.6468-6490.</w:t>
      </w:r>
    </w:p>
    <w:p w14:paraId="7CCB7C14"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 xml:space="preserve">Pantoja, Y.I.M., 2025. MNEs and multi-stakeholder partnerships as a strategic element to </w:t>
      </w:r>
      <w:proofErr w:type="spellStart"/>
      <w:r w:rsidRPr="00130145">
        <w:rPr>
          <w:rFonts w:ascii="Arial" w:hAnsi="Arial" w:cs="Arial"/>
          <w:sz w:val="24"/>
          <w:szCs w:val="24"/>
          <w:shd w:val="clear" w:color="auto" w:fill="FFFFFF"/>
        </w:rPr>
        <w:t>fulfill</w:t>
      </w:r>
      <w:proofErr w:type="spellEnd"/>
      <w:r w:rsidRPr="00130145">
        <w:rPr>
          <w:rFonts w:ascii="Arial" w:hAnsi="Arial" w:cs="Arial"/>
          <w:sz w:val="24"/>
          <w:szCs w:val="24"/>
          <w:shd w:val="clear" w:color="auto" w:fill="FFFFFF"/>
        </w:rPr>
        <w:t xml:space="preserve"> SDGs. In </w:t>
      </w:r>
      <w:r w:rsidRPr="00130145">
        <w:rPr>
          <w:rFonts w:ascii="Arial" w:hAnsi="Arial" w:cs="Arial"/>
          <w:i/>
          <w:iCs/>
          <w:sz w:val="24"/>
          <w:szCs w:val="24"/>
          <w:shd w:val="clear" w:color="auto" w:fill="FFFFFF"/>
        </w:rPr>
        <w:t>Global Environmental, Social and Governance Policy</w:t>
      </w:r>
      <w:r w:rsidRPr="00130145">
        <w:rPr>
          <w:rFonts w:ascii="Arial" w:hAnsi="Arial" w:cs="Arial"/>
          <w:sz w:val="24"/>
          <w:szCs w:val="24"/>
          <w:shd w:val="clear" w:color="auto" w:fill="FFFFFF"/>
        </w:rPr>
        <w:t> (pp. 45-59). Routledge.</w:t>
      </w:r>
    </w:p>
    <w:p w14:paraId="25640DDE"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Penttilä, L., 2025. Creative advertising for mild alcoholic beverages: navigating through the Finnish market legislation.</w:t>
      </w:r>
    </w:p>
    <w:p w14:paraId="0A74C835"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Perkins, S.J. and Shortland, S., 2025. Bridging theory and practice: ethical governance of executive compensation in the Financial Times Stock Exchange 100. </w:t>
      </w:r>
      <w:r w:rsidRPr="00130145">
        <w:rPr>
          <w:rFonts w:ascii="Arial" w:hAnsi="Arial" w:cs="Arial"/>
          <w:i/>
          <w:iCs/>
          <w:sz w:val="24"/>
          <w:szCs w:val="24"/>
          <w:shd w:val="clear" w:color="auto" w:fill="FFFFFF"/>
        </w:rPr>
        <w:t>Compensation &amp; Benefits Review</w:t>
      </w:r>
      <w:r w:rsidRPr="00130145">
        <w:rPr>
          <w:rFonts w:ascii="Arial" w:hAnsi="Arial" w:cs="Arial"/>
          <w:sz w:val="24"/>
          <w:szCs w:val="24"/>
          <w:shd w:val="clear" w:color="auto" w:fill="FFFFFF"/>
        </w:rPr>
        <w:t>, p.08863687251336654.</w:t>
      </w:r>
    </w:p>
    <w:p w14:paraId="3D314277"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 xml:space="preserve">Poon, S.H., </w:t>
      </w:r>
      <w:proofErr w:type="spellStart"/>
      <w:r w:rsidRPr="00130145">
        <w:rPr>
          <w:rFonts w:ascii="Arial" w:hAnsi="Arial" w:cs="Arial"/>
          <w:sz w:val="24"/>
          <w:szCs w:val="24"/>
          <w:shd w:val="clear" w:color="auto" w:fill="FFFFFF"/>
        </w:rPr>
        <w:t>Rahimikia</w:t>
      </w:r>
      <w:proofErr w:type="spellEnd"/>
      <w:r w:rsidRPr="00130145">
        <w:rPr>
          <w:rFonts w:ascii="Arial" w:hAnsi="Arial" w:cs="Arial"/>
          <w:sz w:val="24"/>
          <w:szCs w:val="24"/>
          <w:shd w:val="clear" w:color="auto" w:fill="FFFFFF"/>
        </w:rPr>
        <w:t xml:space="preserve">, E., </w:t>
      </w:r>
      <w:proofErr w:type="spellStart"/>
      <w:r w:rsidRPr="00130145">
        <w:rPr>
          <w:rFonts w:ascii="Arial" w:hAnsi="Arial" w:cs="Arial"/>
          <w:sz w:val="24"/>
          <w:szCs w:val="24"/>
          <w:shd w:val="clear" w:color="auto" w:fill="FFFFFF"/>
        </w:rPr>
        <w:t>Vallavanthra</w:t>
      </w:r>
      <w:proofErr w:type="spellEnd"/>
      <w:r w:rsidRPr="00130145">
        <w:rPr>
          <w:rFonts w:ascii="Arial" w:hAnsi="Arial" w:cs="Arial"/>
          <w:sz w:val="24"/>
          <w:szCs w:val="24"/>
          <w:shd w:val="clear" w:color="auto" w:fill="FFFFFF"/>
        </w:rPr>
        <w:t>, P.J. and Wei, S., 2025. Analysing Modern Slavery Statements (MSS) Using Large Language Models (LLMs). </w:t>
      </w:r>
      <w:r w:rsidRPr="00130145">
        <w:rPr>
          <w:rFonts w:ascii="Arial" w:hAnsi="Arial" w:cs="Arial"/>
          <w:i/>
          <w:iCs/>
          <w:sz w:val="24"/>
          <w:szCs w:val="24"/>
          <w:shd w:val="clear" w:color="auto" w:fill="FFFFFF"/>
        </w:rPr>
        <w:t>AI &amp; Higher Education Handbook, Edward Elgar Publishing</w:t>
      </w:r>
      <w:r w:rsidRPr="00130145">
        <w:rPr>
          <w:rFonts w:ascii="Arial" w:hAnsi="Arial" w:cs="Arial"/>
          <w:sz w:val="24"/>
          <w:szCs w:val="24"/>
          <w:shd w:val="clear" w:color="auto" w:fill="FFFFFF"/>
        </w:rPr>
        <w:t>.</w:t>
      </w:r>
    </w:p>
    <w:p w14:paraId="25CFA553"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Prasad, V.N., 2024. Maggie Timoney of Heineken: shattering the glass ceiling and forging a new path. </w:t>
      </w:r>
      <w:r w:rsidRPr="00130145">
        <w:rPr>
          <w:rFonts w:ascii="Arial" w:hAnsi="Arial" w:cs="Arial"/>
          <w:i/>
          <w:iCs/>
          <w:sz w:val="24"/>
          <w:szCs w:val="24"/>
          <w:shd w:val="clear" w:color="auto" w:fill="FFFFFF"/>
        </w:rPr>
        <w:t>The CASE Journal</w:t>
      </w:r>
      <w:r w:rsidRPr="00130145">
        <w:rPr>
          <w:rFonts w:ascii="Arial" w:hAnsi="Arial" w:cs="Arial"/>
          <w:sz w:val="24"/>
          <w:szCs w:val="24"/>
          <w:shd w:val="clear" w:color="auto" w:fill="FFFFFF"/>
        </w:rPr>
        <w:t>.</w:t>
      </w:r>
    </w:p>
    <w:p w14:paraId="2A062FAE"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Provasi</w:t>
      </w:r>
      <w:proofErr w:type="spellEnd"/>
      <w:r w:rsidRPr="00130145">
        <w:rPr>
          <w:rFonts w:ascii="Arial" w:hAnsi="Arial" w:cs="Arial"/>
          <w:sz w:val="24"/>
          <w:szCs w:val="24"/>
          <w:shd w:val="clear" w:color="auto" w:fill="FFFFFF"/>
        </w:rPr>
        <w:t>, R., 2024. THE GENDER PAY GAP (GPG): EVIDENCE AND COMPARISONS BETWEEN THE ITALIAN AND UK PAY SYSTEMS. </w:t>
      </w:r>
      <w:r w:rsidRPr="00130145">
        <w:rPr>
          <w:rFonts w:ascii="Arial" w:hAnsi="Arial" w:cs="Arial"/>
          <w:i/>
          <w:iCs/>
          <w:sz w:val="24"/>
          <w:szCs w:val="24"/>
          <w:shd w:val="clear" w:color="auto" w:fill="FFFFFF"/>
        </w:rPr>
        <w:t>CORPORATE OWNERSHIP &amp; CONTROL</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21</w:t>
      </w:r>
      <w:r w:rsidRPr="00130145">
        <w:rPr>
          <w:rFonts w:ascii="Arial" w:hAnsi="Arial" w:cs="Arial"/>
          <w:sz w:val="24"/>
          <w:szCs w:val="24"/>
          <w:shd w:val="clear" w:color="auto" w:fill="FFFFFF"/>
        </w:rPr>
        <w:t>(3), pp.83-92.</w:t>
      </w:r>
    </w:p>
    <w:p w14:paraId="4A5FE779"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Quinn, M., Hiebl, M.R. and Gibney, D., 2024. Strategic expansion–Guinness Nigeria, management accounting information and upper echelons. </w:t>
      </w:r>
      <w:r w:rsidRPr="00130145">
        <w:rPr>
          <w:rFonts w:ascii="Arial" w:hAnsi="Arial" w:cs="Arial"/>
          <w:i/>
          <w:iCs/>
          <w:sz w:val="24"/>
          <w:szCs w:val="24"/>
          <w:shd w:val="clear" w:color="auto" w:fill="FFFFFF"/>
        </w:rPr>
        <w:t>Management &amp; Organizational History</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19</w:t>
      </w:r>
      <w:r w:rsidRPr="00130145">
        <w:rPr>
          <w:rFonts w:ascii="Arial" w:hAnsi="Arial" w:cs="Arial"/>
          <w:sz w:val="24"/>
          <w:szCs w:val="24"/>
          <w:shd w:val="clear" w:color="auto" w:fill="FFFFFF"/>
        </w:rPr>
        <w:t>(4), pp.282-308.</w:t>
      </w:r>
    </w:p>
    <w:p w14:paraId="5C3FEED0"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Salonen, S., 2024. Diageo's commitment to corporate social responsibility (CSR) and sustainability initiatives in the African region.</w:t>
      </w:r>
    </w:p>
    <w:p w14:paraId="1BB983F2" w14:textId="77777777" w:rsidR="00F212DB" w:rsidRPr="00130145" w:rsidRDefault="00F212DB" w:rsidP="00F212DB">
      <w:pPr>
        <w:spacing w:line="360" w:lineRule="auto"/>
        <w:jc w:val="both"/>
        <w:rPr>
          <w:rFonts w:ascii="Arial" w:hAnsi="Arial" w:cs="Arial"/>
          <w:sz w:val="24"/>
          <w:szCs w:val="24"/>
          <w:shd w:val="clear" w:color="auto" w:fill="FFFFFF"/>
        </w:rPr>
      </w:pPr>
      <w:proofErr w:type="spellStart"/>
      <w:r w:rsidRPr="00130145">
        <w:rPr>
          <w:rFonts w:ascii="Arial" w:hAnsi="Arial" w:cs="Arial"/>
          <w:sz w:val="24"/>
          <w:szCs w:val="24"/>
          <w:shd w:val="clear" w:color="auto" w:fill="FFFFFF"/>
        </w:rPr>
        <w:t>Sangroya</w:t>
      </w:r>
      <w:proofErr w:type="spellEnd"/>
      <w:r w:rsidRPr="00130145">
        <w:rPr>
          <w:rFonts w:ascii="Arial" w:hAnsi="Arial" w:cs="Arial"/>
          <w:sz w:val="24"/>
          <w:szCs w:val="24"/>
          <w:shd w:val="clear" w:color="auto" w:fill="FFFFFF"/>
        </w:rPr>
        <w:t xml:space="preserve">, D., </w:t>
      </w:r>
      <w:proofErr w:type="spellStart"/>
      <w:r w:rsidRPr="00130145">
        <w:rPr>
          <w:rFonts w:ascii="Arial" w:hAnsi="Arial" w:cs="Arial"/>
          <w:sz w:val="24"/>
          <w:szCs w:val="24"/>
          <w:shd w:val="clear" w:color="auto" w:fill="FFFFFF"/>
        </w:rPr>
        <w:t>Jebarajakirthy</w:t>
      </w:r>
      <w:proofErr w:type="spellEnd"/>
      <w:r w:rsidRPr="00130145">
        <w:rPr>
          <w:rFonts w:ascii="Arial" w:hAnsi="Arial" w:cs="Arial"/>
          <w:sz w:val="24"/>
          <w:szCs w:val="24"/>
          <w:shd w:val="clear" w:color="auto" w:fill="FFFFFF"/>
        </w:rPr>
        <w:t>, C., Maseeh, H.I., Saha, R. and Gupta, Y., 2025. Evolution of rebranding: a structured literature review and research agenda. </w:t>
      </w:r>
      <w:r w:rsidRPr="00130145">
        <w:rPr>
          <w:rFonts w:ascii="Arial" w:hAnsi="Arial" w:cs="Arial"/>
          <w:i/>
          <w:iCs/>
          <w:sz w:val="24"/>
          <w:szCs w:val="24"/>
          <w:shd w:val="clear" w:color="auto" w:fill="FFFFFF"/>
        </w:rPr>
        <w:t>Marketing Intelligence &amp; Planning</w:t>
      </w:r>
      <w:r w:rsidRPr="00130145">
        <w:rPr>
          <w:rFonts w:ascii="Arial" w:hAnsi="Arial" w:cs="Arial"/>
          <w:sz w:val="24"/>
          <w:szCs w:val="24"/>
          <w:shd w:val="clear" w:color="auto" w:fill="FFFFFF"/>
        </w:rPr>
        <w:t>, pp.1-41.</w:t>
      </w:r>
    </w:p>
    <w:p w14:paraId="3707A159"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t>Vieira, F.T., 2025. </w:t>
      </w:r>
      <w:r w:rsidRPr="00130145">
        <w:rPr>
          <w:rFonts w:ascii="Arial" w:hAnsi="Arial" w:cs="Arial"/>
          <w:i/>
          <w:iCs/>
          <w:sz w:val="24"/>
          <w:szCs w:val="24"/>
          <w:shd w:val="clear" w:color="auto" w:fill="FFFFFF"/>
        </w:rPr>
        <w:t>The Cadbury Takeover: Evaluating the Global Strategy of Kraft Foods</w:t>
      </w:r>
      <w:r w:rsidRPr="00130145">
        <w:rPr>
          <w:rFonts w:ascii="Arial" w:hAnsi="Arial" w:cs="Arial"/>
          <w:sz w:val="24"/>
          <w:szCs w:val="24"/>
          <w:shd w:val="clear" w:color="auto" w:fill="FFFFFF"/>
        </w:rPr>
        <w:t> (</w:t>
      </w:r>
      <w:proofErr w:type="gramStart"/>
      <w:r w:rsidRPr="00130145">
        <w:rPr>
          <w:rFonts w:ascii="Arial" w:hAnsi="Arial" w:cs="Arial"/>
          <w:sz w:val="24"/>
          <w:szCs w:val="24"/>
          <w:shd w:val="clear" w:color="auto" w:fill="FFFFFF"/>
        </w:rPr>
        <w:t>Master's</w:t>
      </w:r>
      <w:proofErr w:type="gramEnd"/>
      <w:r w:rsidRPr="00130145">
        <w:rPr>
          <w:rFonts w:ascii="Arial" w:hAnsi="Arial" w:cs="Arial"/>
          <w:sz w:val="24"/>
          <w:szCs w:val="24"/>
          <w:shd w:val="clear" w:color="auto" w:fill="FFFFFF"/>
        </w:rPr>
        <w:t xml:space="preserve"> thesis, </w:t>
      </w:r>
      <w:proofErr w:type="spellStart"/>
      <w:r w:rsidRPr="00130145">
        <w:rPr>
          <w:rFonts w:ascii="Arial" w:hAnsi="Arial" w:cs="Arial"/>
          <w:sz w:val="24"/>
          <w:szCs w:val="24"/>
          <w:shd w:val="clear" w:color="auto" w:fill="FFFFFF"/>
        </w:rPr>
        <w:t>Universidade</w:t>
      </w:r>
      <w:proofErr w:type="spellEnd"/>
      <w:r w:rsidRPr="00130145">
        <w:rPr>
          <w:rFonts w:ascii="Arial" w:hAnsi="Arial" w:cs="Arial"/>
          <w:sz w:val="24"/>
          <w:szCs w:val="24"/>
          <w:shd w:val="clear" w:color="auto" w:fill="FFFFFF"/>
        </w:rPr>
        <w:t xml:space="preserve"> NOVA de Lisboa (Portugal)).</w:t>
      </w:r>
    </w:p>
    <w:p w14:paraId="3AC5A348"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shd w:val="clear" w:color="auto" w:fill="FFFFFF"/>
        </w:rPr>
        <w:lastRenderedPageBreak/>
        <w:t>Ye, X., Liu, D., Li, T. and Li, W., 2025. Heterogeneous business network based interpretable competitive firm identification: a graph neural network method. </w:t>
      </w:r>
      <w:r w:rsidRPr="00130145">
        <w:rPr>
          <w:rFonts w:ascii="Arial" w:hAnsi="Arial" w:cs="Arial"/>
          <w:i/>
          <w:iCs/>
          <w:sz w:val="24"/>
          <w:szCs w:val="24"/>
          <w:shd w:val="clear" w:color="auto" w:fill="FFFFFF"/>
        </w:rPr>
        <w:t>Annals of Operations Research</w:t>
      </w:r>
      <w:r w:rsidRPr="00130145">
        <w:rPr>
          <w:rFonts w:ascii="Arial" w:hAnsi="Arial" w:cs="Arial"/>
          <w:sz w:val="24"/>
          <w:szCs w:val="24"/>
          <w:shd w:val="clear" w:color="auto" w:fill="FFFFFF"/>
        </w:rPr>
        <w:t>, </w:t>
      </w:r>
      <w:r w:rsidRPr="00130145">
        <w:rPr>
          <w:rFonts w:ascii="Arial" w:hAnsi="Arial" w:cs="Arial"/>
          <w:i/>
          <w:iCs/>
          <w:sz w:val="24"/>
          <w:szCs w:val="24"/>
          <w:shd w:val="clear" w:color="auto" w:fill="FFFFFF"/>
        </w:rPr>
        <w:t>347</w:t>
      </w:r>
      <w:r w:rsidRPr="00130145">
        <w:rPr>
          <w:rFonts w:ascii="Arial" w:hAnsi="Arial" w:cs="Arial"/>
          <w:sz w:val="24"/>
          <w:szCs w:val="24"/>
          <w:shd w:val="clear" w:color="auto" w:fill="FFFFFF"/>
        </w:rPr>
        <w:t>(2), pp.1133-1161.</w:t>
      </w:r>
    </w:p>
    <w:p w14:paraId="4B15D3BA" w14:textId="77777777" w:rsidR="00F212DB" w:rsidRPr="00130145" w:rsidRDefault="00F212DB" w:rsidP="00F212DB">
      <w:pPr>
        <w:spacing w:line="360" w:lineRule="auto"/>
        <w:jc w:val="both"/>
        <w:rPr>
          <w:rFonts w:ascii="Arial" w:hAnsi="Arial" w:cs="Arial"/>
          <w:b/>
          <w:sz w:val="24"/>
          <w:szCs w:val="24"/>
          <w:shd w:val="clear" w:color="auto" w:fill="FFFFFF"/>
        </w:rPr>
      </w:pPr>
      <w:r w:rsidRPr="00130145">
        <w:rPr>
          <w:rFonts w:ascii="Arial" w:hAnsi="Arial" w:cs="Arial"/>
          <w:b/>
          <w:sz w:val="24"/>
          <w:szCs w:val="24"/>
          <w:shd w:val="clear" w:color="auto" w:fill="FFFFFF"/>
        </w:rPr>
        <w:t>Websites</w:t>
      </w:r>
    </w:p>
    <w:p w14:paraId="1F6866DB" w14:textId="77777777" w:rsidR="00F212DB" w:rsidRPr="00130145" w:rsidRDefault="00F212DB" w:rsidP="00F212DB">
      <w:pPr>
        <w:spacing w:line="360" w:lineRule="auto"/>
        <w:jc w:val="both"/>
        <w:rPr>
          <w:rFonts w:ascii="Arial" w:hAnsi="Arial" w:cs="Arial"/>
          <w:sz w:val="24"/>
          <w:szCs w:val="24"/>
        </w:rPr>
      </w:pPr>
      <w:r w:rsidRPr="00130145">
        <w:rPr>
          <w:rFonts w:ascii="Arial" w:hAnsi="Arial" w:cs="Arial"/>
          <w:sz w:val="24"/>
          <w:szCs w:val="24"/>
        </w:rPr>
        <w:t xml:space="preserve">Adekoya, M. (2025) </w:t>
      </w:r>
      <w:r w:rsidRPr="00130145">
        <w:rPr>
          <w:rStyle w:val="Emphasis"/>
          <w:rFonts w:ascii="Arial" w:hAnsi="Arial" w:cs="Arial"/>
          <w:sz w:val="24"/>
          <w:szCs w:val="24"/>
        </w:rPr>
        <w:t>African brands leveraging Triple Bottom Line</w:t>
      </w:r>
      <w:r w:rsidRPr="00130145">
        <w:rPr>
          <w:rFonts w:ascii="Arial" w:hAnsi="Arial" w:cs="Arial"/>
          <w:sz w:val="24"/>
          <w:szCs w:val="24"/>
        </w:rPr>
        <w:t xml:space="preserve">. Available at: </w:t>
      </w:r>
      <w:hyperlink r:id="rId20" w:tgtFrame="_new" w:history="1">
        <w:r w:rsidRPr="00130145">
          <w:rPr>
            <w:rStyle w:val="Hyperlink"/>
            <w:rFonts w:ascii="Arial" w:hAnsi="Arial" w:cs="Arial"/>
            <w:color w:val="auto"/>
            <w:sz w:val="24"/>
            <w:szCs w:val="24"/>
          </w:rPr>
          <w:t>https://www.linkedin.com/pulse/african-brands-leveraging-triple-bottom-line-adekoya-mba</w:t>
        </w:r>
      </w:hyperlink>
    </w:p>
    <w:p w14:paraId="033EA2B3" w14:textId="77777777" w:rsidR="00F212DB" w:rsidRPr="00130145" w:rsidRDefault="00F212DB" w:rsidP="00F212DB">
      <w:pPr>
        <w:spacing w:line="360" w:lineRule="auto"/>
        <w:jc w:val="both"/>
        <w:rPr>
          <w:rFonts w:ascii="Arial" w:hAnsi="Arial" w:cs="Arial"/>
          <w:sz w:val="24"/>
          <w:szCs w:val="24"/>
        </w:rPr>
      </w:pPr>
      <w:r w:rsidRPr="00130145">
        <w:rPr>
          <w:rFonts w:ascii="Arial" w:hAnsi="Arial" w:cs="Arial"/>
          <w:sz w:val="24"/>
          <w:szCs w:val="24"/>
        </w:rPr>
        <w:t xml:space="preserve">Asian Development Bank (ADB). (2025) </w:t>
      </w:r>
      <w:r w:rsidRPr="00130145">
        <w:rPr>
          <w:rStyle w:val="Emphasis"/>
          <w:rFonts w:ascii="Arial" w:hAnsi="Arial" w:cs="Arial"/>
          <w:sz w:val="24"/>
          <w:szCs w:val="24"/>
        </w:rPr>
        <w:t>Mongolia economy remains strong — growth projected at 6.6% in 2025</w:t>
      </w:r>
      <w:r w:rsidRPr="00130145">
        <w:rPr>
          <w:rFonts w:ascii="Arial" w:hAnsi="Arial" w:cs="Arial"/>
          <w:sz w:val="24"/>
          <w:szCs w:val="24"/>
        </w:rPr>
        <w:t xml:space="preserve">. Available at: </w:t>
      </w:r>
      <w:hyperlink r:id="rId21" w:tgtFrame="_new" w:history="1">
        <w:r w:rsidRPr="00130145">
          <w:rPr>
            <w:rStyle w:val="Hyperlink"/>
            <w:rFonts w:ascii="Arial" w:hAnsi="Arial" w:cs="Arial"/>
            <w:color w:val="auto"/>
            <w:sz w:val="24"/>
            <w:szCs w:val="24"/>
          </w:rPr>
          <w:t>https://www.adb.org/news/mongolia-economy-remains-strong-growth-projected-6-6-2025-adb</w:t>
        </w:r>
      </w:hyperlink>
    </w:p>
    <w:p w14:paraId="14F456EA" w14:textId="77777777" w:rsidR="00F212DB" w:rsidRPr="00130145" w:rsidRDefault="00F212DB" w:rsidP="00F212DB">
      <w:pPr>
        <w:pStyle w:val="NormalWeb"/>
        <w:spacing w:line="360" w:lineRule="auto"/>
        <w:jc w:val="both"/>
        <w:rPr>
          <w:rFonts w:ascii="Arial" w:hAnsi="Arial" w:cs="Arial"/>
        </w:rPr>
      </w:pPr>
      <w:proofErr w:type="spellStart"/>
      <w:r w:rsidRPr="00130145">
        <w:rPr>
          <w:rFonts w:ascii="Arial" w:hAnsi="Arial" w:cs="Arial"/>
        </w:rPr>
        <w:t>DataReportal</w:t>
      </w:r>
      <w:proofErr w:type="spellEnd"/>
      <w:r w:rsidRPr="00130145">
        <w:rPr>
          <w:rFonts w:ascii="Arial" w:hAnsi="Arial" w:cs="Arial"/>
        </w:rPr>
        <w:t xml:space="preserve">. (2025) </w:t>
      </w:r>
      <w:r w:rsidRPr="00130145">
        <w:rPr>
          <w:rStyle w:val="Emphasis"/>
          <w:rFonts w:ascii="Arial" w:eastAsiaTheme="majorEastAsia" w:hAnsi="Arial" w:cs="Arial"/>
        </w:rPr>
        <w:t>Digital 2025: Mongolia</w:t>
      </w:r>
      <w:r w:rsidRPr="00130145">
        <w:rPr>
          <w:rFonts w:ascii="Arial" w:hAnsi="Arial" w:cs="Arial"/>
        </w:rPr>
        <w:t xml:space="preserve">. Available at: </w:t>
      </w:r>
      <w:hyperlink r:id="rId22" w:tgtFrame="_new" w:history="1">
        <w:r w:rsidRPr="00130145">
          <w:rPr>
            <w:rStyle w:val="Hyperlink"/>
            <w:rFonts w:ascii="Arial" w:hAnsi="Arial" w:cs="Arial"/>
            <w:color w:val="auto"/>
          </w:rPr>
          <w:t>https://datareportal.com/reports/digital-2025-mongolia</w:t>
        </w:r>
      </w:hyperlink>
      <w:r w:rsidRPr="00130145">
        <w:rPr>
          <w:rFonts w:ascii="Arial" w:hAnsi="Arial" w:cs="Arial"/>
        </w:rPr>
        <w:t xml:space="preserve"> </w:t>
      </w:r>
    </w:p>
    <w:p w14:paraId="7CB71716" w14:textId="77777777" w:rsidR="00F212DB" w:rsidRPr="00130145" w:rsidRDefault="00F212DB" w:rsidP="00F212DB">
      <w:pPr>
        <w:spacing w:line="360" w:lineRule="auto"/>
        <w:jc w:val="both"/>
        <w:rPr>
          <w:rFonts w:ascii="Arial" w:hAnsi="Arial" w:cs="Arial"/>
          <w:sz w:val="24"/>
          <w:szCs w:val="24"/>
          <w:shd w:val="clear" w:color="auto" w:fill="FFFFFF"/>
        </w:rPr>
      </w:pPr>
      <w:r w:rsidRPr="00130145">
        <w:rPr>
          <w:rFonts w:ascii="Arial" w:hAnsi="Arial" w:cs="Arial"/>
          <w:sz w:val="24"/>
          <w:szCs w:val="24"/>
        </w:rPr>
        <w:t xml:space="preserve">Diageo Plc. (2025) </w:t>
      </w:r>
      <w:r w:rsidRPr="00130145">
        <w:rPr>
          <w:rStyle w:val="Emphasis"/>
          <w:rFonts w:ascii="Arial" w:hAnsi="Arial" w:cs="Arial"/>
          <w:sz w:val="24"/>
          <w:szCs w:val="24"/>
        </w:rPr>
        <w:t>Annual Report 2025</w:t>
      </w:r>
      <w:r w:rsidRPr="00130145">
        <w:rPr>
          <w:rFonts w:ascii="Arial" w:hAnsi="Arial" w:cs="Arial"/>
          <w:sz w:val="24"/>
          <w:szCs w:val="24"/>
        </w:rPr>
        <w:t xml:space="preserve">. Available at: </w:t>
      </w:r>
      <w:hyperlink r:id="rId23" w:tgtFrame="_new" w:history="1">
        <w:r w:rsidRPr="00130145">
          <w:rPr>
            <w:rStyle w:val="Hyperlink"/>
            <w:rFonts w:ascii="Arial" w:hAnsi="Arial" w:cs="Arial"/>
            <w:color w:val="auto"/>
            <w:sz w:val="24"/>
            <w:szCs w:val="24"/>
          </w:rPr>
          <w:t>https://www.diageo.com/pdf-viewer.aspx?gid=307336661&amp;src=%2F%7E%2Fmedia%2FFiles%2FD%2FDiageo-V2%2FDiageo-Corp%2Finvestors%2Fresults-reports-and-events%2Fannual-reports%2F2025%2Fannual-report-2025.pdf</w:t>
        </w:r>
      </w:hyperlink>
    </w:p>
    <w:p w14:paraId="16FDB429" w14:textId="77777777" w:rsidR="00F212DB" w:rsidRPr="00130145" w:rsidRDefault="00F212DB" w:rsidP="00F212DB">
      <w:pPr>
        <w:spacing w:line="360" w:lineRule="auto"/>
        <w:jc w:val="both"/>
        <w:rPr>
          <w:rFonts w:ascii="Arial" w:hAnsi="Arial" w:cs="Arial"/>
          <w:sz w:val="24"/>
          <w:szCs w:val="24"/>
        </w:rPr>
      </w:pPr>
      <w:r w:rsidRPr="00130145">
        <w:rPr>
          <w:rFonts w:ascii="Arial" w:hAnsi="Arial" w:cs="Arial"/>
          <w:sz w:val="24"/>
          <w:szCs w:val="24"/>
        </w:rPr>
        <w:t xml:space="preserve">Expert Program Management. (2018) </w:t>
      </w:r>
      <w:r w:rsidRPr="00130145">
        <w:rPr>
          <w:rStyle w:val="Emphasis"/>
          <w:rFonts w:ascii="Arial" w:hAnsi="Arial" w:cs="Arial"/>
          <w:sz w:val="24"/>
          <w:szCs w:val="24"/>
        </w:rPr>
        <w:t>Porter Diamond Model – Explanation &amp; Examples</w:t>
      </w:r>
      <w:r w:rsidRPr="00130145">
        <w:rPr>
          <w:rFonts w:ascii="Arial" w:hAnsi="Arial" w:cs="Arial"/>
          <w:sz w:val="24"/>
          <w:szCs w:val="24"/>
        </w:rPr>
        <w:t xml:space="preserve">. Available at: </w:t>
      </w:r>
      <w:hyperlink r:id="rId24" w:tgtFrame="_new" w:history="1">
        <w:r w:rsidRPr="00130145">
          <w:rPr>
            <w:rStyle w:val="Hyperlink"/>
            <w:rFonts w:ascii="Arial" w:hAnsi="Arial" w:cs="Arial"/>
            <w:color w:val="auto"/>
            <w:sz w:val="24"/>
            <w:szCs w:val="24"/>
          </w:rPr>
          <w:t>https://expertprogrammanagement.com/2018/04/porter-diamond-model/</w:t>
        </w:r>
      </w:hyperlink>
    </w:p>
    <w:p w14:paraId="1DF54477" w14:textId="77777777" w:rsidR="00F212DB" w:rsidRPr="00130145" w:rsidRDefault="00F212DB" w:rsidP="00F212DB">
      <w:pPr>
        <w:spacing w:line="360" w:lineRule="auto"/>
        <w:jc w:val="both"/>
        <w:rPr>
          <w:rFonts w:ascii="Arial" w:hAnsi="Arial" w:cs="Arial"/>
          <w:sz w:val="24"/>
          <w:szCs w:val="24"/>
        </w:rPr>
      </w:pPr>
      <w:r w:rsidRPr="00130145">
        <w:rPr>
          <w:rFonts w:ascii="Arial" w:hAnsi="Arial" w:cs="Arial"/>
          <w:sz w:val="24"/>
          <w:szCs w:val="24"/>
        </w:rPr>
        <w:t xml:space="preserve">IMARC Group. (2024) </w:t>
      </w:r>
      <w:r w:rsidRPr="00130145">
        <w:rPr>
          <w:rStyle w:val="Emphasis"/>
          <w:rFonts w:ascii="Arial" w:hAnsi="Arial" w:cs="Arial"/>
          <w:sz w:val="24"/>
          <w:szCs w:val="24"/>
        </w:rPr>
        <w:t>Functional beverages market statistics 2025-2033</w:t>
      </w:r>
      <w:r w:rsidRPr="00130145">
        <w:rPr>
          <w:rFonts w:ascii="Arial" w:hAnsi="Arial" w:cs="Arial"/>
          <w:sz w:val="24"/>
          <w:szCs w:val="24"/>
        </w:rPr>
        <w:t xml:space="preserve">. Available at: </w:t>
      </w:r>
      <w:hyperlink r:id="rId25" w:tgtFrame="_new" w:history="1">
        <w:r w:rsidRPr="00130145">
          <w:rPr>
            <w:rStyle w:val="Hyperlink"/>
            <w:rFonts w:ascii="Arial" w:hAnsi="Arial" w:cs="Arial"/>
            <w:color w:val="auto"/>
            <w:sz w:val="24"/>
            <w:szCs w:val="24"/>
          </w:rPr>
          <w:t>https://www.imarcgroup.com/functional-beverages-market-statistics</w:t>
        </w:r>
      </w:hyperlink>
    </w:p>
    <w:p w14:paraId="65504C37" w14:textId="77777777" w:rsidR="00F212DB" w:rsidRPr="00130145" w:rsidRDefault="00F212DB" w:rsidP="00F212DB">
      <w:pPr>
        <w:spacing w:line="360" w:lineRule="auto"/>
        <w:jc w:val="both"/>
        <w:rPr>
          <w:rFonts w:ascii="Arial" w:hAnsi="Arial" w:cs="Arial"/>
          <w:sz w:val="24"/>
          <w:szCs w:val="24"/>
        </w:rPr>
      </w:pPr>
      <w:r w:rsidRPr="00130145">
        <w:rPr>
          <w:rFonts w:ascii="Arial" w:hAnsi="Arial" w:cs="Arial"/>
          <w:sz w:val="24"/>
          <w:szCs w:val="24"/>
        </w:rPr>
        <w:t xml:space="preserve">IoT Analytics. (2024) </w:t>
      </w:r>
      <w:r w:rsidRPr="00130145">
        <w:rPr>
          <w:rStyle w:val="Emphasis"/>
          <w:rFonts w:ascii="Arial" w:hAnsi="Arial" w:cs="Arial"/>
          <w:sz w:val="24"/>
          <w:szCs w:val="24"/>
        </w:rPr>
        <w:t>IoT market size – Global IoT market forecast &amp; statistics</w:t>
      </w:r>
      <w:r w:rsidRPr="00130145">
        <w:rPr>
          <w:rFonts w:ascii="Arial" w:hAnsi="Arial" w:cs="Arial"/>
          <w:sz w:val="24"/>
          <w:szCs w:val="24"/>
        </w:rPr>
        <w:t xml:space="preserve">. Available at: </w:t>
      </w:r>
      <w:hyperlink r:id="rId26" w:tgtFrame="_new" w:history="1">
        <w:r w:rsidRPr="00130145">
          <w:rPr>
            <w:rStyle w:val="Hyperlink"/>
            <w:rFonts w:ascii="Arial" w:hAnsi="Arial" w:cs="Arial"/>
            <w:color w:val="auto"/>
            <w:sz w:val="24"/>
            <w:szCs w:val="24"/>
          </w:rPr>
          <w:t>https://iot-analytics.com/iot-market-size/</w:t>
        </w:r>
      </w:hyperlink>
    </w:p>
    <w:p w14:paraId="5488C2A8" w14:textId="77777777" w:rsidR="00F212DB" w:rsidRPr="00130145" w:rsidRDefault="00F212DB" w:rsidP="00F212DB">
      <w:pPr>
        <w:pStyle w:val="NormalWeb"/>
        <w:spacing w:line="360" w:lineRule="auto"/>
        <w:jc w:val="both"/>
        <w:rPr>
          <w:rFonts w:ascii="Arial" w:hAnsi="Arial" w:cs="Arial"/>
        </w:rPr>
      </w:pPr>
      <w:proofErr w:type="spellStart"/>
      <w:r w:rsidRPr="00130145">
        <w:rPr>
          <w:rFonts w:ascii="Arial" w:hAnsi="Arial" w:cs="Arial"/>
        </w:rPr>
        <w:t>IQAir</w:t>
      </w:r>
      <w:proofErr w:type="spellEnd"/>
      <w:r w:rsidRPr="00130145">
        <w:rPr>
          <w:rFonts w:ascii="Arial" w:hAnsi="Arial" w:cs="Arial"/>
        </w:rPr>
        <w:t xml:space="preserve">. (2025) </w:t>
      </w:r>
      <w:r w:rsidRPr="00130145">
        <w:rPr>
          <w:rStyle w:val="Emphasis"/>
          <w:rFonts w:ascii="Arial" w:eastAsiaTheme="majorEastAsia" w:hAnsi="Arial" w:cs="Arial"/>
        </w:rPr>
        <w:t>Air quality and pollution data — Ulaanbaatar, Mongolia</w:t>
      </w:r>
      <w:r w:rsidRPr="00130145">
        <w:rPr>
          <w:rFonts w:ascii="Arial" w:hAnsi="Arial" w:cs="Arial"/>
        </w:rPr>
        <w:t xml:space="preserve">. Available at: </w:t>
      </w:r>
      <w:hyperlink r:id="rId27" w:tgtFrame="_new" w:history="1">
        <w:r w:rsidRPr="00130145">
          <w:rPr>
            <w:rStyle w:val="Hyperlink"/>
            <w:rFonts w:ascii="Arial" w:hAnsi="Arial" w:cs="Arial"/>
            <w:color w:val="auto"/>
          </w:rPr>
          <w:t>https://www.iqair.com/en/monitored-cities/mongolia/ulaanbaatar</w:t>
        </w:r>
      </w:hyperlink>
      <w:r w:rsidRPr="00130145">
        <w:rPr>
          <w:rFonts w:ascii="Arial" w:hAnsi="Arial" w:cs="Arial"/>
        </w:rPr>
        <w:t xml:space="preserve"> </w:t>
      </w:r>
    </w:p>
    <w:p w14:paraId="1DA0775B" w14:textId="77777777" w:rsidR="00F212DB" w:rsidRPr="00130145" w:rsidRDefault="00F212DB" w:rsidP="00F212DB">
      <w:pPr>
        <w:pStyle w:val="NormalWeb"/>
        <w:spacing w:line="360" w:lineRule="auto"/>
        <w:jc w:val="both"/>
        <w:rPr>
          <w:rFonts w:ascii="Arial" w:hAnsi="Arial" w:cs="Arial"/>
        </w:rPr>
      </w:pPr>
      <w:r w:rsidRPr="00130145">
        <w:rPr>
          <w:rFonts w:ascii="Arial" w:hAnsi="Arial" w:cs="Arial"/>
        </w:rPr>
        <w:t xml:space="preserve">World Bank. (2025a) </w:t>
      </w:r>
      <w:r w:rsidRPr="00130145">
        <w:rPr>
          <w:rStyle w:val="Emphasis"/>
          <w:rFonts w:ascii="Arial" w:eastAsiaTheme="majorEastAsia" w:hAnsi="Arial" w:cs="Arial"/>
        </w:rPr>
        <w:t>Mongolia – Country Overview</w:t>
      </w:r>
      <w:r w:rsidRPr="00130145">
        <w:rPr>
          <w:rFonts w:ascii="Arial" w:hAnsi="Arial" w:cs="Arial"/>
        </w:rPr>
        <w:t xml:space="preserve">. Available at: </w:t>
      </w:r>
      <w:hyperlink r:id="rId28" w:tgtFrame="_new" w:history="1">
        <w:r w:rsidRPr="00130145">
          <w:rPr>
            <w:rStyle w:val="Hyperlink"/>
            <w:rFonts w:ascii="Arial" w:hAnsi="Arial" w:cs="Arial"/>
            <w:color w:val="auto"/>
          </w:rPr>
          <w:t>https://www.worldbank.org/en/country/mongolia/overview</w:t>
        </w:r>
      </w:hyperlink>
      <w:r w:rsidRPr="00130145">
        <w:rPr>
          <w:rFonts w:ascii="Arial" w:hAnsi="Arial" w:cs="Arial"/>
        </w:rPr>
        <w:t xml:space="preserve"> </w:t>
      </w:r>
    </w:p>
    <w:p w14:paraId="300FAD1C" w14:textId="77777777" w:rsidR="00F212DB" w:rsidRPr="00130145" w:rsidRDefault="00F212DB" w:rsidP="00F212DB">
      <w:pPr>
        <w:pStyle w:val="NormalWeb"/>
        <w:spacing w:line="360" w:lineRule="auto"/>
        <w:jc w:val="both"/>
        <w:rPr>
          <w:rFonts w:ascii="Arial" w:hAnsi="Arial" w:cs="Arial"/>
        </w:rPr>
      </w:pPr>
      <w:r w:rsidRPr="00130145">
        <w:rPr>
          <w:rFonts w:ascii="Arial" w:hAnsi="Arial" w:cs="Arial"/>
        </w:rPr>
        <w:lastRenderedPageBreak/>
        <w:t xml:space="preserve">World Bank. (2025b) </w:t>
      </w:r>
      <w:r w:rsidRPr="00130145">
        <w:rPr>
          <w:rStyle w:val="Emphasis"/>
          <w:rFonts w:ascii="Arial" w:eastAsiaTheme="majorEastAsia" w:hAnsi="Arial" w:cs="Arial"/>
        </w:rPr>
        <w:t>Mongolia Data – GDP, population and other indicators</w:t>
      </w:r>
      <w:r w:rsidRPr="00130145">
        <w:rPr>
          <w:rFonts w:ascii="Arial" w:hAnsi="Arial" w:cs="Arial"/>
        </w:rPr>
        <w:t xml:space="preserve">. Available at: </w:t>
      </w:r>
      <w:hyperlink r:id="rId29" w:tgtFrame="_new" w:history="1">
        <w:r w:rsidRPr="00130145">
          <w:rPr>
            <w:rStyle w:val="Hyperlink"/>
            <w:rFonts w:ascii="Arial" w:hAnsi="Arial" w:cs="Arial"/>
            <w:color w:val="auto"/>
          </w:rPr>
          <w:t>https://data.worldbank.org/country/MN</w:t>
        </w:r>
      </w:hyperlink>
      <w:r w:rsidRPr="00130145">
        <w:rPr>
          <w:rFonts w:ascii="Arial" w:hAnsi="Arial" w:cs="Arial"/>
        </w:rPr>
        <w:t xml:space="preserve"> </w:t>
      </w:r>
    </w:p>
    <w:p w14:paraId="6470D6D9" w14:textId="77777777" w:rsidR="00F212DB" w:rsidRPr="004A5F36" w:rsidRDefault="00F212DB" w:rsidP="00F212DB">
      <w:pPr>
        <w:pStyle w:val="NormalWeb"/>
        <w:spacing w:line="360" w:lineRule="auto"/>
        <w:rPr>
          <w:rFonts w:ascii="Arial" w:hAnsi="Arial" w:cs="Arial"/>
          <w:b/>
        </w:rPr>
      </w:pPr>
    </w:p>
    <w:p w14:paraId="57EF2E34" w14:textId="77777777" w:rsidR="00F212DB" w:rsidRPr="00F212DB" w:rsidRDefault="00F212DB" w:rsidP="00F212DB"/>
    <w:sectPr w:rsidR="00F212DB" w:rsidRPr="00F212DB">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CC894" w14:textId="77777777" w:rsidR="00B96C8C" w:rsidRDefault="00B96C8C" w:rsidP="00F212DB">
      <w:pPr>
        <w:spacing w:after="0" w:line="240" w:lineRule="auto"/>
      </w:pPr>
      <w:r>
        <w:separator/>
      </w:r>
    </w:p>
  </w:endnote>
  <w:endnote w:type="continuationSeparator" w:id="0">
    <w:p w14:paraId="6C6CA945" w14:textId="77777777" w:rsidR="00B96C8C" w:rsidRDefault="00B96C8C" w:rsidP="00F21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22623077"/>
      <w:docPartObj>
        <w:docPartGallery w:val="Page Numbers (Bottom of Page)"/>
        <w:docPartUnique/>
      </w:docPartObj>
    </w:sdtPr>
    <w:sdtEndPr>
      <w:rPr>
        <w:noProof/>
      </w:rPr>
    </w:sdtEndPr>
    <w:sdtContent>
      <w:p w14:paraId="4A7D9083" w14:textId="77777777" w:rsidR="00F212DB" w:rsidRPr="00F212DB" w:rsidRDefault="00F212DB">
        <w:pPr>
          <w:pStyle w:val="Footer"/>
          <w:jc w:val="center"/>
          <w:rPr>
            <w:rFonts w:ascii="Arial" w:hAnsi="Arial" w:cs="Arial"/>
            <w:sz w:val="24"/>
            <w:szCs w:val="24"/>
          </w:rPr>
        </w:pPr>
        <w:r w:rsidRPr="00F212DB">
          <w:rPr>
            <w:rFonts w:ascii="Arial" w:hAnsi="Arial" w:cs="Arial"/>
            <w:sz w:val="24"/>
            <w:szCs w:val="24"/>
          </w:rPr>
          <w:fldChar w:fldCharType="begin"/>
        </w:r>
        <w:r w:rsidRPr="00F212DB">
          <w:rPr>
            <w:rFonts w:ascii="Arial" w:hAnsi="Arial" w:cs="Arial"/>
            <w:sz w:val="24"/>
            <w:szCs w:val="24"/>
          </w:rPr>
          <w:instrText xml:space="preserve"> PAGE   \* MERGEFORMAT </w:instrText>
        </w:r>
        <w:r w:rsidRPr="00F212DB">
          <w:rPr>
            <w:rFonts w:ascii="Arial" w:hAnsi="Arial" w:cs="Arial"/>
            <w:sz w:val="24"/>
            <w:szCs w:val="24"/>
          </w:rPr>
          <w:fldChar w:fldCharType="separate"/>
        </w:r>
        <w:r>
          <w:rPr>
            <w:rFonts w:ascii="Arial" w:hAnsi="Arial" w:cs="Arial"/>
            <w:noProof/>
            <w:sz w:val="24"/>
            <w:szCs w:val="24"/>
          </w:rPr>
          <w:t>3</w:t>
        </w:r>
        <w:r w:rsidRPr="00F212DB">
          <w:rPr>
            <w:rFonts w:ascii="Arial" w:hAnsi="Arial" w:cs="Arial"/>
            <w:noProof/>
            <w:sz w:val="24"/>
            <w:szCs w:val="24"/>
          </w:rPr>
          <w:fldChar w:fldCharType="end"/>
        </w:r>
      </w:p>
    </w:sdtContent>
  </w:sdt>
  <w:p w14:paraId="4E1DC835" w14:textId="77777777" w:rsidR="00F212DB" w:rsidRPr="00F212DB" w:rsidRDefault="00F212DB">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0A89C" w14:textId="77777777" w:rsidR="00B96C8C" w:rsidRDefault="00B96C8C" w:rsidP="00F212DB">
      <w:pPr>
        <w:spacing w:after="0" w:line="240" w:lineRule="auto"/>
      </w:pPr>
      <w:r>
        <w:separator/>
      </w:r>
    </w:p>
  </w:footnote>
  <w:footnote w:type="continuationSeparator" w:id="0">
    <w:p w14:paraId="51831CA3" w14:textId="77777777" w:rsidR="00B96C8C" w:rsidRDefault="00B96C8C" w:rsidP="00F212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3820"/>
    <w:rsid w:val="00080C88"/>
    <w:rsid w:val="000819B0"/>
    <w:rsid w:val="00177BEB"/>
    <w:rsid w:val="001B271D"/>
    <w:rsid w:val="002717BF"/>
    <w:rsid w:val="002C330D"/>
    <w:rsid w:val="003F4137"/>
    <w:rsid w:val="00463820"/>
    <w:rsid w:val="004D557F"/>
    <w:rsid w:val="005466D6"/>
    <w:rsid w:val="00583E91"/>
    <w:rsid w:val="005B3543"/>
    <w:rsid w:val="005D46A9"/>
    <w:rsid w:val="007733F0"/>
    <w:rsid w:val="007E15BA"/>
    <w:rsid w:val="00806565"/>
    <w:rsid w:val="00832C44"/>
    <w:rsid w:val="0090470C"/>
    <w:rsid w:val="00943F12"/>
    <w:rsid w:val="00B92186"/>
    <w:rsid w:val="00B95729"/>
    <w:rsid w:val="00B96C8C"/>
    <w:rsid w:val="00C530F2"/>
    <w:rsid w:val="00CC55CC"/>
    <w:rsid w:val="00E1716F"/>
    <w:rsid w:val="00E9414D"/>
    <w:rsid w:val="00EC2DAE"/>
    <w:rsid w:val="00F212DB"/>
    <w:rsid w:val="00F9680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C78A3"/>
  <w15:chartTrackingRefBased/>
  <w15:docId w15:val="{6E235790-6828-4C17-B732-96545995D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638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6382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047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820"/>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63820"/>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463820"/>
    <w:rPr>
      <w:b/>
      <w:bCs/>
    </w:rPr>
  </w:style>
  <w:style w:type="paragraph" w:styleId="NormalWeb">
    <w:name w:val="Normal (Web)"/>
    <w:basedOn w:val="Normal"/>
    <w:uiPriority w:val="99"/>
    <w:unhideWhenUsed/>
    <w:rsid w:val="0046382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ms-1">
    <w:name w:val="ms-1"/>
    <w:basedOn w:val="DefaultParagraphFont"/>
    <w:rsid w:val="00463820"/>
  </w:style>
  <w:style w:type="character" w:customStyle="1" w:styleId="max-w-15ch">
    <w:name w:val="max-w-[15ch]"/>
    <w:basedOn w:val="DefaultParagraphFont"/>
    <w:rsid w:val="00463820"/>
  </w:style>
  <w:style w:type="character" w:customStyle="1" w:styleId="-me-1">
    <w:name w:val="-me-1"/>
    <w:basedOn w:val="DefaultParagraphFont"/>
    <w:rsid w:val="00463820"/>
  </w:style>
  <w:style w:type="character" w:customStyle="1" w:styleId="Heading3Char">
    <w:name w:val="Heading 3 Char"/>
    <w:basedOn w:val="DefaultParagraphFont"/>
    <w:link w:val="Heading3"/>
    <w:uiPriority w:val="9"/>
    <w:semiHidden/>
    <w:rsid w:val="0090470C"/>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F212DB"/>
    <w:rPr>
      <w:i/>
      <w:iCs/>
    </w:rPr>
  </w:style>
  <w:style w:type="character" w:styleId="Hyperlink">
    <w:name w:val="Hyperlink"/>
    <w:basedOn w:val="DefaultParagraphFont"/>
    <w:uiPriority w:val="99"/>
    <w:unhideWhenUsed/>
    <w:rsid w:val="00F212DB"/>
    <w:rPr>
      <w:color w:val="0563C1" w:themeColor="hyperlink"/>
      <w:u w:val="single"/>
    </w:rPr>
  </w:style>
  <w:style w:type="paragraph" w:styleId="TOCHeading">
    <w:name w:val="TOC Heading"/>
    <w:basedOn w:val="Heading1"/>
    <w:next w:val="Normal"/>
    <w:uiPriority w:val="39"/>
    <w:unhideWhenUsed/>
    <w:qFormat/>
    <w:rsid w:val="00F212DB"/>
    <w:pPr>
      <w:outlineLvl w:val="9"/>
    </w:pPr>
    <w:rPr>
      <w:lang w:val="en-US"/>
    </w:rPr>
  </w:style>
  <w:style w:type="paragraph" w:styleId="TOC1">
    <w:name w:val="toc 1"/>
    <w:basedOn w:val="Normal"/>
    <w:next w:val="Normal"/>
    <w:autoRedefine/>
    <w:uiPriority w:val="39"/>
    <w:unhideWhenUsed/>
    <w:rsid w:val="00F212DB"/>
    <w:pPr>
      <w:spacing w:after="100"/>
    </w:pPr>
  </w:style>
  <w:style w:type="paragraph" w:styleId="TOC2">
    <w:name w:val="toc 2"/>
    <w:basedOn w:val="Normal"/>
    <w:next w:val="Normal"/>
    <w:autoRedefine/>
    <w:uiPriority w:val="39"/>
    <w:unhideWhenUsed/>
    <w:rsid w:val="00F212DB"/>
    <w:pPr>
      <w:spacing w:after="100"/>
      <w:ind w:left="220"/>
    </w:pPr>
  </w:style>
  <w:style w:type="paragraph" w:styleId="Header">
    <w:name w:val="header"/>
    <w:basedOn w:val="Normal"/>
    <w:link w:val="HeaderChar"/>
    <w:uiPriority w:val="99"/>
    <w:unhideWhenUsed/>
    <w:rsid w:val="00F21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2DB"/>
    <w:rPr>
      <w:lang w:val="en-GB"/>
    </w:rPr>
  </w:style>
  <w:style w:type="paragraph" w:styleId="Footer">
    <w:name w:val="footer"/>
    <w:basedOn w:val="Normal"/>
    <w:link w:val="FooterChar"/>
    <w:uiPriority w:val="99"/>
    <w:unhideWhenUsed/>
    <w:rsid w:val="00F21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2DB"/>
    <w:rPr>
      <w:lang w:val="en-GB"/>
    </w:rPr>
  </w:style>
  <w:style w:type="table" w:styleId="TableGrid">
    <w:name w:val="Table Grid"/>
    <w:basedOn w:val="TableNormal"/>
    <w:uiPriority w:val="59"/>
    <w:rsid w:val="00080C88"/>
    <w:pPr>
      <w:spacing w:after="0" w:line="240" w:lineRule="auto"/>
      <w:jc w:val="both"/>
    </w:pPr>
    <w:rPr>
      <w:rFonts w:ascii="Arial" w:eastAsia="Arial" w:hAnsi="Arial" w:cs="Arial"/>
      <w:sz w:val="24"/>
      <w:szCs w:val="24"/>
      <w:lang w:val="e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221962">
      <w:bodyDiv w:val="1"/>
      <w:marLeft w:val="0"/>
      <w:marRight w:val="0"/>
      <w:marTop w:val="0"/>
      <w:marBottom w:val="0"/>
      <w:divBdr>
        <w:top w:val="none" w:sz="0" w:space="0" w:color="auto"/>
        <w:left w:val="none" w:sz="0" w:space="0" w:color="auto"/>
        <w:bottom w:val="none" w:sz="0" w:space="0" w:color="auto"/>
        <w:right w:val="none" w:sz="0" w:space="0" w:color="auto"/>
      </w:divBdr>
    </w:div>
    <w:div w:id="525679022">
      <w:bodyDiv w:val="1"/>
      <w:marLeft w:val="0"/>
      <w:marRight w:val="0"/>
      <w:marTop w:val="0"/>
      <w:marBottom w:val="0"/>
      <w:divBdr>
        <w:top w:val="none" w:sz="0" w:space="0" w:color="auto"/>
        <w:left w:val="none" w:sz="0" w:space="0" w:color="auto"/>
        <w:bottom w:val="none" w:sz="0" w:space="0" w:color="auto"/>
        <w:right w:val="none" w:sz="0" w:space="0" w:color="auto"/>
      </w:divBdr>
    </w:div>
    <w:div w:id="1000354859">
      <w:bodyDiv w:val="1"/>
      <w:marLeft w:val="0"/>
      <w:marRight w:val="0"/>
      <w:marTop w:val="0"/>
      <w:marBottom w:val="0"/>
      <w:divBdr>
        <w:top w:val="none" w:sz="0" w:space="0" w:color="auto"/>
        <w:left w:val="none" w:sz="0" w:space="0" w:color="auto"/>
        <w:bottom w:val="none" w:sz="0" w:space="0" w:color="auto"/>
        <w:right w:val="none" w:sz="0" w:space="0" w:color="auto"/>
      </w:divBdr>
    </w:div>
    <w:div w:id="1373773987">
      <w:bodyDiv w:val="1"/>
      <w:marLeft w:val="0"/>
      <w:marRight w:val="0"/>
      <w:marTop w:val="0"/>
      <w:marBottom w:val="0"/>
      <w:divBdr>
        <w:top w:val="none" w:sz="0" w:space="0" w:color="auto"/>
        <w:left w:val="none" w:sz="0" w:space="0" w:color="auto"/>
        <w:bottom w:val="none" w:sz="0" w:space="0" w:color="auto"/>
        <w:right w:val="none" w:sz="0" w:space="0" w:color="auto"/>
      </w:divBdr>
    </w:div>
    <w:div w:id="212245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iot-analytics.com/iot-market-size/" TargetMode="External"/><Relationship Id="rId3" Type="http://schemas.openxmlformats.org/officeDocument/2006/relationships/customXml" Target="../customXml/item3.xml"/><Relationship Id="rId21" Type="http://schemas.openxmlformats.org/officeDocument/2006/relationships/hyperlink" Target="https://www.adb.org/news/mongolia-economy-remains-strong-growth-projected-6-6-2025-adb?utm_source=chatgpt.co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imarcgroup.com/functional-beverages-market-statistics"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linkedin.com/pulse/african-brands-leveraging-triple-bottom-line-adekoya-mba" TargetMode="External"/><Relationship Id="rId29" Type="http://schemas.openxmlformats.org/officeDocument/2006/relationships/hyperlink" Target="https://data.worldbank.org/country/M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expertprogrammanagement.com/2018/04/porter-diamond-model/"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diageo.com/pdf-viewer.aspx?gid=307336661&amp;src=%2F%7E%2Fmedia%2FFiles%2FD%2FDiageo-V2%2FDiageo-Corp%2Finvestors%2Fresults-reports-and-events%2Fannual-reports%2F2025%2Fannual-report-2025.pdf" TargetMode="External"/><Relationship Id="rId28" Type="http://schemas.openxmlformats.org/officeDocument/2006/relationships/hyperlink" Target="https://www.worldbank.org/en/country/mongolia/overview?utm_source=chatgpt.com"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datareportal.com/reports/digital-2025-mongolia?utm_source=chatgpt.com" TargetMode="External"/><Relationship Id="rId27" Type="http://schemas.openxmlformats.org/officeDocument/2006/relationships/hyperlink" Target="https://www.iqair.com/en/monitored-cities/mongolia/ulaanbaata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A28C5B0F54BD94388081AEE01156BBE" ma:contentTypeVersion="5" ma:contentTypeDescription="Create a new document." ma:contentTypeScope="" ma:versionID="af46859539780de073d008d8173fc230">
  <xsd:schema xmlns:xsd="http://www.w3.org/2001/XMLSchema" xmlns:xs="http://www.w3.org/2001/XMLSchema" xmlns:p="http://schemas.microsoft.com/office/2006/metadata/properties" xmlns:ns3="fb6054f3-0400-4163-8b5f-23c1ea17cdd5" targetNamespace="http://schemas.microsoft.com/office/2006/metadata/properties" ma:root="true" ma:fieldsID="54ddf10eeebff69861583a094df52903" ns3:_="">
    <xsd:import namespace="fb6054f3-0400-4163-8b5f-23c1ea17cdd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054f3-0400-4163-8b5f-23c1ea17cdd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b6054f3-0400-4163-8b5f-23c1ea17cdd5" xsi:nil="true"/>
  </documentManagement>
</p:properties>
</file>

<file path=customXml/itemProps1.xml><?xml version="1.0" encoding="utf-8"?>
<ds:datastoreItem xmlns:ds="http://schemas.openxmlformats.org/officeDocument/2006/customXml" ds:itemID="{2135A96F-D154-4E12-82A4-84B0A83652DE}">
  <ds:schemaRefs>
    <ds:schemaRef ds:uri="http://schemas.openxmlformats.org/officeDocument/2006/bibliography"/>
  </ds:schemaRefs>
</ds:datastoreItem>
</file>

<file path=customXml/itemProps2.xml><?xml version="1.0" encoding="utf-8"?>
<ds:datastoreItem xmlns:ds="http://schemas.openxmlformats.org/officeDocument/2006/customXml" ds:itemID="{0D6505F0-A3F8-45E4-893B-AA2EF169D9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054f3-0400-4163-8b5f-23c1ea17cd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86B5C9-34CB-408C-9CF3-30695F4C8B34}">
  <ds:schemaRefs>
    <ds:schemaRef ds:uri="http://schemas.microsoft.com/sharepoint/v3/contenttype/forms"/>
  </ds:schemaRefs>
</ds:datastoreItem>
</file>

<file path=customXml/itemProps4.xml><?xml version="1.0" encoding="utf-8"?>
<ds:datastoreItem xmlns:ds="http://schemas.openxmlformats.org/officeDocument/2006/customXml" ds:itemID="{AE41E9ED-41E1-476C-8887-B48E1E4F1E20}">
  <ds:schemaRefs>
    <ds:schemaRef ds:uri="http://schemas.microsoft.com/office/2006/metadata/properties"/>
    <ds:schemaRef ds:uri="http://www.w3.org/XML/1998/namespace"/>
    <ds:schemaRef ds:uri="http://purl.org/dc/dcmitype/"/>
    <ds:schemaRef ds:uri="http://purl.org/dc/elements/1.1/"/>
    <ds:schemaRef ds:uri="http://purl.org/dc/terms/"/>
    <ds:schemaRef ds:uri="http://schemas.microsoft.com/office/2006/documentManagement/types"/>
    <ds:schemaRef ds:uri="fb6054f3-0400-4163-8b5f-23c1ea17cdd5"/>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30</Pages>
  <Words>6896</Words>
  <Characters>39313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Masum Harishbhai Patel (2430264)</cp:lastModifiedBy>
  <cp:revision>14</cp:revision>
  <dcterms:created xsi:type="dcterms:W3CDTF">2025-12-21T19:03:00Z</dcterms:created>
  <dcterms:modified xsi:type="dcterms:W3CDTF">2025-12-21T19:17:00Z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0x0101008A28C5B0F54BD94388081AEE01156BBE</vt:lpwstr>
  </property>
</Properties>
</file>