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89CB1" w14:textId="77777777" w:rsidR="008914BE" w:rsidRPr="006B6D34" w:rsidRDefault="008914BE" w:rsidP="008914BE">
      <w:pPr>
        <w:spacing w:before="100" w:beforeAutospacing="1" w:after="100" w:afterAutospacing="1"/>
        <w:rPr>
          <w:rFonts w:cstheme="minorHAnsi"/>
          <w:b/>
          <w:color w:val="323130"/>
          <w:bdr w:val="none" w:sz="0" w:space="0" w:color="auto" w:frame="1"/>
          <w:shd w:val="clear" w:color="auto" w:fill="FFFFFF"/>
          <w:lang w:val="en-GB"/>
        </w:rPr>
      </w:pPr>
      <w:r w:rsidRPr="006B6D34">
        <w:rPr>
          <w:rFonts w:cstheme="minorHAnsi"/>
          <w:b/>
          <w:color w:val="323130"/>
          <w:bdr w:val="none" w:sz="0" w:space="0" w:color="auto" w:frame="1"/>
          <w:shd w:val="clear" w:color="auto" w:fill="FFFFFF"/>
          <w:lang w:val="en-GB"/>
        </w:rPr>
        <w:t>Is sacred space a human construct or a natural phenomenon? Discuss this question through a research project with reference to the work of at least three theorists.</w:t>
      </w:r>
    </w:p>
    <w:p w14:paraId="20AC3AF1" w14:textId="77777777" w:rsidR="008914BE" w:rsidRPr="006B6D34" w:rsidRDefault="008914BE" w:rsidP="008914BE">
      <w:pPr>
        <w:spacing w:before="100" w:beforeAutospacing="1" w:after="100" w:afterAutospacing="1"/>
        <w:rPr>
          <w:rFonts w:cstheme="minorHAnsi"/>
          <w:bCs/>
          <w:lang w:val="en-GB"/>
        </w:rPr>
      </w:pPr>
      <w:proofErr w:type="gramStart"/>
      <w:r w:rsidRPr="006B6D34">
        <w:rPr>
          <w:rFonts w:cstheme="minorHAnsi"/>
          <w:bCs/>
          <w:lang w:val="en-GB"/>
        </w:rPr>
        <w:t>5250 word</w:t>
      </w:r>
      <w:proofErr w:type="gramEnd"/>
      <w:r w:rsidRPr="006B6D34">
        <w:rPr>
          <w:rFonts w:cstheme="minorHAnsi"/>
          <w:bCs/>
          <w:lang w:val="en-GB"/>
        </w:rPr>
        <w:t xml:space="preserve"> essay</w:t>
      </w:r>
    </w:p>
    <w:p w14:paraId="257314CB" w14:textId="4871D718" w:rsidR="008914BE" w:rsidRPr="006B6D34" w:rsidRDefault="008914BE" w:rsidP="008914BE">
      <w:pPr>
        <w:spacing w:before="100" w:beforeAutospacing="1" w:after="100" w:afterAutospacing="1"/>
        <w:rPr>
          <w:rFonts w:cstheme="minorHAnsi"/>
          <w:b/>
          <w:color w:val="323130"/>
          <w:sz w:val="36"/>
          <w:szCs w:val="36"/>
          <w:bdr w:val="none" w:sz="0" w:space="0" w:color="auto" w:frame="1"/>
          <w:shd w:val="clear" w:color="auto" w:fill="FFFFFF"/>
          <w:lang w:val="en-GB"/>
        </w:rPr>
      </w:pPr>
      <w:r w:rsidRPr="006B6D34">
        <w:rPr>
          <w:rFonts w:cstheme="minorHAnsi"/>
          <w:b/>
          <w:color w:val="323130"/>
          <w:sz w:val="36"/>
          <w:szCs w:val="36"/>
          <w:bdr w:val="none" w:sz="0" w:space="0" w:color="auto" w:frame="1"/>
          <w:shd w:val="clear" w:color="auto" w:fill="FFFFFF"/>
          <w:lang w:val="en-GB"/>
        </w:rPr>
        <w:t>Was the mountain near Guggisberg once considered a Venus mountain and therefore represented a potentially culturally conflicting entity to the Christian Church of the area?</w:t>
      </w:r>
    </w:p>
    <w:p w14:paraId="1B95C138" w14:textId="77777777" w:rsidR="00B42A51" w:rsidRPr="006B6D34" w:rsidRDefault="00B42A51" w:rsidP="004861DD">
      <w:pPr>
        <w:spacing w:before="100" w:beforeAutospacing="1" w:after="100" w:afterAutospacing="1"/>
        <w:contextualSpacing/>
        <w:rPr>
          <w:rFonts w:cstheme="minorHAnsi"/>
          <w:color w:val="0070C0"/>
          <w:sz w:val="24"/>
          <w:szCs w:val="24"/>
          <w:lang w:val="en-GB"/>
        </w:rPr>
      </w:pPr>
    </w:p>
    <w:p w14:paraId="4B7380E6" w14:textId="365F8FE9" w:rsidR="00B42A51" w:rsidRPr="006B6D34" w:rsidRDefault="00B42A51" w:rsidP="004861DD">
      <w:pPr>
        <w:spacing w:before="100" w:beforeAutospacing="1" w:after="100" w:afterAutospacing="1"/>
        <w:contextualSpacing/>
        <w:rPr>
          <w:rFonts w:cstheme="minorHAnsi"/>
          <w:b/>
          <w:bCs/>
          <w:sz w:val="28"/>
          <w:szCs w:val="28"/>
          <w:lang w:val="en-GB"/>
        </w:rPr>
      </w:pPr>
      <w:r w:rsidRPr="006B6D34">
        <w:rPr>
          <w:rFonts w:cstheme="minorHAnsi"/>
          <w:b/>
          <w:bCs/>
          <w:sz w:val="28"/>
          <w:szCs w:val="28"/>
          <w:lang w:val="en-GB"/>
        </w:rPr>
        <w:t>Introduction</w:t>
      </w:r>
    </w:p>
    <w:p w14:paraId="3EB6CE79" w14:textId="77777777" w:rsidR="00A369EE" w:rsidRPr="006B6D34" w:rsidRDefault="00A369EE" w:rsidP="004861DD">
      <w:pPr>
        <w:spacing w:before="100" w:beforeAutospacing="1" w:after="100" w:afterAutospacing="1"/>
        <w:contextualSpacing/>
        <w:rPr>
          <w:rFonts w:cstheme="minorHAnsi"/>
          <w:color w:val="0070C0"/>
          <w:lang w:val="en-GB"/>
        </w:rPr>
      </w:pPr>
    </w:p>
    <w:p w14:paraId="41156ADC" w14:textId="48A289CE" w:rsidR="00374882" w:rsidRPr="006B6D34" w:rsidRDefault="0014642A" w:rsidP="001B414A">
      <w:pPr>
        <w:rPr>
          <w:rFonts w:cstheme="minorHAnsi"/>
          <w:bCs/>
          <w:bdr w:val="none" w:sz="0" w:space="0" w:color="auto" w:frame="1"/>
          <w:shd w:val="clear" w:color="auto" w:fill="FFFFFF"/>
          <w:lang w:val="en-GB"/>
        </w:rPr>
      </w:pPr>
      <w:r w:rsidRPr="006B6D34">
        <w:rPr>
          <w:rFonts w:cstheme="minorHAnsi"/>
          <w:bCs/>
          <w:bdr w:val="none" w:sz="0" w:space="0" w:color="auto" w:frame="1"/>
          <w:shd w:val="clear" w:color="auto" w:fill="FFFFFF"/>
          <w:lang w:val="en-GB"/>
        </w:rPr>
        <w:t xml:space="preserve">This essay examines </w:t>
      </w:r>
      <w:r w:rsidR="00C21E0F" w:rsidRPr="006B6D34">
        <w:rPr>
          <w:rFonts w:cstheme="minorHAnsi"/>
          <w:bCs/>
          <w:bdr w:val="none" w:sz="0" w:space="0" w:color="auto" w:frame="1"/>
          <w:shd w:val="clear" w:color="auto" w:fill="FFFFFF"/>
          <w:lang w:val="en-GB"/>
        </w:rPr>
        <w:t xml:space="preserve">the sacredness of the rock-and-hill configuration </w:t>
      </w:r>
      <w:r w:rsidR="0081516A" w:rsidRPr="006B6D34">
        <w:rPr>
          <w:rFonts w:cstheme="minorHAnsi"/>
          <w:bCs/>
          <w:bdr w:val="none" w:sz="0" w:space="0" w:color="auto" w:frame="1"/>
          <w:shd w:val="clear" w:color="auto" w:fill="FFFFFF"/>
          <w:lang w:val="en-GB"/>
        </w:rPr>
        <w:t>adjacent to the small village of Guggisberg</w:t>
      </w:r>
      <w:r w:rsidR="00C21E0F" w:rsidRPr="006B6D34">
        <w:rPr>
          <w:rFonts w:cstheme="minorHAnsi"/>
          <w:bCs/>
          <w:bdr w:val="none" w:sz="0" w:space="0" w:color="auto" w:frame="1"/>
          <w:shd w:val="clear" w:color="auto" w:fill="FFFFFF"/>
          <w:lang w:val="en-GB"/>
        </w:rPr>
        <w:t>, in the pre-</w:t>
      </w:r>
      <w:r w:rsidR="0046086C" w:rsidRPr="006B6D34">
        <w:rPr>
          <w:rFonts w:cstheme="minorHAnsi"/>
          <w:bCs/>
          <w:bdr w:val="none" w:sz="0" w:space="0" w:color="auto" w:frame="1"/>
          <w:shd w:val="clear" w:color="auto" w:fill="FFFFFF"/>
          <w:lang w:val="en-GB"/>
        </w:rPr>
        <w:t>a</w:t>
      </w:r>
      <w:r w:rsidR="00C21E0F" w:rsidRPr="006B6D34">
        <w:rPr>
          <w:rFonts w:cstheme="minorHAnsi"/>
          <w:bCs/>
          <w:bdr w:val="none" w:sz="0" w:space="0" w:color="auto" w:frame="1"/>
          <w:shd w:val="clear" w:color="auto" w:fill="FFFFFF"/>
          <w:lang w:val="en-GB"/>
        </w:rPr>
        <w:t>lpine region between Bern and Fribourg</w:t>
      </w:r>
      <w:r w:rsidR="00622EF2" w:rsidRPr="006B6D34">
        <w:rPr>
          <w:rFonts w:cstheme="minorHAnsi"/>
          <w:bCs/>
          <w:bdr w:val="none" w:sz="0" w:space="0" w:color="auto" w:frame="1"/>
          <w:shd w:val="clear" w:color="auto" w:fill="FFFFFF"/>
          <w:lang w:val="en-GB"/>
        </w:rPr>
        <w:t>,</w:t>
      </w:r>
      <w:r w:rsidR="0081516A" w:rsidRPr="006B6D34">
        <w:rPr>
          <w:rFonts w:cstheme="minorHAnsi"/>
          <w:bCs/>
          <w:bdr w:val="none" w:sz="0" w:space="0" w:color="auto" w:frame="1"/>
          <w:shd w:val="clear" w:color="auto" w:fill="FFFFFF"/>
          <w:lang w:val="en-GB"/>
        </w:rPr>
        <w:t xml:space="preserve"> </w:t>
      </w:r>
      <w:r w:rsidR="00622EF2" w:rsidRPr="006B6D34">
        <w:rPr>
          <w:rFonts w:cstheme="minorHAnsi"/>
          <w:bCs/>
          <w:bdr w:val="none" w:sz="0" w:space="0" w:color="auto" w:frame="1"/>
          <w:shd w:val="clear" w:color="auto" w:fill="FFFFFF"/>
          <w:lang w:val="en-GB"/>
        </w:rPr>
        <w:t>Switzerland</w:t>
      </w:r>
      <w:r w:rsidR="0081516A" w:rsidRPr="006B6D34">
        <w:rPr>
          <w:rFonts w:cstheme="minorHAnsi"/>
          <w:bCs/>
          <w:bdr w:val="none" w:sz="0" w:space="0" w:color="auto" w:frame="1"/>
          <w:shd w:val="clear" w:color="auto" w:fill="FFFFFF"/>
          <w:lang w:val="en-GB"/>
        </w:rPr>
        <w:t xml:space="preserve"> (Figure 1)</w:t>
      </w:r>
      <w:r w:rsidR="00C21E0F" w:rsidRPr="006B6D34">
        <w:rPr>
          <w:rFonts w:cstheme="minorHAnsi"/>
          <w:bCs/>
          <w:bdr w:val="none" w:sz="0" w:space="0" w:color="auto" w:frame="1"/>
          <w:shd w:val="clear" w:color="auto" w:fill="FFFFFF"/>
          <w:lang w:val="en-GB"/>
        </w:rPr>
        <w:t xml:space="preserve">. </w:t>
      </w:r>
      <w:r w:rsidR="005256F3" w:rsidRPr="006B6D34">
        <w:rPr>
          <w:rFonts w:cstheme="minorHAnsi"/>
          <w:bCs/>
          <w:bdr w:val="none" w:sz="0" w:space="0" w:color="auto" w:frame="1"/>
          <w:shd w:val="clear" w:color="auto" w:fill="FFFFFF"/>
          <w:lang w:val="en-GB"/>
        </w:rPr>
        <w:t>The rock-and-hill formation ‘</w:t>
      </w:r>
      <w:proofErr w:type="spellStart"/>
      <w:r w:rsidR="005256F3" w:rsidRPr="006B6D34">
        <w:rPr>
          <w:rFonts w:cstheme="minorHAnsi"/>
          <w:bCs/>
          <w:bdr w:val="none" w:sz="0" w:space="0" w:color="auto" w:frame="1"/>
          <w:shd w:val="clear" w:color="auto" w:fill="FFFFFF"/>
          <w:lang w:val="en-GB"/>
        </w:rPr>
        <w:t>Guggershornli</w:t>
      </w:r>
      <w:proofErr w:type="spellEnd"/>
      <w:r w:rsidR="005256F3" w:rsidRPr="006B6D34">
        <w:rPr>
          <w:rFonts w:cstheme="minorHAnsi"/>
          <w:bCs/>
          <w:bdr w:val="none" w:sz="0" w:space="0" w:color="auto" w:frame="1"/>
          <w:shd w:val="clear" w:color="auto" w:fill="FFFFFF"/>
          <w:lang w:val="en-GB"/>
        </w:rPr>
        <w:t>’ and ‘</w:t>
      </w:r>
      <w:proofErr w:type="spellStart"/>
      <w:r w:rsidR="005256F3" w:rsidRPr="006B6D34">
        <w:rPr>
          <w:rFonts w:cstheme="minorHAnsi"/>
          <w:bCs/>
          <w:bdr w:val="none" w:sz="0" w:space="0" w:color="auto" w:frame="1"/>
          <w:shd w:val="clear" w:color="auto" w:fill="FFFFFF"/>
          <w:lang w:val="en-GB"/>
        </w:rPr>
        <w:t>Schwendelberg</w:t>
      </w:r>
      <w:proofErr w:type="spellEnd"/>
      <w:r w:rsidR="005256F3" w:rsidRPr="006B6D34">
        <w:rPr>
          <w:rFonts w:cstheme="minorHAnsi"/>
          <w:bCs/>
          <w:bdr w:val="none" w:sz="0" w:space="0" w:color="auto" w:frame="1"/>
          <w:shd w:val="clear" w:color="auto" w:fill="FFFFFF"/>
          <w:lang w:val="en-GB"/>
        </w:rPr>
        <w:t xml:space="preserve">’ might once have been considered a Venusberg and thus viewed as sacred by the local people. Clearly visible from both the South and the North, yet embedded in the pre-alpine region of soft meadows before a backdrop of higher mountains, its silhouette resembles a lying pregnant woman, Kurt Derungs noted. </w:t>
      </w:r>
      <w:r w:rsidR="00A833ED" w:rsidRPr="006B6D34">
        <w:rPr>
          <w:rFonts w:cstheme="minorHAnsi"/>
          <w:bCs/>
          <w:bdr w:val="none" w:sz="0" w:space="0" w:color="auto" w:frame="1"/>
          <w:shd w:val="clear" w:color="auto" w:fill="FFFFFF"/>
          <w:lang w:val="en-GB"/>
        </w:rPr>
        <w:t>The idea that the rock-and-hill formation is sacred derives from the ancient Swiss folksong ‘the Guggisberg song’, which suggests it may be a Venusberg.</w:t>
      </w:r>
      <w:r w:rsidR="00A833ED" w:rsidRPr="006B6D34">
        <w:rPr>
          <w:rStyle w:val="Funotenzeichen"/>
          <w:rFonts w:cstheme="minorHAnsi"/>
          <w:bCs/>
          <w:bdr w:val="none" w:sz="0" w:space="0" w:color="auto" w:frame="1"/>
          <w:shd w:val="clear" w:color="auto" w:fill="FFFFFF"/>
          <w:lang w:val="en-GB"/>
        </w:rPr>
        <w:footnoteReference w:id="1"/>
      </w:r>
      <w:r w:rsidR="00A833ED" w:rsidRPr="006B6D34">
        <w:rPr>
          <w:rFonts w:cstheme="minorHAnsi"/>
          <w:bCs/>
          <w:bdr w:val="none" w:sz="0" w:space="0" w:color="auto" w:frame="1"/>
          <w:shd w:val="clear" w:color="auto" w:fill="FFFFFF"/>
          <w:lang w:val="en-GB"/>
        </w:rPr>
        <w:t xml:space="preserve"> </w:t>
      </w:r>
      <w:r w:rsidR="005256F3" w:rsidRPr="00A833ED">
        <w:rPr>
          <w:rFonts w:cstheme="minorHAnsi"/>
          <w:bCs/>
          <w:bdr w:val="none" w:sz="0" w:space="0" w:color="auto" w:frame="1"/>
          <w:shd w:val="clear" w:color="auto" w:fill="FFFFFF"/>
          <w:lang w:val="en-GB"/>
        </w:rPr>
        <w:t>Based on the Guggisberg song, which links it to Venus via the name of the song's protagonist, he claimed that it was related to a possible ancient belief in a pagan landscape goddess.</w:t>
      </w:r>
      <w:r w:rsidR="005256F3" w:rsidRPr="00A833ED">
        <w:rPr>
          <w:rStyle w:val="Funotenzeichen"/>
          <w:rFonts w:cstheme="minorHAnsi"/>
          <w:bCs/>
          <w:bdr w:val="none" w:sz="0" w:space="0" w:color="auto" w:frame="1"/>
          <w:shd w:val="clear" w:color="auto" w:fill="FFFFFF"/>
          <w:lang w:val="en-GB"/>
        </w:rPr>
        <w:footnoteReference w:id="2"/>
      </w:r>
      <w:r w:rsidR="005256F3" w:rsidRPr="00A833ED">
        <w:rPr>
          <w:rFonts w:cstheme="minorHAnsi"/>
          <w:bCs/>
          <w:bdr w:val="none" w:sz="0" w:space="0" w:color="auto" w:frame="1"/>
          <w:shd w:val="clear" w:color="auto" w:fill="FFFFFF"/>
          <w:lang w:val="en-GB"/>
        </w:rPr>
        <w:t xml:space="preserve"> </w:t>
      </w:r>
      <w:r w:rsidR="001B414A" w:rsidRPr="006B6D34">
        <w:rPr>
          <w:rFonts w:cstheme="minorHAnsi"/>
          <w:bCs/>
          <w:bdr w:val="none" w:sz="0" w:space="0" w:color="auto" w:frame="1"/>
          <w:shd w:val="clear" w:color="auto" w:fill="FFFFFF"/>
          <w:lang w:val="en-GB"/>
        </w:rPr>
        <w:t xml:space="preserve">Mountains have historically been assessed based on their position within the landscape and the extent to which their elevation stands out relative to the surrounding terrain, </w:t>
      </w:r>
      <w:r w:rsidR="0042285A" w:rsidRPr="006B6D34">
        <w:rPr>
          <w:rFonts w:cstheme="minorHAnsi"/>
          <w:bCs/>
          <w:bdr w:val="none" w:sz="0" w:space="0" w:color="auto" w:frame="1"/>
          <w:shd w:val="clear" w:color="auto" w:fill="FFFFFF"/>
          <w:lang w:val="en-GB"/>
        </w:rPr>
        <w:t>Gunzburg and Brady</w:t>
      </w:r>
      <w:r w:rsidR="00B4124A" w:rsidRPr="006B6D34">
        <w:rPr>
          <w:rFonts w:cstheme="minorHAnsi"/>
          <w:bCs/>
          <w:bdr w:val="none" w:sz="0" w:space="0" w:color="auto" w:frame="1"/>
          <w:shd w:val="clear" w:color="auto" w:fill="FFFFFF"/>
          <w:lang w:val="en-GB"/>
        </w:rPr>
        <w:t xml:space="preserve"> argued</w:t>
      </w:r>
      <w:r w:rsidR="001B414A" w:rsidRPr="006B6D34">
        <w:rPr>
          <w:rFonts w:cstheme="minorHAnsi"/>
          <w:bCs/>
          <w:bdr w:val="none" w:sz="0" w:space="0" w:color="auto" w:frame="1"/>
          <w:shd w:val="clear" w:color="auto" w:fill="FFFFFF"/>
          <w:lang w:val="en-GB"/>
        </w:rPr>
        <w:t>.</w:t>
      </w:r>
      <w:r w:rsidR="001B414A" w:rsidRPr="006B6D34">
        <w:rPr>
          <w:rStyle w:val="Funotenzeichen"/>
          <w:rFonts w:cstheme="minorHAnsi"/>
          <w:bCs/>
          <w:bdr w:val="none" w:sz="0" w:space="0" w:color="auto" w:frame="1"/>
          <w:shd w:val="clear" w:color="auto" w:fill="FFFFFF"/>
          <w:lang w:val="en-GB"/>
        </w:rPr>
        <w:footnoteReference w:id="3"/>
      </w:r>
      <w:r w:rsidR="001B414A" w:rsidRPr="006B6D34">
        <w:rPr>
          <w:rFonts w:cstheme="minorHAnsi"/>
          <w:bCs/>
          <w:bdr w:val="none" w:sz="0" w:space="0" w:color="auto" w:frame="1"/>
          <w:shd w:val="clear" w:color="auto" w:fill="FFFFFF"/>
          <w:lang w:val="en-GB"/>
        </w:rPr>
        <w:t xml:space="preserve"> </w:t>
      </w:r>
      <w:r w:rsidR="00B4124A" w:rsidRPr="006B6D34">
        <w:rPr>
          <w:rFonts w:cstheme="minorHAnsi"/>
          <w:bCs/>
          <w:bdr w:val="none" w:sz="0" w:space="0" w:color="auto" w:frame="1"/>
          <w:shd w:val="clear" w:color="auto" w:fill="FFFFFF"/>
          <w:lang w:val="en-GB"/>
        </w:rPr>
        <w:t>Today,</w:t>
      </w:r>
      <w:r w:rsidR="002B4289" w:rsidRPr="006B6D34">
        <w:rPr>
          <w:rFonts w:cstheme="minorHAnsi"/>
          <w:bCs/>
          <w:bdr w:val="none" w:sz="0" w:space="0" w:color="auto" w:frame="1"/>
          <w:shd w:val="clear" w:color="auto" w:fill="FFFFFF"/>
          <w:lang w:val="en-GB"/>
        </w:rPr>
        <w:t xml:space="preserve"> the rock-and-hill formation is marketed by the area’s tourist office, which features a local museum and several hiking trails that portray the song’s narrative of</w:t>
      </w:r>
      <w:r w:rsidR="00B4124A" w:rsidRPr="006B6D34">
        <w:rPr>
          <w:rFonts w:cstheme="minorHAnsi"/>
          <w:bCs/>
          <w:bdr w:val="none" w:sz="0" w:space="0" w:color="auto" w:frame="1"/>
          <w:shd w:val="clear" w:color="auto" w:fill="FFFFFF"/>
          <w:lang w:val="en-GB"/>
        </w:rPr>
        <w:t xml:space="preserve"> an alleged tragic </w:t>
      </w:r>
      <w:r w:rsidR="00703B1B" w:rsidRPr="006B6D34">
        <w:rPr>
          <w:rFonts w:cstheme="minorHAnsi"/>
          <w:bCs/>
          <w:bdr w:val="none" w:sz="0" w:space="0" w:color="auto" w:frame="1"/>
          <w:shd w:val="clear" w:color="auto" w:fill="FFFFFF"/>
          <w:lang w:val="en-GB"/>
        </w:rPr>
        <w:t>love story between two locals</w:t>
      </w:r>
      <w:r w:rsidR="00B4124A" w:rsidRPr="006B6D34">
        <w:rPr>
          <w:rFonts w:cstheme="minorHAnsi"/>
          <w:bCs/>
          <w:bdr w:val="none" w:sz="0" w:space="0" w:color="auto" w:frame="1"/>
          <w:shd w:val="clear" w:color="auto" w:fill="FFFFFF"/>
          <w:lang w:val="en-GB"/>
        </w:rPr>
        <w:t xml:space="preserve"> in the eighteenth century.</w:t>
      </w:r>
      <w:r w:rsidR="00703B1B" w:rsidRPr="006B6D34">
        <w:rPr>
          <w:rFonts w:cstheme="minorHAnsi"/>
          <w:bCs/>
          <w:bdr w:val="none" w:sz="0" w:space="0" w:color="auto" w:frame="1"/>
          <w:shd w:val="clear" w:color="auto" w:fill="FFFFFF"/>
          <w:lang w:val="en-GB"/>
        </w:rPr>
        <w:t xml:space="preserve"> The song is well known throughout Switzerland and is one of the most beautiful and oldest folk songs, according to Otto von Greyerz.</w:t>
      </w:r>
      <w:r w:rsidR="00703B1B" w:rsidRPr="006B6D34">
        <w:rPr>
          <w:rStyle w:val="Funotenzeichen"/>
          <w:rFonts w:cstheme="minorHAnsi"/>
          <w:bCs/>
          <w:bdr w:val="none" w:sz="0" w:space="0" w:color="auto" w:frame="1"/>
          <w:shd w:val="clear" w:color="auto" w:fill="FFFFFF"/>
          <w:lang w:val="en-GB"/>
        </w:rPr>
        <w:footnoteReference w:id="4"/>
      </w:r>
      <w:r w:rsidR="00703B1B" w:rsidRPr="006B6D34">
        <w:rPr>
          <w:rFonts w:cstheme="minorHAnsi"/>
          <w:bCs/>
          <w:bdr w:val="none" w:sz="0" w:space="0" w:color="auto" w:frame="1"/>
          <w:shd w:val="clear" w:color="auto" w:fill="FFFFFF"/>
          <w:lang w:val="en-GB"/>
        </w:rPr>
        <w:t xml:space="preserve"> </w:t>
      </w:r>
      <w:r w:rsidR="002B4289" w:rsidRPr="006B6D34">
        <w:rPr>
          <w:rFonts w:cstheme="minorHAnsi"/>
          <w:bCs/>
          <w:bdr w:val="none" w:sz="0" w:space="0" w:color="auto" w:frame="1"/>
          <w:shd w:val="clear" w:color="auto" w:fill="FFFFFF"/>
          <w:lang w:val="en-GB"/>
        </w:rPr>
        <w:t xml:space="preserve">The idea that the themes of love </w:t>
      </w:r>
      <w:r w:rsidR="002957E9" w:rsidRPr="006B6D34">
        <w:rPr>
          <w:rFonts w:cstheme="minorHAnsi"/>
          <w:bCs/>
          <w:bdr w:val="none" w:sz="0" w:space="0" w:color="auto" w:frame="1"/>
          <w:shd w:val="clear" w:color="auto" w:fill="FFFFFF"/>
          <w:lang w:val="en-GB"/>
        </w:rPr>
        <w:t>in the region may be older</w:t>
      </w:r>
      <w:r w:rsidR="002B4289" w:rsidRPr="006B6D34">
        <w:rPr>
          <w:rFonts w:cstheme="minorHAnsi"/>
          <w:bCs/>
          <w:bdr w:val="none" w:sz="0" w:space="0" w:color="auto" w:frame="1"/>
          <w:shd w:val="clear" w:color="auto" w:fill="FFFFFF"/>
          <w:lang w:val="en-GB"/>
        </w:rPr>
        <w:t xml:space="preserve"> and involve</w:t>
      </w:r>
      <w:r w:rsidR="002957E9" w:rsidRPr="006B6D34">
        <w:rPr>
          <w:rFonts w:cstheme="minorHAnsi"/>
          <w:bCs/>
          <w:bdr w:val="none" w:sz="0" w:space="0" w:color="auto" w:frame="1"/>
          <w:shd w:val="clear" w:color="auto" w:fill="FFFFFF"/>
          <w:lang w:val="en-GB"/>
        </w:rPr>
        <w:t xml:space="preserve"> the once-revered</w:t>
      </w:r>
      <w:r w:rsidR="002B4289" w:rsidRPr="006B6D34">
        <w:rPr>
          <w:rFonts w:cstheme="minorHAnsi"/>
          <w:bCs/>
          <w:bdr w:val="none" w:sz="0" w:space="0" w:color="auto" w:frame="1"/>
          <w:shd w:val="clear" w:color="auto" w:fill="FFFFFF"/>
          <w:lang w:val="en-GB"/>
        </w:rPr>
        <w:t xml:space="preserve"> ‘Frau Venus’, the Roman goddess</w:t>
      </w:r>
      <w:r w:rsidR="002957E9" w:rsidRPr="006B6D34">
        <w:rPr>
          <w:rFonts w:cstheme="minorHAnsi"/>
          <w:bCs/>
          <w:bdr w:val="none" w:sz="0" w:space="0" w:color="auto" w:frame="1"/>
          <w:shd w:val="clear" w:color="auto" w:fill="FFFFFF"/>
          <w:lang w:val="en-GB"/>
        </w:rPr>
        <w:t xml:space="preserve"> and protector of love and bringer of abundance, is suggested by various sources. </w:t>
      </w:r>
      <w:r w:rsidR="00B37AA1" w:rsidRPr="006B6D34">
        <w:rPr>
          <w:rFonts w:cstheme="minorHAnsi"/>
          <w:bCs/>
          <w:bdr w:val="none" w:sz="0" w:space="0" w:color="auto" w:frame="1"/>
          <w:shd w:val="clear" w:color="auto" w:fill="FFFFFF"/>
          <w:lang w:val="en-GB"/>
        </w:rPr>
        <w:t>This Roman goddess, Ronald Hutton argued, evolved into a familiar character in medieval romantic literature</w:t>
      </w:r>
      <w:r w:rsidR="002957E9" w:rsidRPr="006B6D34">
        <w:rPr>
          <w:rFonts w:cstheme="minorHAnsi"/>
          <w:bCs/>
          <w:bdr w:val="none" w:sz="0" w:space="0" w:color="auto" w:frame="1"/>
          <w:shd w:val="clear" w:color="auto" w:fill="FFFFFF"/>
          <w:lang w:val="en-GB"/>
        </w:rPr>
        <w:t xml:space="preserve"> and b</w:t>
      </w:r>
      <w:r w:rsidR="00B37AA1" w:rsidRPr="006B6D34">
        <w:rPr>
          <w:rFonts w:cstheme="minorHAnsi"/>
          <w:bCs/>
          <w:bdr w:val="none" w:sz="0" w:space="0" w:color="auto" w:frame="1"/>
          <w:shd w:val="clear" w:color="auto" w:fill="FFFFFF"/>
          <w:lang w:val="en-GB"/>
        </w:rPr>
        <w:t xml:space="preserve">y the 14th century, </w:t>
      </w:r>
      <w:r w:rsidR="002957E9" w:rsidRPr="006B6D34">
        <w:rPr>
          <w:rFonts w:cstheme="minorHAnsi"/>
          <w:bCs/>
          <w:bdr w:val="none" w:sz="0" w:space="0" w:color="auto" w:frame="1"/>
          <w:shd w:val="clear" w:color="auto" w:fill="FFFFFF"/>
          <w:lang w:val="en-GB"/>
        </w:rPr>
        <w:t>stories</w:t>
      </w:r>
      <w:r w:rsidR="00B37AA1" w:rsidRPr="006B6D34">
        <w:rPr>
          <w:rFonts w:cstheme="minorHAnsi"/>
          <w:bCs/>
          <w:bdr w:val="none" w:sz="0" w:space="0" w:color="auto" w:frame="1"/>
          <w:shd w:val="clear" w:color="auto" w:fill="FFFFFF"/>
          <w:lang w:val="en-GB"/>
        </w:rPr>
        <w:t xml:space="preserve"> commonly placed her court in a mountain, the Venusberg.</w:t>
      </w:r>
      <w:r w:rsidR="00B37AA1" w:rsidRPr="006B6D34">
        <w:rPr>
          <w:rStyle w:val="Funotenzeichen"/>
          <w:rFonts w:cstheme="minorHAnsi"/>
          <w:bCs/>
          <w:bdr w:val="none" w:sz="0" w:space="0" w:color="auto" w:frame="1"/>
          <w:shd w:val="clear" w:color="auto" w:fill="FFFFFF"/>
          <w:lang w:val="en-GB"/>
        </w:rPr>
        <w:footnoteReference w:id="5"/>
      </w:r>
      <w:r w:rsidR="00B37AA1" w:rsidRPr="006B6D34">
        <w:rPr>
          <w:rFonts w:cstheme="minorHAnsi"/>
          <w:bCs/>
          <w:bdr w:val="none" w:sz="0" w:space="0" w:color="auto" w:frame="1"/>
          <w:shd w:val="clear" w:color="auto" w:fill="FFFFFF"/>
          <w:lang w:val="en-GB"/>
        </w:rPr>
        <w:t xml:space="preserve"> </w:t>
      </w:r>
      <w:r w:rsidR="002957E9" w:rsidRPr="006B6D34">
        <w:rPr>
          <w:rFonts w:cstheme="minorHAnsi"/>
          <w:bCs/>
          <w:bdr w:val="none" w:sz="0" w:space="0" w:color="auto" w:frame="1"/>
          <w:shd w:val="clear" w:color="auto" w:fill="FFFFFF"/>
          <w:lang w:val="en-GB"/>
        </w:rPr>
        <w:t xml:space="preserve">A few centuries earlier, not far from the rock-and-hill formation, the first German-speaking monastery of the Cluny abbey was founded. Therefore, the question of whether the rock-and-hill formation was ascribed </w:t>
      </w:r>
      <w:r w:rsidR="00B63F61" w:rsidRPr="006B6D34">
        <w:rPr>
          <w:rFonts w:cstheme="minorHAnsi"/>
          <w:bCs/>
          <w:bdr w:val="none" w:sz="0" w:space="0" w:color="auto" w:frame="1"/>
          <w:shd w:val="clear" w:color="auto" w:fill="FFFFFF"/>
          <w:lang w:val="en-GB"/>
        </w:rPr>
        <w:t>sacredness by the locals as the palace of the goddess Venus, or whether it was regarded as possessing</w:t>
      </w:r>
      <w:r w:rsidR="002957E9" w:rsidRPr="006B6D34">
        <w:rPr>
          <w:rFonts w:cstheme="minorHAnsi"/>
          <w:bCs/>
          <w:bdr w:val="none" w:sz="0" w:space="0" w:color="auto" w:frame="1"/>
          <w:shd w:val="clear" w:color="auto" w:fill="FFFFFF"/>
          <w:lang w:val="en-GB"/>
        </w:rPr>
        <w:t xml:space="preserve"> agency,</w:t>
      </w:r>
      <w:r w:rsidR="00961FB9" w:rsidRPr="006B6D34">
        <w:rPr>
          <w:rFonts w:cstheme="minorHAnsi"/>
          <w:bCs/>
          <w:bdr w:val="none" w:sz="0" w:space="0" w:color="auto" w:frame="1"/>
          <w:shd w:val="clear" w:color="auto" w:fill="FFFFFF"/>
          <w:lang w:val="en-GB"/>
        </w:rPr>
        <w:t xml:space="preserve"> will be examined against the backdrop of the region's folkloric and ecclesiastical traditions</w:t>
      </w:r>
      <w:r w:rsidR="00214121" w:rsidRPr="006B6D34">
        <w:rPr>
          <w:rFonts w:cstheme="minorHAnsi"/>
          <w:bCs/>
          <w:bdr w:val="none" w:sz="0" w:space="0" w:color="auto" w:frame="1"/>
          <w:shd w:val="clear" w:color="auto" w:fill="FFFFFF"/>
          <w:lang w:val="en-GB"/>
        </w:rPr>
        <w:t xml:space="preserve"> as well as the key theorists on sacred geography.</w:t>
      </w:r>
      <w:r w:rsidR="002957E9" w:rsidRPr="006B6D34">
        <w:rPr>
          <w:rFonts w:cstheme="minorHAnsi"/>
          <w:bCs/>
          <w:bdr w:val="none" w:sz="0" w:space="0" w:color="auto" w:frame="1"/>
          <w:shd w:val="clear" w:color="auto" w:fill="FFFFFF"/>
          <w:lang w:val="en-GB"/>
        </w:rPr>
        <w:t xml:space="preserve"> </w:t>
      </w:r>
    </w:p>
    <w:p w14:paraId="77CD0915" w14:textId="77777777" w:rsidR="0046086C" w:rsidRPr="006B6D34" w:rsidRDefault="0046086C" w:rsidP="0046086C">
      <w:pPr>
        <w:keepNext/>
        <w:jc w:val="center"/>
        <w:rPr>
          <w:rFonts w:cstheme="minorHAnsi"/>
        </w:rPr>
      </w:pPr>
      <w:r w:rsidRPr="006B6D34">
        <w:rPr>
          <w:rFonts w:cstheme="minorHAnsi"/>
          <w:noProof/>
        </w:rPr>
        <w:lastRenderedPageBreak/>
        <w:drawing>
          <wp:inline distT="0" distB="0" distL="0" distR="0" wp14:anchorId="14BC8972" wp14:editId="1FF1A20C">
            <wp:extent cx="3782786" cy="3748594"/>
            <wp:effectExtent l="0" t="0" r="8255" b="4445"/>
            <wp:docPr id="5" name="Grafik 4">
              <a:extLst xmlns:a="http://schemas.openxmlformats.org/drawingml/2006/main">
                <a:ext uri="{FF2B5EF4-FFF2-40B4-BE49-F238E27FC236}">
                  <a16:creationId xmlns:a16="http://schemas.microsoft.com/office/drawing/2014/main" id="{F4D2115B-8CC0-5AB0-B391-1E4A5507AB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4">
                      <a:extLst>
                        <a:ext uri="{FF2B5EF4-FFF2-40B4-BE49-F238E27FC236}">
                          <a16:creationId xmlns:a16="http://schemas.microsoft.com/office/drawing/2014/main" id="{F4D2115B-8CC0-5AB0-B391-1E4A5507ABF0}"/>
                        </a:ext>
                      </a:extLst>
                    </pic:cNvPr>
                    <pic:cNvPicPr>
                      <a:picLocks noChangeAspect="1"/>
                    </pic:cNvPicPr>
                  </pic:nvPicPr>
                  <pic:blipFill>
                    <a:blip r:embed="rId7"/>
                    <a:stretch>
                      <a:fillRect/>
                    </a:stretch>
                  </pic:blipFill>
                  <pic:spPr>
                    <a:xfrm>
                      <a:off x="0" y="0"/>
                      <a:ext cx="3798295" cy="3763963"/>
                    </a:xfrm>
                    <a:prstGeom prst="rect">
                      <a:avLst/>
                    </a:prstGeom>
                  </pic:spPr>
                </pic:pic>
              </a:graphicData>
            </a:graphic>
          </wp:inline>
        </w:drawing>
      </w:r>
    </w:p>
    <w:p w14:paraId="4725A389" w14:textId="635456B1" w:rsidR="0046086C" w:rsidRPr="006B6D34" w:rsidRDefault="0046086C" w:rsidP="0046086C">
      <w:pPr>
        <w:pStyle w:val="Beschriftung"/>
        <w:jc w:val="center"/>
        <w:rPr>
          <w:rFonts w:cstheme="minorHAnsi"/>
          <w:bCs/>
          <w:bdr w:val="none" w:sz="0" w:space="0" w:color="auto" w:frame="1"/>
          <w:shd w:val="clear" w:color="auto" w:fill="FFFFFF"/>
          <w:lang w:val="en-GB"/>
        </w:rPr>
      </w:pPr>
      <w:r w:rsidRPr="006B6D34">
        <w:rPr>
          <w:rFonts w:cstheme="minorHAnsi"/>
          <w:lang w:val="en-GB"/>
        </w:rPr>
        <w:t xml:space="preserve">Figure </w:t>
      </w:r>
      <w:r w:rsidRPr="006B6D34">
        <w:rPr>
          <w:rFonts w:cstheme="minorHAnsi"/>
        </w:rPr>
        <w:fldChar w:fldCharType="begin"/>
      </w:r>
      <w:r w:rsidRPr="006B6D34">
        <w:rPr>
          <w:rFonts w:cstheme="minorHAnsi"/>
          <w:lang w:val="en-GB"/>
        </w:rPr>
        <w:instrText xml:space="preserve"> SEQ Figure \* ARABIC </w:instrText>
      </w:r>
      <w:r w:rsidRPr="006B6D34">
        <w:rPr>
          <w:rFonts w:cstheme="minorHAnsi"/>
        </w:rPr>
        <w:fldChar w:fldCharType="separate"/>
      </w:r>
      <w:r w:rsidR="0074233F" w:rsidRPr="006B6D34">
        <w:rPr>
          <w:rFonts w:cstheme="minorHAnsi"/>
          <w:noProof/>
          <w:lang w:val="en-GB"/>
        </w:rPr>
        <w:t>1</w:t>
      </w:r>
      <w:r w:rsidRPr="006B6D34">
        <w:rPr>
          <w:rFonts w:cstheme="minorHAnsi"/>
        </w:rPr>
        <w:fldChar w:fldCharType="end"/>
      </w:r>
      <w:r w:rsidRPr="006B6D34">
        <w:rPr>
          <w:rFonts w:cstheme="minorHAnsi"/>
          <w:lang w:val="en-GB"/>
        </w:rPr>
        <w:t xml:space="preserve">: Map of Guggisberg in the pre-alpine area adjacent </w:t>
      </w:r>
      <w:r w:rsidR="00030C25" w:rsidRPr="006B6D34">
        <w:rPr>
          <w:rFonts w:cstheme="minorHAnsi"/>
          <w:lang w:val="en-GB"/>
        </w:rPr>
        <w:br/>
      </w:r>
      <w:r w:rsidRPr="006B6D34">
        <w:rPr>
          <w:rFonts w:cstheme="minorHAnsi"/>
          <w:lang w:val="en-GB"/>
        </w:rPr>
        <w:t xml:space="preserve">to the border </w:t>
      </w:r>
      <w:r w:rsidR="00030C25" w:rsidRPr="006B6D34">
        <w:rPr>
          <w:rFonts w:cstheme="minorHAnsi"/>
          <w:lang w:val="en-GB"/>
        </w:rPr>
        <w:t xml:space="preserve">(purple line) </w:t>
      </w:r>
      <w:r w:rsidRPr="006B6D34">
        <w:rPr>
          <w:rFonts w:cstheme="minorHAnsi"/>
          <w:lang w:val="en-GB"/>
        </w:rPr>
        <w:t>between the Canton of Bern and the Canton of Fribourg</w:t>
      </w:r>
      <w:r w:rsidR="00030C25" w:rsidRPr="006B6D34">
        <w:rPr>
          <w:rFonts w:cstheme="minorHAnsi"/>
          <w:lang w:val="en-GB"/>
        </w:rPr>
        <w:t>.</w:t>
      </w:r>
    </w:p>
    <w:p w14:paraId="536B0906" w14:textId="77777777" w:rsidR="0046086C" w:rsidRPr="006B6D34" w:rsidRDefault="0046086C" w:rsidP="0046086C">
      <w:pPr>
        <w:jc w:val="center"/>
        <w:rPr>
          <w:rFonts w:cstheme="minorHAnsi"/>
          <w:bCs/>
          <w:bdr w:val="none" w:sz="0" w:space="0" w:color="auto" w:frame="1"/>
          <w:shd w:val="clear" w:color="auto" w:fill="FFFFFF"/>
          <w:lang w:val="en-GB"/>
        </w:rPr>
      </w:pPr>
    </w:p>
    <w:p w14:paraId="69B47870" w14:textId="77777777" w:rsidR="00A369EE" w:rsidRPr="006B6D34" w:rsidRDefault="00A369EE" w:rsidP="004861DD">
      <w:pPr>
        <w:spacing w:before="100" w:beforeAutospacing="1" w:after="100" w:afterAutospacing="1"/>
        <w:contextualSpacing/>
        <w:rPr>
          <w:rFonts w:cstheme="minorHAnsi"/>
          <w:color w:val="0070C0"/>
          <w:lang w:val="en-GB"/>
        </w:rPr>
      </w:pPr>
    </w:p>
    <w:p w14:paraId="014C2C99" w14:textId="4B7D4CE2" w:rsidR="00A369EE" w:rsidRPr="006B6D34" w:rsidRDefault="00A369EE" w:rsidP="004861DD">
      <w:pPr>
        <w:spacing w:before="100" w:beforeAutospacing="1" w:after="100" w:afterAutospacing="1"/>
        <w:contextualSpacing/>
        <w:rPr>
          <w:rFonts w:cstheme="minorHAnsi"/>
          <w:b/>
          <w:bCs/>
          <w:sz w:val="28"/>
          <w:szCs w:val="28"/>
          <w:lang w:val="en-GB"/>
        </w:rPr>
      </w:pPr>
      <w:r w:rsidRPr="006B6D34">
        <w:rPr>
          <w:rFonts w:cstheme="minorHAnsi"/>
          <w:b/>
          <w:bCs/>
          <w:sz w:val="28"/>
          <w:szCs w:val="28"/>
          <w:lang w:val="en-GB"/>
        </w:rPr>
        <w:t xml:space="preserve">Literature Review </w:t>
      </w:r>
    </w:p>
    <w:p w14:paraId="28C9562C" w14:textId="1A7A9FB4" w:rsidR="00DB082E" w:rsidRPr="006B6D34" w:rsidRDefault="00B42065" w:rsidP="008A6EA7">
      <w:pPr>
        <w:rPr>
          <w:rFonts w:cstheme="minorHAnsi"/>
          <w:bCs/>
          <w:bdr w:val="none" w:sz="0" w:space="0" w:color="auto" w:frame="1"/>
          <w:shd w:val="clear" w:color="auto" w:fill="FFFFFF"/>
          <w:lang w:val="en-GB"/>
        </w:rPr>
      </w:pPr>
      <w:r w:rsidRPr="006B6D34">
        <w:rPr>
          <w:rFonts w:cstheme="minorHAnsi"/>
          <w:bCs/>
          <w:bdr w:val="none" w:sz="0" w:space="0" w:color="auto" w:frame="1"/>
          <w:shd w:val="clear" w:color="auto" w:fill="FFFFFF"/>
          <w:lang w:val="en-GB"/>
        </w:rPr>
        <w:t xml:space="preserve">The possible sacredness of the rock-and-hill formation in Guggisberg </w:t>
      </w:r>
      <w:r w:rsidR="008F41BC" w:rsidRPr="006B6D34">
        <w:rPr>
          <w:rFonts w:cstheme="minorHAnsi"/>
          <w:bCs/>
          <w:bdr w:val="none" w:sz="0" w:space="0" w:color="auto" w:frame="1"/>
          <w:shd w:val="clear" w:color="auto" w:fill="FFFFFF"/>
          <w:lang w:val="en-GB"/>
        </w:rPr>
        <w:t>will be</w:t>
      </w:r>
      <w:r w:rsidRPr="006B6D34">
        <w:rPr>
          <w:rFonts w:cstheme="minorHAnsi"/>
          <w:bCs/>
          <w:bdr w:val="none" w:sz="0" w:space="0" w:color="auto" w:frame="1"/>
          <w:shd w:val="clear" w:color="auto" w:fill="FFFFFF"/>
          <w:lang w:val="en-GB"/>
        </w:rPr>
        <w:t xml:space="preserve"> explored through the works of Mircea Eliade</w:t>
      </w:r>
      <w:r w:rsidR="00A20D05">
        <w:rPr>
          <w:rStyle w:val="Funotenzeichen"/>
          <w:rFonts w:cstheme="minorHAnsi"/>
          <w:bCs/>
          <w:bdr w:val="none" w:sz="0" w:space="0" w:color="auto" w:frame="1"/>
          <w:shd w:val="clear" w:color="auto" w:fill="FFFFFF"/>
          <w:lang w:val="en-GB"/>
        </w:rPr>
        <w:footnoteReference w:id="6"/>
      </w:r>
      <w:r w:rsidRPr="006B6D34">
        <w:rPr>
          <w:rFonts w:cstheme="minorHAnsi"/>
          <w:bCs/>
          <w:bdr w:val="none" w:sz="0" w:space="0" w:color="auto" w:frame="1"/>
          <w:shd w:val="clear" w:color="auto" w:fill="FFFFFF"/>
          <w:lang w:val="en-GB"/>
        </w:rPr>
        <w:t>, Emile Durkheim</w:t>
      </w:r>
      <w:r w:rsidR="00A20D05">
        <w:rPr>
          <w:rStyle w:val="Funotenzeichen"/>
          <w:rFonts w:cstheme="minorHAnsi"/>
          <w:bCs/>
          <w:bdr w:val="none" w:sz="0" w:space="0" w:color="auto" w:frame="1"/>
          <w:shd w:val="clear" w:color="auto" w:fill="FFFFFF"/>
          <w:lang w:val="en-GB"/>
        </w:rPr>
        <w:footnoteReference w:id="7"/>
      </w:r>
      <w:r w:rsidRPr="006B6D34">
        <w:rPr>
          <w:rFonts w:cstheme="minorHAnsi"/>
          <w:bCs/>
          <w:bdr w:val="none" w:sz="0" w:space="0" w:color="auto" w:frame="1"/>
          <w:shd w:val="clear" w:color="auto" w:fill="FFFFFF"/>
          <w:lang w:val="en-GB"/>
        </w:rPr>
        <w:t>, Belden C. Lane</w:t>
      </w:r>
      <w:r w:rsidR="00A20D05">
        <w:rPr>
          <w:rStyle w:val="Funotenzeichen"/>
          <w:rFonts w:cstheme="minorHAnsi"/>
          <w:bCs/>
          <w:bdr w:val="none" w:sz="0" w:space="0" w:color="auto" w:frame="1"/>
          <w:shd w:val="clear" w:color="auto" w:fill="FFFFFF"/>
          <w:lang w:val="en-GB"/>
        </w:rPr>
        <w:footnoteReference w:id="8"/>
      </w:r>
      <w:r w:rsidRPr="006B6D34">
        <w:rPr>
          <w:rFonts w:cstheme="minorHAnsi"/>
          <w:bCs/>
          <w:bdr w:val="none" w:sz="0" w:space="0" w:color="auto" w:frame="1"/>
          <w:shd w:val="clear" w:color="auto" w:fill="FFFFFF"/>
          <w:lang w:val="en-GB"/>
        </w:rPr>
        <w:t xml:space="preserve">, </w:t>
      </w:r>
      <w:r w:rsidR="008C6EBA" w:rsidRPr="006B6D34">
        <w:rPr>
          <w:rFonts w:cstheme="minorHAnsi"/>
          <w:bCs/>
          <w:bdr w:val="none" w:sz="0" w:space="0" w:color="auto" w:frame="1"/>
          <w:shd w:val="clear" w:color="auto" w:fill="FFFFFF"/>
          <w:lang w:val="en-GB"/>
        </w:rPr>
        <w:t>Tim Ingold</w:t>
      </w:r>
      <w:r w:rsidR="00A20D05">
        <w:rPr>
          <w:rStyle w:val="Funotenzeichen"/>
          <w:rFonts w:cstheme="minorHAnsi"/>
          <w:bCs/>
          <w:bdr w:val="none" w:sz="0" w:space="0" w:color="auto" w:frame="1"/>
          <w:shd w:val="clear" w:color="auto" w:fill="FFFFFF"/>
          <w:lang w:val="en-GB"/>
        </w:rPr>
        <w:footnoteReference w:id="9"/>
      </w:r>
      <w:r w:rsidR="008C6EBA" w:rsidRPr="006B6D34">
        <w:rPr>
          <w:rFonts w:cstheme="minorHAnsi"/>
          <w:bCs/>
          <w:bdr w:val="none" w:sz="0" w:space="0" w:color="auto" w:frame="1"/>
          <w:shd w:val="clear" w:color="auto" w:fill="FFFFFF"/>
          <w:lang w:val="en-GB"/>
        </w:rPr>
        <w:t xml:space="preserve">, </w:t>
      </w:r>
      <w:r w:rsidRPr="006B6D34">
        <w:rPr>
          <w:rFonts w:cstheme="minorHAnsi"/>
          <w:bCs/>
          <w:bdr w:val="none" w:sz="0" w:space="0" w:color="auto" w:frame="1"/>
          <w:shd w:val="clear" w:color="auto" w:fill="FFFFFF"/>
          <w:lang w:val="en-GB"/>
        </w:rPr>
        <w:t>Darrelyn Gunzburg</w:t>
      </w:r>
      <w:r w:rsidR="00FF4435">
        <w:rPr>
          <w:rStyle w:val="Funotenzeichen"/>
          <w:rFonts w:cstheme="minorHAnsi"/>
          <w:bCs/>
          <w:bdr w:val="none" w:sz="0" w:space="0" w:color="auto" w:frame="1"/>
          <w:shd w:val="clear" w:color="auto" w:fill="FFFFFF"/>
          <w:lang w:val="en-GB"/>
        </w:rPr>
        <w:footnoteReference w:id="10"/>
      </w:r>
      <w:r w:rsidRPr="006B6D34">
        <w:rPr>
          <w:rFonts w:cstheme="minorHAnsi"/>
          <w:bCs/>
          <w:bdr w:val="none" w:sz="0" w:space="0" w:color="auto" w:frame="1"/>
          <w:shd w:val="clear" w:color="auto" w:fill="FFFFFF"/>
          <w:lang w:val="en-GB"/>
        </w:rPr>
        <w:t xml:space="preserve">, </w:t>
      </w:r>
      <w:r w:rsidR="00E974CD" w:rsidRPr="00E974CD">
        <w:rPr>
          <w:rFonts w:cstheme="minorHAnsi"/>
          <w:bCs/>
          <w:bdr w:val="none" w:sz="0" w:space="0" w:color="auto" w:frame="1"/>
          <w:shd w:val="clear" w:color="auto" w:fill="FFFFFF"/>
          <w:lang w:val="en-GB"/>
        </w:rPr>
        <w:t xml:space="preserve">Anna-Leena </w:t>
      </w:r>
      <w:proofErr w:type="spellStart"/>
      <w:r w:rsidR="00E974CD" w:rsidRPr="00E974CD">
        <w:rPr>
          <w:rFonts w:cstheme="minorHAnsi"/>
          <w:bCs/>
          <w:bdr w:val="none" w:sz="0" w:space="0" w:color="auto" w:frame="1"/>
          <w:shd w:val="clear" w:color="auto" w:fill="FFFFFF"/>
          <w:lang w:val="en-GB"/>
        </w:rPr>
        <w:t>Siikala</w:t>
      </w:r>
      <w:proofErr w:type="spellEnd"/>
      <w:r w:rsidR="00E974CD">
        <w:rPr>
          <w:rStyle w:val="Funotenzeichen"/>
          <w:rFonts w:cstheme="minorHAnsi"/>
          <w:bCs/>
          <w:bdr w:val="none" w:sz="0" w:space="0" w:color="auto" w:frame="1"/>
          <w:shd w:val="clear" w:color="auto" w:fill="FFFFFF"/>
          <w:lang w:val="en-GB"/>
        </w:rPr>
        <w:footnoteReference w:id="11"/>
      </w:r>
      <w:r w:rsidR="00E974CD" w:rsidRPr="00E974CD">
        <w:rPr>
          <w:rFonts w:cstheme="minorHAnsi"/>
          <w:bCs/>
          <w:bdr w:val="none" w:sz="0" w:space="0" w:color="auto" w:frame="1"/>
          <w:shd w:val="clear" w:color="auto" w:fill="FFFFFF"/>
          <w:lang w:val="en-GB"/>
        </w:rPr>
        <w:t xml:space="preserve">, </w:t>
      </w:r>
      <w:r w:rsidRPr="006B6D34">
        <w:rPr>
          <w:rFonts w:cstheme="minorHAnsi"/>
          <w:bCs/>
          <w:bdr w:val="none" w:sz="0" w:space="0" w:color="auto" w:frame="1"/>
          <w:shd w:val="clear" w:color="auto" w:fill="FFFFFF"/>
          <w:lang w:val="en-GB"/>
        </w:rPr>
        <w:t>and Bernadette Brady</w:t>
      </w:r>
      <w:r w:rsidR="00FF4435">
        <w:rPr>
          <w:rStyle w:val="Funotenzeichen"/>
          <w:rFonts w:cstheme="minorHAnsi"/>
          <w:bCs/>
          <w:bdr w:val="none" w:sz="0" w:space="0" w:color="auto" w:frame="1"/>
          <w:shd w:val="clear" w:color="auto" w:fill="FFFFFF"/>
          <w:lang w:val="en-GB"/>
        </w:rPr>
        <w:footnoteReference w:id="12"/>
      </w:r>
      <w:r w:rsidRPr="006B6D34">
        <w:rPr>
          <w:rFonts w:cstheme="minorHAnsi"/>
          <w:bCs/>
          <w:bdr w:val="none" w:sz="0" w:space="0" w:color="auto" w:frame="1"/>
          <w:shd w:val="clear" w:color="auto" w:fill="FFFFFF"/>
          <w:lang w:val="en-GB"/>
        </w:rPr>
        <w:t xml:space="preserve">. </w:t>
      </w:r>
      <w:r w:rsidR="00DB082E" w:rsidRPr="006B6D34">
        <w:rPr>
          <w:rFonts w:cstheme="minorHAnsi"/>
          <w:bCs/>
          <w:bdr w:val="none" w:sz="0" w:space="0" w:color="auto" w:frame="1"/>
          <w:shd w:val="clear" w:color="auto" w:fill="FFFFFF"/>
          <w:lang w:val="en-GB"/>
        </w:rPr>
        <w:t>Eliade’s assertion that ‘where the sacred manifests itself in space, the real unveils itself, and the world comes into existence’ will be taken as a groundwork for the examination,</w:t>
      </w:r>
      <w:r w:rsidR="00DB082E" w:rsidRPr="006B6D34">
        <w:rPr>
          <w:rStyle w:val="Funotenzeichen"/>
          <w:rFonts w:cstheme="minorHAnsi"/>
          <w:lang w:val="en-GB"/>
        </w:rPr>
        <w:footnoteReference w:id="13"/>
      </w:r>
      <w:r w:rsidR="00DB082E" w:rsidRPr="006B6D34">
        <w:rPr>
          <w:rFonts w:cstheme="minorHAnsi"/>
          <w:bCs/>
          <w:bdr w:val="none" w:sz="0" w:space="0" w:color="auto" w:frame="1"/>
          <w:shd w:val="clear" w:color="auto" w:fill="FFFFFF"/>
          <w:lang w:val="en-GB"/>
        </w:rPr>
        <w:t xml:space="preserve"> </w:t>
      </w:r>
      <w:r w:rsidR="008F41BC" w:rsidRPr="006B6D34">
        <w:rPr>
          <w:rFonts w:cstheme="minorHAnsi"/>
          <w:bCs/>
          <w:bdr w:val="none" w:sz="0" w:space="0" w:color="auto" w:frame="1"/>
          <w:shd w:val="clear" w:color="auto" w:fill="FFFFFF"/>
          <w:lang w:val="en-GB"/>
        </w:rPr>
        <w:t>supplemented</w:t>
      </w:r>
      <w:r w:rsidR="00DB082E" w:rsidRPr="006B6D34">
        <w:rPr>
          <w:rFonts w:cstheme="minorHAnsi"/>
          <w:bCs/>
          <w:bdr w:val="none" w:sz="0" w:space="0" w:color="auto" w:frame="1"/>
          <w:shd w:val="clear" w:color="auto" w:fill="FFFFFF"/>
          <w:lang w:val="en-GB"/>
        </w:rPr>
        <w:t xml:space="preserve"> by Durkheim's perspective that ‘the notion of the sacred is always and everywhere separate from the notion of the profane in man’s mind</w:t>
      </w:r>
      <w:r w:rsidR="0083530F" w:rsidRPr="006B6D34">
        <w:rPr>
          <w:rFonts w:cstheme="minorHAnsi"/>
          <w:bCs/>
          <w:bdr w:val="none" w:sz="0" w:space="0" w:color="auto" w:frame="1"/>
          <w:shd w:val="clear" w:color="auto" w:fill="FFFFFF"/>
          <w:lang w:val="en-GB"/>
        </w:rPr>
        <w:t>.</w:t>
      </w:r>
      <w:r w:rsidR="00DB082E" w:rsidRPr="006B6D34">
        <w:rPr>
          <w:rFonts w:cstheme="minorHAnsi"/>
          <w:bCs/>
          <w:bdr w:val="none" w:sz="0" w:space="0" w:color="auto" w:frame="1"/>
          <w:shd w:val="clear" w:color="auto" w:fill="FFFFFF"/>
          <w:lang w:val="en-GB"/>
        </w:rPr>
        <w:t>’</w:t>
      </w:r>
      <w:r w:rsidR="00DB082E" w:rsidRPr="006B6D34">
        <w:rPr>
          <w:rStyle w:val="Funotenzeichen"/>
          <w:rFonts w:cstheme="minorHAnsi"/>
          <w:bCs/>
          <w:bdr w:val="none" w:sz="0" w:space="0" w:color="auto" w:frame="1"/>
          <w:shd w:val="clear" w:color="auto" w:fill="FFFFFF"/>
          <w:lang w:val="en-GB"/>
        </w:rPr>
        <w:footnoteReference w:id="14"/>
      </w:r>
      <w:r w:rsidR="00DB082E" w:rsidRPr="006B6D34">
        <w:rPr>
          <w:rFonts w:cstheme="minorHAnsi"/>
          <w:bCs/>
          <w:bdr w:val="none" w:sz="0" w:space="0" w:color="auto" w:frame="1"/>
          <w:shd w:val="clear" w:color="auto" w:fill="FFFFFF"/>
          <w:lang w:val="en-GB"/>
        </w:rPr>
        <w:t xml:space="preserve"> </w:t>
      </w:r>
      <w:r w:rsidR="008735AF">
        <w:rPr>
          <w:rFonts w:cstheme="minorHAnsi"/>
          <w:bCs/>
          <w:bdr w:val="none" w:sz="0" w:space="0" w:color="auto" w:frame="1"/>
          <w:shd w:val="clear" w:color="auto" w:fill="FFFFFF"/>
          <w:lang w:val="en-GB"/>
        </w:rPr>
        <w:t>I will contemplate</w:t>
      </w:r>
      <w:r w:rsidR="0083530F" w:rsidRPr="006B6D34">
        <w:rPr>
          <w:rFonts w:cstheme="minorHAnsi"/>
          <w:bCs/>
          <w:bdr w:val="none" w:sz="0" w:space="0" w:color="auto" w:frame="1"/>
          <w:shd w:val="clear" w:color="auto" w:fill="FFFFFF"/>
          <w:lang w:val="en-GB"/>
        </w:rPr>
        <w:t xml:space="preserve"> </w:t>
      </w:r>
      <w:r w:rsidR="00DB082E" w:rsidRPr="006B6D34">
        <w:rPr>
          <w:rFonts w:cstheme="minorHAnsi"/>
          <w:lang w:val="en-GB"/>
        </w:rPr>
        <w:t>Lane’s argument that an interesting shift in awareness takes place when a seemingly insignificant location, just a tiny point on the map, transforms into a site of remarkable importance</w:t>
      </w:r>
      <w:r w:rsidR="008735AF">
        <w:rPr>
          <w:rFonts w:cstheme="minorHAnsi"/>
          <w:lang w:val="en-GB"/>
        </w:rPr>
        <w:t>.</w:t>
      </w:r>
      <w:r w:rsidR="00DB082E" w:rsidRPr="006B6D34">
        <w:rPr>
          <w:rStyle w:val="Funotenzeichen"/>
          <w:rFonts w:cstheme="minorHAnsi"/>
          <w:bCs/>
          <w:bdr w:val="none" w:sz="0" w:space="0" w:color="auto" w:frame="1"/>
          <w:shd w:val="clear" w:color="auto" w:fill="FFFFFF"/>
          <w:lang w:val="en-GB"/>
        </w:rPr>
        <w:footnoteReference w:id="15"/>
      </w:r>
      <w:r w:rsidR="00DB082E" w:rsidRPr="006B6D34">
        <w:rPr>
          <w:rFonts w:cstheme="minorHAnsi"/>
          <w:lang w:val="en-GB"/>
        </w:rPr>
        <w:t xml:space="preserve"> </w:t>
      </w:r>
      <w:r w:rsidR="008735AF">
        <w:rPr>
          <w:rFonts w:cstheme="minorHAnsi"/>
          <w:lang w:val="en-GB"/>
        </w:rPr>
        <w:t>In addition, I</w:t>
      </w:r>
      <w:r w:rsidR="0083530F" w:rsidRPr="006B6D34">
        <w:rPr>
          <w:rFonts w:cstheme="minorHAnsi"/>
          <w:lang w:val="en-GB"/>
        </w:rPr>
        <w:t xml:space="preserve"> will consult</w:t>
      </w:r>
      <w:r w:rsidR="00BC5FE9" w:rsidRPr="006B6D34">
        <w:rPr>
          <w:rFonts w:cstheme="minorHAnsi"/>
          <w:lang w:val="en-GB"/>
        </w:rPr>
        <w:t xml:space="preserve"> Peter M. Broadwell and Timothy R. Tangherlini’s </w:t>
      </w:r>
      <w:r w:rsidR="0083530F" w:rsidRPr="006B6D34">
        <w:rPr>
          <w:rFonts w:cstheme="minorHAnsi"/>
          <w:lang w:val="en-GB"/>
        </w:rPr>
        <w:t>research on geo-semantic explorations</w:t>
      </w:r>
      <w:r w:rsidR="008F41BC" w:rsidRPr="006B6D34">
        <w:rPr>
          <w:rFonts w:cstheme="minorHAnsi"/>
          <w:lang w:val="en-GB"/>
        </w:rPr>
        <w:t xml:space="preserve">, which </w:t>
      </w:r>
      <w:r w:rsidR="0083530F" w:rsidRPr="006B6D34">
        <w:rPr>
          <w:rFonts w:cstheme="minorHAnsi"/>
          <w:lang w:val="en-GB"/>
        </w:rPr>
        <w:t>enhances visualizations of narratives related to geographical locations.</w:t>
      </w:r>
      <w:r w:rsidR="008F41BC" w:rsidRPr="006B6D34">
        <w:rPr>
          <w:rFonts w:cstheme="minorHAnsi"/>
          <w:lang w:val="en-GB"/>
        </w:rPr>
        <w:t xml:space="preserve"> </w:t>
      </w:r>
      <w:r w:rsidR="0083530F" w:rsidRPr="006B6D34">
        <w:rPr>
          <w:rFonts w:cstheme="minorHAnsi"/>
          <w:lang w:val="en-GB"/>
        </w:rPr>
        <w:t>They</w:t>
      </w:r>
      <w:r w:rsidR="00337CE9" w:rsidRPr="006B6D34">
        <w:rPr>
          <w:rFonts w:cstheme="minorHAnsi"/>
          <w:lang w:val="en-GB"/>
        </w:rPr>
        <w:t xml:space="preserve"> claimed that ‘</w:t>
      </w:r>
      <w:r w:rsidR="008F41BC" w:rsidRPr="006B6D34">
        <w:rPr>
          <w:rFonts w:cstheme="minorHAnsi"/>
          <w:lang w:val="en-GB"/>
        </w:rPr>
        <w:t>S</w:t>
      </w:r>
      <w:r w:rsidR="00337CE9" w:rsidRPr="006B6D34">
        <w:rPr>
          <w:rFonts w:cstheme="minorHAnsi"/>
          <w:lang w:val="en-GB"/>
        </w:rPr>
        <w:t>ince its inception, the study of folklore (folkloristics) has been closely linked to the study of the relationship between stories and places.’</w:t>
      </w:r>
      <w:r w:rsidR="00337CE9" w:rsidRPr="006B6D34">
        <w:rPr>
          <w:rStyle w:val="Funotenzeichen"/>
          <w:rFonts w:cstheme="minorHAnsi"/>
          <w:lang w:val="en-GB"/>
        </w:rPr>
        <w:footnoteReference w:id="16"/>
      </w:r>
      <w:r w:rsidR="00337CE9" w:rsidRPr="006B6D34">
        <w:rPr>
          <w:rFonts w:cstheme="minorHAnsi"/>
          <w:lang w:val="en-GB"/>
        </w:rPr>
        <w:t xml:space="preserve"> </w:t>
      </w:r>
      <w:r w:rsidR="000F41AE" w:rsidRPr="006B6D34">
        <w:rPr>
          <w:rFonts w:cstheme="minorHAnsi"/>
          <w:lang w:val="en-GB"/>
        </w:rPr>
        <w:t xml:space="preserve">Additionally, </w:t>
      </w:r>
      <w:r w:rsidR="00AD7A99">
        <w:rPr>
          <w:rFonts w:cstheme="minorHAnsi"/>
          <w:lang w:val="en-GB"/>
        </w:rPr>
        <w:t>a chronicle of the Canton of Bern</w:t>
      </w:r>
      <w:r w:rsidR="00AD7A99">
        <w:rPr>
          <w:rStyle w:val="Funotenzeichen"/>
          <w:rFonts w:cstheme="minorHAnsi"/>
          <w:lang w:val="en-GB"/>
        </w:rPr>
        <w:footnoteReference w:id="17"/>
      </w:r>
      <w:r w:rsidR="00AD7A99">
        <w:rPr>
          <w:rFonts w:cstheme="minorHAnsi"/>
          <w:lang w:val="en-GB"/>
        </w:rPr>
        <w:t xml:space="preserve"> and </w:t>
      </w:r>
      <w:r w:rsidR="00467533">
        <w:rPr>
          <w:rFonts w:cstheme="minorHAnsi"/>
          <w:lang w:val="en-GB"/>
        </w:rPr>
        <w:t>literature on the foundation of the monastery.</w:t>
      </w:r>
      <w:r w:rsidR="00467533">
        <w:rPr>
          <w:rStyle w:val="Funotenzeichen"/>
          <w:rFonts w:cstheme="minorHAnsi"/>
          <w:lang w:val="en-GB"/>
        </w:rPr>
        <w:footnoteReference w:id="18"/>
      </w:r>
      <w:r w:rsidR="00467533">
        <w:rPr>
          <w:rFonts w:cstheme="minorHAnsi"/>
          <w:lang w:val="en-GB"/>
        </w:rPr>
        <w:t xml:space="preserve"> T</w:t>
      </w:r>
      <w:r w:rsidR="00374882" w:rsidRPr="006B6D34">
        <w:rPr>
          <w:rFonts w:cstheme="minorHAnsi"/>
          <w:bCs/>
          <w:bdr w:val="none" w:sz="0" w:space="0" w:color="auto" w:frame="1"/>
          <w:shd w:val="clear" w:color="auto" w:fill="FFFFFF"/>
          <w:lang w:val="en-GB"/>
        </w:rPr>
        <w:t>he</w:t>
      </w:r>
      <w:r w:rsidRPr="006B6D34">
        <w:rPr>
          <w:rFonts w:cstheme="minorHAnsi"/>
          <w:bCs/>
          <w:bdr w:val="none" w:sz="0" w:space="0" w:color="auto" w:frame="1"/>
          <w:shd w:val="clear" w:color="auto" w:fill="FFFFFF"/>
          <w:lang w:val="en-GB"/>
        </w:rPr>
        <w:t xml:space="preserve"> literature on the Guggisberg</w:t>
      </w:r>
      <w:r w:rsidR="00374882" w:rsidRPr="006B6D34">
        <w:rPr>
          <w:rFonts w:cstheme="minorHAnsi"/>
          <w:bCs/>
          <w:bdr w:val="none" w:sz="0" w:space="0" w:color="auto" w:frame="1"/>
          <w:shd w:val="clear" w:color="auto" w:fill="FFFFFF"/>
          <w:lang w:val="en-GB"/>
        </w:rPr>
        <w:t xml:space="preserve"> </w:t>
      </w:r>
      <w:r w:rsidR="00DF178B" w:rsidRPr="006B6D34">
        <w:rPr>
          <w:rFonts w:cstheme="minorHAnsi"/>
          <w:bCs/>
          <w:bdr w:val="none" w:sz="0" w:space="0" w:color="auto" w:frame="1"/>
          <w:shd w:val="clear" w:color="auto" w:fill="FFFFFF"/>
          <w:lang w:val="en-GB"/>
        </w:rPr>
        <w:t>S</w:t>
      </w:r>
      <w:r w:rsidR="00374882" w:rsidRPr="006B6D34">
        <w:rPr>
          <w:rFonts w:cstheme="minorHAnsi"/>
          <w:bCs/>
          <w:bdr w:val="none" w:sz="0" w:space="0" w:color="auto" w:frame="1"/>
          <w:shd w:val="clear" w:color="auto" w:fill="FFFFFF"/>
          <w:lang w:val="en-GB"/>
        </w:rPr>
        <w:t>ong</w:t>
      </w:r>
      <w:r w:rsidR="00467533">
        <w:rPr>
          <w:rStyle w:val="Funotenzeichen"/>
          <w:rFonts w:cstheme="minorHAnsi"/>
          <w:bCs/>
          <w:bdr w:val="none" w:sz="0" w:space="0" w:color="auto" w:frame="1"/>
          <w:shd w:val="clear" w:color="auto" w:fill="FFFFFF"/>
          <w:lang w:val="en-GB"/>
        </w:rPr>
        <w:footnoteReference w:id="19"/>
      </w:r>
      <w:r w:rsidR="00DB082E" w:rsidRPr="006B6D34">
        <w:rPr>
          <w:rFonts w:cstheme="minorHAnsi"/>
          <w:bCs/>
          <w:bdr w:val="none" w:sz="0" w:space="0" w:color="auto" w:frame="1"/>
          <w:shd w:val="clear" w:color="auto" w:fill="FFFFFF"/>
          <w:lang w:val="en-GB"/>
        </w:rPr>
        <w:t xml:space="preserve"> will be examined</w:t>
      </w:r>
      <w:r w:rsidR="00374882" w:rsidRPr="006B6D34">
        <w:rPr>
          <w:rFonts w:cstheme="minorHAnsi"/>
          <w:bCs/>
          <w:bdr w:val="none" w:sz="0" w:space="0" w:color="auto" w:frame="1"/>
          <w:shd w:val="clear" w:color="auto" w:fill="FFFFFF"/>
          <w:lang w:val="en-GB"/>
        </w:rPr>
        <w:t xml:space="preserve">, </w:t>
      </w:r>
      <w:r w:rsidR="000F41AE" w:rsidRPr="006B6D34">
        <w:rPr>
          <w:rFonts w:cstheme="minorHAnsi"/>
          <w:bCs/>
          <w:bdr w:val="none" w:sz="0" w:space="0" w:color="auto" w:frame="1"/>
          <w:shd w:val="clear" w:color="auto" w:fill="FFFFFF"/>
          <w:lang w:val="en-GB"/>
        </w:rPr>
        <w:t xml:space="preserve">including the foundational study by Otto von </w:t>
      </w:r>
      <w:proofErr w:type="spellStart"/>
      <w:r w:rsidR="000F41AE" w:rsidRPr="006B6D34">
        <w:rPr>
          <w:rFonts w:cstheme="minorHAnsi"/>
          <w:bCs/>
          <w:bdr w:val="none" w:sz="0" w:space="0" w:color="auto" w:frame="1"/>
          <w:shd w:val="clear" w:color="auto" w:fill="FFFFFF"/>
          <w:lang w:val="en-GB"/>
        </w:rPr>
        <w:t>Greyerz</w:t>
      </w:r>
      <w:proofErr w:type="spellEnd"/>
      <w:r w:rsidR="000F41AE" w:rsidRPr="006B6D34">
        <w:rPr>
          <w:rStyle w:val="Funotenzeichen"/>
          <w:rFonts w:cstheme="minorHAnsi"/>
          <w:bCs/>
          <w:bdr w:val="none" w:sz="0" w:space="0" w:color="auto" w:frame="1"/>
          <w:shd w:val="clear" w:color="auto" w:fill="FFFFFF"/>
          <w:lang w:val="en-GB"/>
        </w:rPr>
        <w:footnoteReference w:id="20"/>
      </w:r>
      <w:r w:rsidR="000F41AE" w:rsidRPr="006B6D34">
        <w:rPr>
          <w:rFonts w:cstheme="minorHAnsi"/>
          <w:bCs/>
          <w:bdr w:val="none" w:sz="0" w:space="0" w:color="auto" w:frame="1"/>
          <w:shd w:val="clear" w:color="auto" w:fill="FFFFFF"/>
          <w:lang w:val="en-GB"/>
        </w:rPr>
        <w:t xml:space="preserve"> and various local folktale collections.</w:t>
      </w:r>
      <w:r w:rsidR="00C32D5E">
        <w:rPr>
          <w:rFonts w:cstheme="minorHAnsi"/>
          <w:bCs/>
          <w:bdr w:val="none" w:sz="0" w:space="0" w:color="auto" w:frame="1"/>
          <w:shd w:val="clear" w:color="auto" w:fill="FFFFFF"/>
          <w:lang w:val="en-GB"/>
        </w:rPr>
        <w:t xml:space="preserve"> </w:t>
      </w:r>
      <w:r w:rsidR="000F41AE" w:rsidRPr="006B6D34">
        <w:rPr>
          <w:rFonts w:cstheme="minorHAnsi"/>
          <w:bCs/>
          <w:bdr w:val="none" w:sz="0" w:space="0" w:color="auto" w:frame="1"/>
          <w:shd w:val="clear" w:color="auto" w:fill="FFFFFF"/>
          <w:lang w:val="en-GB"/>
        </w:rPr>
        <w:t xml:space="preserve">Particularly, </w:t>
      </w:r>
      <w:r w:rsidR="00C32D5E">
        <w:rPr>
          <w:rFonts w:cstheme="minorHAnsi"/>
          <w:bCs/>
          <w:bdr w:val="none" w:sz="0" w:space="0" w:color="auto" w:frame="1"/>
          <w:shd w:val="clear" w:color="auto" w:fill="FFFFFF"/>
          <w:lang w:val="en-GB"/>
        </w:rPr>
        <w:t>two</w:t>
      </w:r>
      <w:r w:rsidR="000F41AE" w:rsidRPr="006B6D34">
        <w:rPr>
          <w:rFonts w:cstheme="minorHAnsi"/>
          <w:bCs/>
          <w:bdr w:val="none" w:sz="0" w:space="0" w:color="auto" w:frame="1"/>
          <w:shd w:val="clear" w:color="auto" w:fill="FFFFFF"/>
          <w:lang w:val="en-GB"/>
        </w:rPr>
        <w:t xml:space="preserve"> fairy tale</w:t>
      </w:r>
      <w:r w:rsidR="00C32D5E">
        <w:rPr>
          <w:rFonts w:cstheme="minorHAnsi"/>
          <w:bCs/>
          <w:bdr w:val="none" w:sz="0" w:space="0" w:color="auto" w:frame="1"/>
          <w:shd w:val="clear" w:color="auto" w:fill="FFFFFF"/>
          <w:lang w:val="en-GB"/>
        </w:rPr>
        <w:t>s</w:t>
      </w:r>
      <w:r w:rsidR="000F41AE" w:rsidRPr="006B6D34">
        <w:rPr>
          <w:rFonts w:cstheme="minorHAnsi"/>
          <w:bCs/>
          <w:bdr w:val="none" w:sz="0" w:space="0" w:color="auto" w:frame="1"/>
          <w:shd w:val="clear" w:color="auto" w:fill="FFFFFF"/>
          <w:lang w:val="en-GB"/>
        </w:rPr>
        <w:t xml:space="preserve"> will be examined</w:t>
      </w:r>
      <w:r w:rsidR="00C32D5E">
        <w:rPr>
          <w:rFonts w:cstheme="minorHAnsi"/>
          <w:bCs/>
          <w:bdr w:val="none" w:sz="0" w:space="0" w:color="auto" w:frame="1"/>
          <w:shd w:val="clear" w:color="auto" w:fill="FFFFFF"/>
          <w:lang w:val="en-GB"/>
        </w:rPr>
        <w:t xml:space="preserve"> closer, one of which</w:t>
      </w:r>
      <w:r w:rsidR="000F41AE" w:rsidRPr="006B6D34">
        <w:rPr>
          <w:rFonts w:cstheme="minorHAnsi"/>
          <w:bCs/>
          <w:bdr w:val="none" w:sz="0" w:space="0" w:color="auto" w:frame="1"/>
          <w:shd w:val="clear" w:color="auto" w:fill="FFFFFF"/>
          <w:lang w:val="en-GB"/>
        </w:rPr>
        <w:t xml:space="preserve"> appears in the Brothers Grimm’s Household Stories</w:t>
      </w:r>
      <w:r w:rsidR="00307656">
        <w:rPr>
          <w:rStyle w:val="Funotenzeichen"/>
          <w:rFonts w:cstheme="minorHAnsi"/>
          <w:bCs/>
          <w:bdr w:val="none" w:sz="0" w:space="0" w:color="auto" w:frame="1"/>
          <w:shd w:val="clear" w:color="auto" w:fill="FFFFFF"/>
          <w:lang w:val="en-GB"/>
        </w:rPr>
        <w:footnoteReference w:id="21"/>
      </w:r>
      <w:r w:rsidR="000F41AE" w:rsidRPr="006B6D34">
        <w:rPr>
          <w:rFonts w:cstheme="minorHAnsi"/>
          <w:bCs/>
          <w:bdr w:val="none" w:sz="0" w:space="0" w:color="auto" w:frame="1"/>
          <w:shd w:val="clear" w:color="auto" w:fill="FFFFFF"/>
          <w:lang w:val="en-GB"/>
        </w:rPr>
        <w:t xml:space="preserve"> and can be connected directly to</w:t>
      </w:r>
      <w:r w:rsidR="00EB52BA" w:rsidRPr="006B6D34">
        <w:rPr>
          <w:rFonts w:cstheme="minorHAnsi"/>
          <w:bCs/>
          <w:bdr w:val="none" w:sz="0" w:space="0" w:color="auto" w:frame="1"/>
          <w:shd w:val="clear" w:color="auto" w:fill="FFFFFF"/>
          <w:lang w:val="en-GB"/>
        </w:rPr>
        <w:t xml:space="preserve"> the Guggisberg Song</w:t>
      </w:r>
      <w:r w:rsidR="00C32D5E">
        <w:rPr>
          <w:rFonts w:cstheme="minorHAnsi"/>
          <w:bCs/>
          <w:bdr w:val="none" w:sz="0" w:space="0" w:color="auto" w:frame="1"/>
          <w:shd w:val="clear" w:color="auto" w:fill="FFFFFF"/>
          <w:lang w:val="en-GB"/>
        </w:rPr>
        <w:t xml:space="preserve">, and the other is a tale directly referring to the </w:t>
      </w:r>
      <w:proofErr w:type="spellStart"/>
      <w:r w:rsidR="00C32D5E">
        <w:rPr>
          <w:rFonts w:cstheme="minorHAnsi"/>
          <w:bCs/>
          <w:bdr w:val="none" w:sz="0" w:space="0" w:color="auto" w:frame="1"/>
          <w:shd w:val="clear" w:color="auto" w:fill="FFFFFF"/>
          <w:lang w:val="en-GB"/>
        </w:rPr>
        <w:t>Schwendelberg</w:t>
      </w:r>
      <w:proofErr w:type="spellEnd"/>
      <w:r w:rsidR="00C32D5E">
        <w:rPr>
          <w:rFonts w:cstheme="minorHAnsi"/>
          <w:bCs/>
          <w:bdr w:val="none" w:sz="0" w:space="0" w:color="auto" w:frame="1"/>
          <w:shd w:val="clear" w:color="auto" w:fill="FFFFFF"/>
          <w:lang w:val="en-GB"/>
        </w:rPr>
        <w:t>.</w:t>
      </w:r>
      <w:r w:rsidR="00C32D5E">
        <w:rPr>
          <w:rStyle w:val="Funotenzeichen"/>
          <w:rFonts w:cstheme="minorHAnsi"/>
          <w:bCs/>
          <w:bdr w:val="none" w:sz="0" w:space="0" w:color="auto" w:frame="1"/>
          <w:shd w:val="clear" w:color="auto" w:fill="FFFFFF"/>
          <w:lang w:val="en-GB"/>
        </w:rPr>
        <w:footnoteReference w:id="22"/>
      </w:r>
      <w:r w:rsidR="00EB52BA" w:rsidRPr="006B6D34">
        <w:rPr>
          <w:rFonts w:cstheme="minorHAnsi"/>
          <w:bCs/>
          <w:bdr w:val="none" w:sz="0" w:space="0" w:color="auto" w:frame="1"/>
          <w:shd w:val="clear" w:color="auto" w:fill="FFFFFF"/>
          <w:lang w:val="en-GB"/>
        </w:rPr>
        <w:t xml:space="preserve"> </w:t>
      </w:r>
      <w:r w:rsidR="008A6EA7" w:rsidRPr="006B6D34">
        <w:rPr>
          <w:rFonts w:cstheme="minorHAnsi"/>
          <w:bCs/>
          <w:bdr w:val="none" w:sz="0" w:space="0" w:color="auto" w:frame="1"/>
          <w:shd w:val="clear" w:color="auto" w:fill="FFFFFF"/>
          <w:lang w:val="en-GB"/>
        </w:rPr>
        <w:t>In relation to the Venusberg and the Wild Hunt, a theme closely associated with the concept of Venus mountains, I will consult Ronald Hutton</w:t>
      </w:r>
      <w:r w:rsidR="00E974CD">
        <w:rPr>
          <w:rStyle w:val="Funotenzeichen"/>
          <w:rFonts w:cstheme="minorHAnsi"/>
          <w:bCs/>
          <w:bdr w:val="none" w:sz="0" w:space="0" w:color="auto" w:frame="1"/>
          <w:shd w:val="clear" w:color="auto" w:fill="FFFFFF"/>
          <w:lang w:val="en-GB"/>
        </w:rPr>
        <w:footnoteReference w:id="23"/>
      </w:r>
      <w:r w:rsidR="008A6EA7" w:rsidRPr="006B6D34">
        <w:rPr>
          <w:rFonts w:cstheme="minorHAnsi"/>
          <w:bCs/>
          <w:bdr w:val="none" w:sz="0" w:space="0" w:color="auto" w:frame="1"/>
          <w:shd w:val="clear" w:color="auto" w:fill="FFFFFF"/>
          <w:lang w:val="en-GB"/>
        </w:rPr>
        <w:t>, Claude Lecouteux</w:t>
      </w:r>
      <w:r w:rsidR="00AD7A99">
        <w:rPr>
          <w:rStyle w:val="Funotenzeichen"/>
          <w:rFonts w:cstheme="minorHAnsi"/>
          <w:bCs/>
          <w:bdr w:val="none" w:sz="0" w:space="0" w:color="auto" w:frame="1"/>
          <w:shd w:val="clear" w:color="auto" w:fill="FFFFFF"/>
          <w:lang w:val="en-GB"/>
        </w:rPr>
        <w:footnoteReference w:id="24"/>
      </w:r>
      <w:r w:rsidR="008A6EA7" w:rsidRPr="006B6D34">
        <w:rPr>
          <w:rFonts w:cstheme="minorHAnsi"/>
          <w:bCs/>
          <w:bdr w:val="none" w:sz="0" w:space="0" w:color="auto" w:frame="1"/>
          <w:shd w:val="clear" w:color="auto" w:fill="FFFFFF"/>
          <w:lang w:val="en-GB"/>
        </w:rPr>
        <w:t>, Leah Garrett</w:t>
      </w:r>
      <w:r w:rsidR="00FF4435">
        <w:rPr>
          <w:rStyle w:val="Funotenzeichen"/>
          <w:rFonts w:cstheme="minorHAnsi"/>
          <w:bCs/>
          <w:bdr w:val="none" w:sz="0" w:space="0" w:color="auto" w:frame="1"/>
          <w:shd w:val="clear" w:color="auto" w:fill="FFFFFF"/>
          <w:lang w:val="en-GB"/>
        </w:rPr>
        <w:footnoteReference w:id="25"/>
      </w:r>
      <w:r w:rsidR="008A6EA7" w:rsidRPr="006B6D34">
        <w:rPr>
          <w:rFonts w:cstheme="minorHAnsi"/>
          <w:bCs/>
          <w:bdr w:val="none" w:sz="0" w:space="0" w:color="auto" w:frame="1"/>
          <w:shd w:val="clear" w:color="auto" w:fill="FFFFFF"/>
          <w:lang w:val="en-GB"/>
        </w:rPr>
        <w:t>, and Gary K. Waite.</w:t>
      </w:r>
      <w:r w:rsidR="005E4BBE" w:rsidRPr="006B6D34">
        <w:rPr>
          <w:rStyle w:val="Funotenzeichen"/>
          <w:rFonts w:cstheme="minorHAnsi"/>
          <w:bCs/>
          <w:bdr w:val="none" w:sz="0" w:space="0" w:color="auto" w:frame="1"/>
          <w:shd w:val="clear" w:color="auto" w:fill="FFFFFF"/>
          <w:lang w:val="en-GB"/>
        </w:rPr>
        <w:footnoteReference w:id="26"/>
      </w:r>
      <w:r w:rsidR="008A6EA7" w:rsidRPr="006B6D34">
        <w:rPr>
          <w:rFonts w:cstheme="minorHAnsi"/>
          <w:bCs/>
          <w:bdr w:val="none" w:sz="0" w:space="0" w:color="auto" w:frame="1"/>
          <w:shd w:val="clear" w:color="auto" w:fill="FFFFFF"/>
          <w:lang w:val="en-GB"/>
        </w:rPr>
        <w:t xml:space="preserve"> For insights into the astronomy of </w:t>
      </w:r>
      <w:r w:rsidR="008F41BC" w:rsidRPr="006B6D34">
        <w:rPr>
          <w:rFonts w:cstheme="minorHAnsi"/>
          <w:bCs/>
          <w:bdr w:val="none" w:sz="0" w:space="0" w:color="auto" w:frame="1"/>
          <w:shd w:val="clear" w:color="auto" w:fill="FFFFFF"/>
          <w:lang w:val="en-GB"/>
        </w:rPr>
        <w:t>Venus, I will consult</w:t>
      </w:r>
      <w:r w:rsidR="008A6EA7" w:rsidRPr="006B6D34">
        <w:rPr>
          <w:rFonts w:cstheme="minorHAnsi"/>
          <w:bCs/>
          <w:bdr w:val="none" w:sz="0" w:space="0" w:color="auto" w:frame="1"/>
          <w:shd w:val="clear" w:color="auto" w:fill="FFFFFF"/>
          <w:lang w:val="en-GB"/>
        </w:rPr>
        <w:t xml:space="preserve"> Ivan </w:t>
      </w:r>
      <w:proofErr w:type="spellStart"/>
      <w:r w:rsidR="008A6EA7" w:rsidRPr="006B6D34">
        <w:rPr>
          <w:rFonts w:cstheme="minorHAnsi"/>
          <w:bCs/>
          <w:bdr w:val="none" w:sz="0" w:space="0" w:color="auto" w:frame="1"/>
          <w:shd w:val="clear" w:color="auto" w:fill="FFFFFF"/>
          <w:lang w:val="en-GB"/>
        </w:rPr>
        <w:t>Sprajc</w:t>
      </w:r>
      <w:proofErr w:type="spellEnd"/>
      <w:r w:rsidR="00307656">
        <w:rPr>
          <w:rStyle w:val="Funotenzeichen"/>
          <w:rFonts w:cstheme="minorHAnsi"/>
          <w:bCs/>
          <w:bdr w:val="none" w:sz="0" w:space="0" w:color="auto" w:frame="1"/>
          <w:shd w:val="clear" w:color="auto" w:fill="FFFFFF"/>
          <w:lang w:val="en-GB"/>
        </w:rPr>
        <w:footnoteReference w:id="27"/>
      </w:r>
      <w:r w:rsidR="008A6EA7" w:rsidRPr="006B6D34">
        <w:rPr>
          <w:rFonts w:cstheme="minorHAnsi"/>
          <w:bCs/>
          <w:bdr w:val="none" w:sz="0" w:space="0" w:color="auto" w:frame="1"/>
          <w:shd w:val="clear" w:color="auto" w:fill="FFFFFF"/>
          <w:lang w:val="en-GB"/>
        </w:rPr>
        <w:t xml:space="preserve"> and Nicholas Campion.</w:t>
      </w:r>
      <w:r w:rsidR="005E4BBE" w:rsidRPr="006B6D34">
        <w:rPr>
          <w:rStyle w:val="Funotenzeichen"/>
          <w:rFonts w:cstheme="minorHAnsi"/>
          <w:bCs/>
          <w:bdr w:val="none" w:sz="0" w:space="0" w:color="auto" w:frame="1"/>
          <w:shd w:val="clear" w:color="auto" w:fill="FFFFFF"/>
          <w:lang w:val="en-GB"/>
        </w:rPr>
        <w:footnoteReference w:id="28"/>
      </w:r>
      <w:r w:rsidR="008A6EA7" w:rsidRPr="006B6D34">
        <w:rPr>
          <w:rFonts w:cstheme="minorHAnsi"/>
          <w:bCs/>
          <w:bdr w:val="none" w:sz="0" w:space="0" w:color="auto" w:frame="1"/>
          <w:shd w:val="clear" w:color="auto" w:fill="FFFFFF"/>
          <w:lang w:val="en-GB"/>
        </w:rPr>
        <w:t xml:space="preserve"> Additionally,</w:t>
      </w:r>
      <w:r w:rsidR="0022413B" w:rsidRPr="006B6D34">
        <w:rPr>
          <w:rFonts w:cstheme="minorHAnsi"/>
          <w:bCs/>
          <w:bdr w:val="none" w:sz="0" w:space="0" w:color="auto" w:frame="1"/>
          <w:shd w:val="clear" w:color="auto" w:fill="FFFFFF"/>
          <w:lang w:val="en-GB"/>
        </w:rPr>
        <w:t xml:space="preserve"> in exploring the importance of the planet Venus to the monks in a monastery, I will draw on</w:t>
      </w:r>
      <w:r w:rsidR="008A6EA7" w:rsidRPr="006B6D34">
        <w:rPr>
          <w:rFonts w:cstheme="minorHAnsi"/>
          <w:bCs/>
          <w:bdr w:val="none" w:sz="0" w:space="0" w:color="auto" w:frame="1"/>
          <w:shd w:val="clear" w:color="auto" w:fill="FFFFFF"/>
          <w:lang w:val="en-GB"/>
        </w:rPr>
        <w:t xml:space="preserve"> the works of Mary W. Helms</w:t>
      </w:r>
      <w:r w:rsidR="00AD7A99">
        <w:rPr>
          <w:rStyle w:val="Funotenzeichen"/>
          <w:rFonts w:cstheme="minorHAnsi"/>
          <w:bCs/>
          <w:bdr w:val="none" w:sz="0" w:space="0" w:color="auto" w:frame="1"/>
          <w:shd w:val="clear" w:color="auto" w:fill="FFFFFF"/>
          <w:lang w:val="en-GB"/>
        </w:rPr>
        <w:footnoteReference w:id="29"/>
      </w:r>
      <w:r w:rsidR="008A6EA7" w:rsidRPr="006B6D34">
        <w:rPr>
          <w:rFonts w:cstheme="minorHAnsi"/>
          <w:bCs/>
          <w:bdr w:val="none" w:sz="0" w:space="0" w:color="auto" w:frame="1"/>
          <w:shd w:val="clear" w:color="auto" w:fill="FFFFFF"/>
          <w:lang w:val="en-GB"/>
        </w:rPr>
        <w:t xml:space="preserve"> and Roger </w:t>
      </w:r>
      <w:r w:rsidR="008A6EA7" w:rsidRPr="008E0BB6">
        <w:rPr>
          <w:rFonts w:cstheme="minorHAnsi"/>
          <w:bCs/>
          <w:bdr w:val="none" w:sz="0" w:space="0" w:color="auto" w:frame="1"/>
          <w:shd w:val="clear" w:color="auto" w:fill="FFFFFF"/>
          <w:lang w:val="en-GB"/>
        </w:rPr>
        <w:t>Beck.</w:t>
      </w:r>
      <w:r w:rsidR="005E4BBE" w:rsidRPr="006B6D34">
        <w:rPr>
          <w:rStyle w:val="Funotenzeichen"/>
          <w:rFonts w:cstheme="minorHAnsi"/>
          <w:bCs/>
          <w:bdr w:val="none" w:sz="0" w:space="0" w:color="auto" w:frame="1"/>
          <w:shd w:val="clear" w:color="auto" w:fill="FFFFFF"/>
          <w:lang w:val="en-GB"/>
        </w:rPr>
        <w:footnoteReference w:id="30"/>
      </w:r>
    </w:p>
    <w:p w14:paraId="646834AA" w14:textId="77777777" w:rsidR="005111C6" w:rsidRPr="006B6D34" w:rsidRDefault="005111C6" w:rsidP="004861DD">
      <w:pPr>
        <w:spacing w:before="100" w:beforeAutospacing="1" w:after="100" w:afterAutospacing="1"/>
        <w:contextualSpacing/>
        <w:rPr>
          <w:rFonts w:cstheme="minorHAnsi"/>
          <w:color w:val="0070C0"/>
          <w:lang w:val="en-GB"/>
        </w:rPr>
      </w:pPr>
    </w:p>
    <w:p w14:paraId="7656FF8C" w14:textId="2522E79D" w:rsidR="00B42A51" w:rsidRPr="006B6D34" w:rsidRDefault="00B42A51" w:rsidP="004861DD">
      <w:pPr>
        <w:spacing w:before="100" w:beforeAutospacing="1" w:after="100" w:afterAutospacing="1"/>
        <w:contextualSpacing/>
        <w:rPr>
          <w:rFonts w:cstheme="minorHAnsi"/>
          <w:b/>
          <w:bCs/>
          <w:sz w:val="28"/>
          <w:szCs w:val="28"/>
          <w:lang w:val="en-GB"/>
        </w:rPr>
      </w:pPr>
      <w:r w:rsidRPr="006B6D34">
        <w:rPr>
          <w:rFonts w:cstheme="minorHAnsi"/>
          <w:b/>
          <w:bCs/>
          <w:sz w:val="28"/>
          <w:szCs w:val="28"/>
          <w:lang w:val="en-GB"/>
        </w:rPr>
        <w:t>Methodology</w:t>
      </w:r>
    </w:p>
    <w:p w14:paraId="16932E0D" w14:textId="77777777" w:rsidR="009C5F05" w:rsidRPr="006B6D34" w:rsidRDefault="009C5F05" w:rsidP="00E204FB">
      <w:pPr>
        <w:spacing w:before="100" w:beforeAutospacing="1" w:after="100" w:afterAutospacing="1"/>
        <w:contextualSpacing/>
        <w:rPr>
          <w:rFonts w:cstheme="minorHAnsi"/>
          <w:color w:val="0070C0"/>
          <w:sz w:val="24"/>
          <w:szCs w:val="24"/>
          <w:lang w:val="en-GB"/>
        </w:rPr>
      </w:pPr>
    </w:p>
    <w:p w14:paraId="2203A587" w14:textId="7AB4E532" w:rsidR="00E84980" w:rsidRDefault="00CA3D45" w:rsidP="00E204FB">
      <w:pPr>
        <w:spacing w:before="100" w:beforeAutospacing="1" w:after="100" w:afterAutospacing="1"/>
        <w:contextualSpacing/>
        <w:rPr>
          <w:rFonts w:cstheme="minorHAnsi"/>
          <w:lang w:val="en-GB"/>
        </w:rPr>
      </w:pPr>
      <w:r w:rsidRPr="006B6D34">
        <w:rPr>
          <w:rFonts w:cstheme="minorHAnsi"/>
          <w:lang w:val="en-GB"/>
        </w:rPr>
        <w:t xml:space="preserve">This </w:t>
      </w:r>
      <w:r w:rsidR="009C5F05" w:rsidRPr="006B6D34">
        <w:rPr>
          <w:rFonts w:cstheme="minorHAnsi"/>
          <w:lang w:val="en-GB"/>
        </w:rPr>
        <w:t xml:space="preserve">essay </w:t>
      </w:r>
      <w:r w:rsidRPr="006B6D34">
        <w:rPr>
          <w:rFonts w:cstheme="minorHAnsi"/>
          <w:lang w:val="en-GB"/>
        </w:rPr>
        <w:t xml:space="preserve">will </w:t>
      </w:r>
      <w:r w:rsidR="009C5F05" w:rsidRPr="006B6D34">
        <w:rPr>
          <w:rFonts w:cstheme="minorHAnsi"/>
          <w:lang w:val="en-GB"/>
        </w:rPr>
        <w:t xml:space="preserve">take an almost purely literary approach. </w:t>
      </w:r>
      <w:r w:rsidR="00234E6A" w:rsidRPr="006B6D34">
        <w:rPr>
          <w:rFonts w:cstheme="minorHAnsi"/>
          <w:lang w:val="en-GB"/>
        </w:rPr>
        <w:t>However, n</w:t>
      </w:r>
      <w:r w:rsidR="009C5F05" w:rsidRPr="006B6D34">
        <w:rPr>
          <w:rFonts w:cstheme="minorHAnsi"/>
          <w:lang w:val="en-GB"/>
        </w:rPr>
        <w:t xml:space="preserve">ot quite following Brady’s </w:t>
      </w:r>
      <w:r w:rsidR="002D7488" w:rsidRPr="006B6D34">
        <w:rPr>
          <w:rFonts w:cstheme="minorHAnsi"/>
          <w:lang w:val="en-GB"/>
        </w:rPr>
        <w:t>statement</w:t>
      </w:r>
      <w:r w:rsidR="00234E6A" w:rsidRPr="006B6D34">
        <w:rPr>
          <w:rFonts w:cstheme="minorHAnsi"/>
          <w:lang w:val="en-GB"/>
        </w:rPr>
        <w:t xml:space="preserve"> </w:t>
      </w:r>
      <w:r w:rsidR="009C5F05" w:rsidRPr="006B6D34">
        <w:rPr>
          <w:rFonts w:cstheme="minorHAnsi"/>
          <w:lang w:val="en-GB"/>
        </w:rPr>
        <w:t>that ‘the sacred geographer can also be a researcher of current or historical texts and thus never tread upon sacred soil’</w:t>
      </w:r>
      <w:r w:rsidR="00E974CD">
        <w:rPr>
          <w:rStyle w:val="Funotenzeichen"/>
          <w:rFonts w:cstheme="minorHAnsi"/>
          <w:lang w:val="en-GB"/>
        </w:rPr>
        <w:footnoteReference w:id="31"/>
      </w:r>
      <w:r w:rsidR="009C5F05" w:rsidRPr="006B6D34">
        <w:rPr>
          <w:rFonts w:cstheme="minorHAnsi"/>
          <w:lang w:val="en-GB"/>
        </w:rPr>
        <w:t xml:space="preserve">, I </w:t>
      </w:r>
      <w:r w:rsidR="00C33CD7" w:rsidRPr="006B6D34">
        <w:rPr>
          <w:rFonts w:cstheme="minorHAnsi"/>
          <w:lang w:val="en-GB"/>
        </w:rPr>
        <w:t>did visit</w:t>
      </w:r>
      <w:r w:rsidR="009C5F05" w:rsidRPr="006B6D34">
        <w:rPr>
          <w:rFonts w:cstheme="minorHAnsi"/>
          <w:lang w:val="en-GB"/>
        </w:rPr>
        <w:t xml:space="preserve"> the </w:t>
      </w:r>
      <w:r w:rsidR="00234E6A" w:rsidRPr="006B6D34">
        <w:rPr>
          <w:rFonts w:cstheme="minorHAnsi"/>
          <w:lang w:val="en-GB"/>
        </w:rPr>
        <w:t>trails and museum</w:t>
      </w:r>
      <w:r w:rsidR="00C33CD7" w:rsidRPr="006B6D34">
        <w:rPr>
          <w:rFonts w:cstheme="minorHAnsi"/>
          <w:lang w:val="en-GB"/>
        </w:rPr>
        <w:t xml:space="preserve"> </w:t>
      </w:r>
      <w:r w:rsidR="00234E6A" w:rsidRPr="006B6D34">
        <w:rPr>
          <w:rFonts w:cstheme="minorHAnsi"/>
          <w:lang w:val="en-GB"/>
        </w:rPr>
        <w:t>promoted by the Guggisberg tourist office and hiked on and around the rock-and-hill formation</w:t>
      </w:r>
      <w:r w:rsidR="00C33CD7" w:rsidRPr="006B6D34">
        <w:rPr>
          <w:rFonts w:cstheme="minorHAnsi"/>
          <w:lang w:val="en-GB"/>
        </w:rPr>
        <w:t>.</w:t>
      </w:r>
      <w:r w:rsidR="00234E6A" w:rsidRPr="006B6D34">
        <w:rPr>
          <w:rStyle w:val="Funotenzeichen"/>
          <w:rFonts w:cstheme="minorHAnsi"/>
          <w:lang w:val="en-GB"/>
        </w:rPr>
        <w:footnoteReference w:id="32"/>
      </w:r>
      <w:r w:rsidR="00234E6A" w:rsidRPr="006B6D34">
        <w:rPr>
          <w:rFonts w:cstheme="minorHAnsi"/>
          <w:lang w:val="en-GB"/>
        </w:rPr>
        <w:t xml:space="preserve"> </w:t>
      </w:r>
      <w:r w:rsidR="0074233F" w:rsidRPr="006B6D34">
        <w:rPr>
          <w:rFonts w:cstheme="minorHAnsi"/>
          <w:lang w:val="en-GB"/>
        </w:rPr>
        <w:t xml:space="preserve">(Figure 3) </w:t>
      </w:r>
      <w:r w:rsidR="00C33CD7" w:rsidRPr="006B6D34">
        <w:rPr>
          <w:rFonts w:cstheme="minorHAnsi"/>
          <w:lang w:val="en-GB"/>
        </w:rPr>
        <w:t xml:space="preserve">However, </w:t>
      </w:r>
      <w:r w:rsidR="00234E6A" w:rsidRPr="006B6D34">
        <w:rPr>
          <w:rFonts w:cstheme="minorHAnsi"/>
          <w:lang w:val="en-GB"/>
        </w:rPr>
        <w:t>as they</w:t>
      </w:r>
      <w:r w:rsidR="001C2D42" w:rsidRPr="006B6D34">
        <w:rPr>
          <w:rFonts w:cstheme="minorHAnsi"/>
          <w:lang w:val="en-GB"/>
        </w:rPr>
        <w:t xml:space="preserve"> fail to address the possible sacredness of the </w:t>
      </w:r>
      <w:r w:rsidR="0012325C" w:rsidRPr="006B6D34">
        <w:rPr>
          <w:rFonts w:cstheme="minorHAnsi"/>
          <w:lang w:val="en-GB"/>
        </w:rPr>
        <w:t>landscape itself</w:t>
      </w:r>
      <w:r w:rsidR="00234E6A" w:rsidRPr="006B6D34">
        <w:rPr>
          <w:rFonts w:cstheme="minorHAnsi"/>
          <w:lang w:val="en-GB"/>
        </w:rPr>
        <w:t>, I suspected what</w:t>
      </w:r>
      <w:r w:rsidR="001C2D42" w:rsidRPr="006B6D34">
        <w:rPr>
          <w:rFonts w:cstheme="minorHAnsi"/>
          <w:lang w:val="en-GB"/>
        </w:rPr>
        <w:t xml:space="preserve"> </w:t>
      </w:r>
      <w:r w:rsidR="0030036D" w:rsidRPr="006B6D34">
        <w:rPr>
          <w:rFonts w:cstheme="minorHAnsi"/>
          <w:lang w:val="en-GB"/>
        </w:rPr>
        <w:t xml:space="preserve">Eva Kingsepp </w:t>
      </w:r>
      <w:r w:rsidR="00234E6A" w:rsidRPr="006B6D34">
        <w:rPr>
          <w:rFonts w:cstheme="minorHAnsi"/>
          <w:lang w:val="en-GB"/>
        </w:rPr>
        <w:t>called</w:t>
      </w:r>
      <w:r w:rsidR="0030036D" w:rsidRPr="006B6D34">
        <w:rPr>
          <w:rFonts w:cstheme="minorHAnsi"/>
          <w:lang w:val="en-GB"/>
        </w:rPr>
        <w:t xml:space="preserve"> a taboo </w:t>
      </w:r>
      <w:r w:rsidR="0012325C" w:rsidRPr="006B6D34">
        <w:rPr>
          <w:rFonts w:cstheme="minorHAnsi"/>
          <w:lang w:val="en-GB"/>
        </w:rPr>
        <w:t>surrounding</w:t>
      </w:r>
      <w:r w:rsidR="0030036D" w:rsidRPr="006B6D34">
        <w:rPr>
          <w:rFonts w:cstheme="minorHAnsi"/>
          <w:lang w:val="en-GB"/>
        </w:rPr>
        <w:t xml:space="preserve"> the paranormal</w:t>
      </w:r>
      <w:r w:rsidR="00234E6A" w:rsidRPr="006B6D34">
        <w:rPr>
          <w:rFonts w:cstheme="minorHAnsi"/>
          <w:lang w:val="en-GB"/>
        </w:rPr>
        <w:t xml:space="preserve"> in the </w:t>
      </w:r>
      <w:r w:rsidR="0030036D" w:rsidRPr="006B6D34">
        <w:rPr>
          <w:rFonts w:cstheme="minorHAnsi"/>
          <w:lang w:val="en-GB"/>
        </w:rPr>
        <w:t>Swedish tourist region she studied</w:t>
      </w:r>
      <w:r w:rsidR="00234E6A" w:rsidRPr="006B6D34">
        <w:rPr>
          <w:rFonts w:cstheme="minorHAnsi"/>
          <w:lang w:val="en-GB"/>
        </w:rPr>
        <w:t xml:space="preserve">. She observed that the tourist attraction she studied in Sweden, just like the Guggisberg trail and museum, </w:t>
      </w:r>
      <w:r w:rsidR="0030036D" w:rsidRPr="006B6D34">
        <w:rPr>
          <w:rFonts w:cstheme="minorHAnsi"/>
          <w:lang w:val="en-GB"/>
        </w:rPr>
        <w:t>was based exclusively on the common framework of folklore and cultural heritage.</w:t>
      </w:r>
      <w:r w:rsidR="00234E6A" w:rsidRPr="006B6D34">
        <w:rPr>
          <w:rFonts w:cstheme="minorHAnsi"/>
          <w:lang w:val="en-GB"/>
        </w:rPr>
        <w:t xml:space="preserve"> </w:t>
      </w:r>
      <w:r w:rsidR="0030036D" w:rsidRPr="006B6D34">
        <w:rPr>
          <w:rFonts w:cstheme="minorHAnsi"/>
          <w:lang w:val="en-GB"/>
        </w:rPr>
        <w:t>She noted: ‘When we encounter an unknown, often emotionally charged phenomenon, we tend to use culturally established mechanisms and frameworks of interpretation to understand it and thus defuse it.’</w:t>
      </w:r>
      <w:r w:rsidR="0030036D" w:rsidRPr="006B6D34">
        <w:rPr>
          <w:rStyle w:val="Funotenzeichen"/>
          <w:rFonts w:cstheme="minorHAnsi"/>
          <w:lang w:val="en-GB"/>
        </w:rPr>
        <w:footnoteReference w:id="33"/>
      </w:r>
      <w:r w:rsidR="0030036D" w:rsidRPr="006B6D34">
        <w:rPr>
          <w:rFonts w:cstheme="minorHAnsi"/>
          <w:lang w:val="en-GB"/>
        </w:rPr>
        <w:t xml:space="preserve"> In my </w:t>
      </w:r>
      <w:r w:rsidR="0033088C" w:rsidRPr="006B6D34">
        <w:rPr>
          <w:rFonts w:cstheme="minorHAnsi"/>
          <w:lang w:val="en-GB"/>
        </w:rPr>
        <w:t xml:space="preserve">view, this is also the case in Guggisberg, prompting me to apply a literature-based method to uncover </w:t>
      </w:r>
      <w:r w:rsidR="005E585E" w:rsidRPr="006B6D34">
        <w:rPr>
          <w:rFonts w:cstheme="minorHAnsi"/>
          <w:lang w:val="en-GB"/>
        </w:rPr>
        <w:t xml:space="preserve">the </w:t>
      </w:r>
      <w:r w:rsidR="0033088C" w:rsidRPr="006B6D34">
        <w:rPr>
          <w:rFonts w:cstheme="minorHAnsi"/>
          <w:lang w:val="en-GB"/>
        </w:rPr>
        <w:t>possible sacredness of the hill-and-rock formation</w:t>
      </w:r>
      <w:r w:rsidR="00C36294" w:rsidRPr="006B6D34">
        <w:rPr>
          <w:rFonts w:cstheme="minorHAnsi"/>
          <w:lang w:val="en-GB"/>
        </w:rPr>
        <w:t xml:space="preserve"> in the light of medieval beliefs</w:t>
      </w:r>
      <w:r w:rsidR="005E585E" w:rsidRPr="006B6D34">
        <w:rPr>
          <w:rFonts w:cstheme="minorHAnsi"/>
          <w:lang w:val="en-GB"/>
        </w:rPr>
        <w:t xml:space="preserve">. </w:t>
      </w:r>
      <w:r w:rsidR="00A97B30" w:rsidRPr="006B6D34">
        <w:rPr>
          <w:rFonts w:cstheme="minorHAnsi"/>
          <w:lang w:val="en-GB"/>
        </w:rPr>
        <w:t>To do so, I</w:t>
      </w:r>
      <w:r w:rsidR="0092203B" w:rsidRPr="006B6D34">
        <w:rPr>
          <w:rFonts w:cstheme="minorHAnsi"/>
          <w:lang w:val="en-GB"/>
        </w:rPr>
        <w:t xml:space="preserve"> will consult studies </w:t>
      </w:r>
      <w:r w:rsidR="00A97B30" w:rsidRPr="006B6D34">
        <w:rPr>
          <w:rFonts w:cstheme="minorHAnsi"/>
          <w:lang w:val="en-GB"/>
        </w:rPr>
        <w:t>of the Guggisberg song text and</w:t>
      </w:r>
      <w:r w:rsidR="0092203B" w:rsidRPr="006B6D34">
        <w:rPr>
          <w:rFonts w:cstheme="minorHAnsi"/>
          <w:lang w:val="en-GB"/>
        </w:rPr>
        <w:t xml:space="preserve"> local folktales</w:t>
      </w:r>
      <w:r w:rsidR="00A97B30" w:rsidRPr="006B6D34">
        <w:rPr>
          <w:rFonts w:cstheme="minorHAnsi"/>
          <w:lang w:val="en-GB"/>
        </w:rPr>
        <w:t xml:space="preserve">, while considering, however, Hutton's argument </w:t>
      </w:r>
      <w:r w:rsidR="0092203B" w:rsidRPr="006B6D34">
        <w:rPr>
          <w:rFonts w:cstheme="minorHAnsi"/>
          <w:lang w:val="en-GB"/>
        </w:rPr>
        <w:t>that such works could be problematic</w:t>
      </w:r>
      <w:r w:rsidR="00A97B30" w:rsidRPr="006B6D34">
        <w:rPr>
          <w:rFonts w:cstheme="minorHAnsi"/>
          <w:lang w:val="en-GB"/>
        </w:rPr>
        <w:t xml:space="preserve">. The reason for this is that they </w:t>
      </w:r>
      <w:r w:rsidR="0092203B" w:rsidRPr="006B6D34">
        <w:rPr>
          <w:rFonts w:cstheme="minorHAnsi"/>
          <w:lang w:val="en-GB"/>
        </w:rPr>
        <w:t>were ‘based on the premise that common people, and especially rural people, unthinkingly practised and believed things inherited from earlier epochs, which they no longer understood and were incapable of altering.’</w:t>
      </w:r>
      <w:r w:rsidR="0092203B" w:rsidRPr="006B6D34">
        <w:rPr>
          <w:rStyle w:val="Funotenzeichen"/>
          <w:rFonts w:cstheme="minorHAnsi"/>
          <w:lang w:val="en-GB"/>
        </w:rPr>
        <w:footnoteReference w:id="34"/>
      </w:r>
      <w:r w:rsidR="0092203B" w:rsidRPr="006B6D34">
        <w:rPr>
          <w:rFonts w:cstheme="minorHAnsi"/>
          <w:lang w:val="en-GB"/>
        </w:rPr>
        <w:t xml:space="preserve"> Therefore, I will follow his suggestion to narrow </w:t>
      </w:r>
      <w:r w:rsidR="00A97B30" w:rsidRPr="006B6D34">
        <w:rPr>
          <w:rFonts w:cstheme="minorHAnsi"/>
          <w:lang w:val="en-GB"/>
        </w:rPr>
        <w:t>my focus to the historical context of medieval and early modern sources regarding the beliefs of the time in the German-speaking areas near Guggisberg, without presuming the existence of</w:t>
      </w:r>
      <w:r w:rsidR="0092203B" w:rsidRPr="006B6D34">
        <w:rPr>
          <w:rFonts w:cstheme="minorHAnsi"/>
          <w:lang w:val="en-GB"/>
        </w:rPr>
        <w:t xml:space="preserve"> a cohesive system of ancient beliefs behind them. I will thus focus on the </w:t>
      </w:r>
      <w:r w:rsidR="00A97B30" w:rsidRPr="006B6D34">
        <w:rPr>
          <w:rFonts w:cstheme="minorHAnsi"/>
          <w:lang w:val="en-GB"/>
        </w:rPr>
        <w:t>period between the eleventh and sixteenth centuries, when the monastery was built in the community of Guggisberg,</w:t>
      </w:r>
      <w:r w:rsidR="0092203B" w:rsidRPr="006B6D34">
        <w:rPr>
          <w:rFonts w:cstheme="minorHAnsi"/>
          <w:lang w:val="en-GB"/>
        </w:rPr>
        <w:t xml:space="preserve"> and the Reformation rendered it obsolete.</w:t>
      </w:r>
      <w:r w:rsidR="002957E9" w:rsidRPr="006B6D34">
        <w:rPr>
          <w:rFonts w:cstheme="minorHAnsi"/>
          <w:lang w:val="en-GB"/>
        </w:rPr>
        <w:t xml:space="preserve"> </w:t>
      </w:r>
    </w:p>
    <w:p w14:paraId="79DC4DF5" w14:textId="77777777" w:rsidR="00E974CD" w:rsidRPr="006B6D34" w:rsidRDefault="00E974CD" w:rsidP="00E204FB">
      <w:pPr>
        <w:spacing w:before="100" w:beforeAutospacing="1" w:after="100" w:afterAutospacing="1"/>
        <w:contextualSpacing/>
        <w:rPr>
          <w:rFonts w:cstheme="minorHAnsi"/>
          <w:lang w:val="en-GB"/>
        </w:rPr>
      </w:pPr>
    </w:p>
    <w:p w14:paraId="697AB60B" w14:textId="77777777" w:rsidR="0074233F" w:rsidRPr="006B6D34" w:rsidRDefault="0074233F" w:rsidP="0074233F">
      <w:pPr>
        <w:keepNext/>
        <w:spacing w:before="100" w:beforeAutospacing="1" w:after="100" w:afterAutospacing="1"/>
        <w:jc w:val="center"/>
        <w:rPr>
          <w:rFonts w:cstheme="minorHAnsi"/>
        </w:rPr>
      </w:pPr>
      <w:r w:rsidRPr="006B6D34">
        <w:rPr>
          <w:rFonts w:cstheme="minorHAnsi"/>
          <w:bCs/>
          <w:noProof/>
          <w:bdr w:val="none" w:sz="0" w:space="0" w:color="auto" w:frame="1"/>
          <w:shd w:val="clear" w:color="auto" w:fill="FFFFFF"/>
          <w:lang w:val="en-GB"/>
        </w:rPr>
        <w:drawing>
          <wp:inline distT="0" distB="0" distL="0" distR="0" wp14:anchorId="340B4253" wp14:editId="53DF4784">
            <wp:extent cx="5761355" cy="3919855"/>
            <wp:effectExtent l="0" t="0" r="0" b="4445"/>
            <wp:docPr id="211165567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1355" cy="3919855"/>
                    </a:xfrm>
                    <a:prstGeom prst="rect">
                      <a:avLst/>
                    </a:prstGeom>
                    <a:noFill/>
                  </pic:spPr>
                </pic:pic>
              </a:graphicData>
            </a:graphic>
          </wp:inline>
        </w:drawing>
      </w:r>
    </w:p>
    <w:p w14:paraId="5DF73466" w14:textId="3E5F96D6" w:rsidR="00835D1D" w:rsidRPr="006B6D34" w:rsidRDefault="0074233F" w:rsidP="0074233F">
      <w:pPr>
        <w:pStyle w:val="Beschriftung"/>
        <w:jc w:val="center"/>
        <w:rPr>
          <w:rFonts w:cstheme="minorHAnsi"/>
          <w:bCs/>
          <w:bdr w:val="none" w:sz="0" w:space="0" w:color="auto" w:frame="1"/>
          <w:shd w:val="clear" w:color="auto" w:fill="FFFFFF"/>
          <w:lang w:val="en-GB"/>
        </w:rPr>
      </w:pPr>
      <w:r w:rsidRPr="006B6D34">
        <w:rPr>
          <w:rFonts w:cstheme="minorHAnsi"/>
          <w:lang w:val="en-GB"/>
        </w:rPr>
        <w:t xml:space="preserve">Figure </w:t>
      </w:r>
      <w:r w:rsidRPr="006B6D34">
        <w:rPr>
          <w:rFonts w:cstheme="minorHAnsi"/>
        </w:rPr>
        <w:fldChar w:fldCharType="begin"/>
      </w:r>
      <w:r w:rsidRPr="006B6D34">
        <w:rPr>
          <w:rFonts w:cstheme="minorHAnsi"/>
          <w:lang w:val="en-GB"/>
        </w:rPr>
        <w:instrText xml:space="preserve"> SEQ Figure \* ARABIC </w:instrText>
      </w:r>
      <w:r w:rsidRPr="006B6D34">
        <w:rPr>
          <w:rFonts w:cstheme="minorHAnsi"/>
        </w:rPr>
        <w:fldChar w:fldCharType="separate"/>
      </w:r>
      <w:r w:rsidRPr="006B6D34">
        <w:rPr>
          <w:rFonts w:cstheme="minorHAnsi"/>
          <w:noProof/>
          <w:lang w:val="en-GB"/>
        </w:rPr>
        <w:t>2</w:t>
      </w:r>
      <w:r w:rsidRPr="006B6D34">
        <w:rPr>
          <w:rFonts w:cstheme="minorHAnsi"/>
        </w:rPr>
        <w:fldChar w:fldCharType="end"/>
      </w:r>
      <w:r w:rsidRPr="006B6D34">
        <w:rPr>
          <w:rFonts w:cstheme="minorHAnsi"/>
          <w:lang w:val="en-GB"/>
        </w:rPr>
        <w:t>: Hiking map of the rock-and-hill formation ‘</w:t>
      </w:r>
      <w:proofErr w:type="spellStart"/>
      <w:r w:rsidRPr="006B6D34">
        <w:rPr>
          <w:rFonts w:cstheme="minorHAnsi"/>
          <w:lang w:val="en-GB"/>
        </w:rPr>
        <w:t>Guggershornli</w:t>
      </w:r>
      <w:proofErr w:type="spellEnd"/>
      <w:r w:rsidRPr="006B6D34">
        <w:rPr>
          <w:rFonts w:cstheme="minorHAnsi"/>
          <w:lang w:val="en-GB"/>
        </w:rPr>
        <w:t>’ and ‘</w:t>
      </w:r>
      <w:proofErr w:type="spellStart"/>
      <w:r w:rsidRPr="006B6D34">
        <w:rPr>
          <w:rFonts w:cstheme="minorHAnsi"/>
          <w:lang w:val="en-GB"/>
        </w:rPr>
        <w:t>Schwendelberg</w:t>
      </w:r>
      <w:proofErr w:type="spellEnd"/>
      <w:r w:rsidRPr="006B6D34">
        <w:rPr>
          <w:rFonts w:cstheme="minorHAnsi"/>
          <w:lang w:val="en-GB"/>
        </w:rPr>
        <w:t>’. (Credit: Guggisberg Tourist Office)</w:t>
      </w:r>
      <w:r w:rsidRPr="006B6D34">
        <w:rPr>
          <w:rStyle w:val="Funotenzeichen"/>
          <w:rFonts w:cstheme="minorHAnsi"/>
          <w:lang w:val="en-GB"/>
        </w:rPr>
        <w:footnoteReference w:id="35"/>
      </w:r>
    </w:p>
    <w:p w14:paraId="1BF3D692" w14:textId="1E19FF6B" w:rsidR="00A369EE" w:rsidRPr="006B6D34" w:rsidRDefault="00EF4B67" w:rsidP="008914BE">
      <w:pPr>
        <w:spacing w:before="100" w:beforeAutospacing="1" w:after="100" w:afterAutospacing="1"/>
        <w:rPr>
          <w:rFonts w:cstheme="minorHAnsi"/>
          <w:b/>
          <w:sz w:val="28"/>
          <w:szCs w:val="28"/>
          <w:bdr w:val="none" w:sz="0" w:space="0" w:color="auto" w:frame="1"/>
          <w:shd w:val="clear" w:color="auto" w:fill="FFFFFF"/>
          <w:lang w:val="en-GB"/>
        </w:rPr>
      </w:pPr>
      <w:r w:rsidRPr="006B6D34">
        <w:rPr>
          <w:rFonts w:cstheme="minorHAnsi"/>
          <w:b/>
          <w:sz w:val="28"/>
          <w:szCs w:val="28"/>
          <w:bdr w:val="none" w:sz="0" w:space="0" w:color="auto" w:frame="1"/>
          <w:shd w:val="clear" w:color="auto" w:fill="FFFFFF"/>
          <w:lang w:val="en-GB"/>
        </w:rPr>
        <w:t>Findings/Discussion</w:t>
      </w:r>
    </w:p>
    <w:p w14:paraId="51D4E09E" w14:textId="428EAF2C" w:rsidR="000209EE" w:rsidRPr="006B6D34" w:rsidRDefault="00E91C18" w:rsidP="000209EE">
      <w:pPr>
        <w:rPr>
          <w:rFonts w:cstheme="minorHAnsi"/>
          <w:b/>
          <w:bdr w:val="none" w:sz="0" w:space="0" w:color="auto" w:frame="1"/>
          <w:shd w:val="clear" w:color="auto" w:fill="FFFFFF"/>
          <w:lang w:val="en-GB"/>
        </w:rPr>
      </w:pPr>
      <w:r w:rsidRPr="006B6D34">
        <w:rPr>
          <w:rFonts w:cstheme="minorHAnsi"/>
          <w:b/>
          <w:bdr w:val="none" w:sz="0" w:space="0" w:color="auto" w:frame="1"/>
          <w:shd w:val="clear" w:color="auto" w:fill="FFFFFF"/>
          <w:lang w:val="en-GB"/>
        </w:rPr>
        <w:t>The song</w:t>
      </w:r>
    </w:p>
    <w:p w14:paraId="53626B70" w14:textId="735EE386" w:rsidR="00CA0BDF" w:rsidRDefault="00E0186A" w:rsidP="003D2817">
      <w:pPr>
        <w:rPr>
          <w:rFonts w:cstheme="minorHAnsi"/>
          <w:bCs/>
          <w:bdr w:val="none" w:sz="0" w:space="0" w:color="auto" w:frame="1"/>
          <w:shd w:val="clear" w:color="auto" w:fill="FFFFFF"/>
          <w:lang w:val="en-GB"/>
        </w:rPr>
      </w:pPr>
      <w:r w:rsidRPr="006B6D34">
        <w:rPr>
          <w:rFonts w:cstheme="minorHAnsi"/>
          <w:bCs/>
          <w:bdr w:val="none" w:sz="0" w:space="0" w:color="auto" w:frame="1"/>
          <w:shd w:val="clear" w:color="auto" w:fill="FFFFFF"/>
          <w:lang w:val="en-GB"/>
        </w:rPr>
        <w:t>Lane argued that an awareness shift occurs when a seemingly normal place, which is just a dot on the map, suddenly or over time becomes important.</w:t>
      </w:r>
      <w:r w:rsidRPr="006B6D34">
        <w:rPr>
          <w:rStyle w:val="Funotenzeichen"/>
          <w:rFonts w:cstheme="minorHAnsi"/>
          <w:bCs/>
          <w:bdr w:val="none" w:sz="0" w:space="0" w:color="auto" w:frame="1"/>
          <w:shd w:val="clear" w:color="auto" w:fill="FFFFFF"/>
          <w:lang w:val="en-GB"/>
        </w:rPr>
        <w:footnoteReference w:id="36"/>
      </w:r>
      <w:r w:rsidRPr="006B6D34">
        <w:rPr>
          <w:rFonts w:cstheme="minorHAnsi"/>
          <w:bCs/>
          <w:bdr w:val="none" w:sz="0" w:space="0" w:color="auto" w:frame="1"/>
          <w:shd w:val="clear" w:color="auto" w:fill="FFFFFF"/>
          <w:lang w:val="en-GB"/>
        </w:rPr>
        <w:t xml:space="preserve"> In the case of Guggisberg, it is curious that a rather unremarkable rock-and-hill formation, which is by no means higher or more dramatic than the mountains behind it, has national significance. This is not due to the tourist office’s efforts to promote it, but </w:t>
      </w:r>
      <w:r w:rsidR="008C6EBA" w:rsidRPr="006B6D34">
        <w:rPr>
          <w:rFonts w:cstheme="minorHAnsi"/>
          <w:bCs/>
          <w:bdr w:val="none" w:sz="0" w:space="0" w:color="auto" w:frame="1"/>
          <w:shd w:val="clear" w:color="auto" w:fill="FFFFFF"/>
          <w:lang w:val="en-GB"/>
        </w:rPr>
        <w:t>rather b</w:t>
      </w:r>
      <w:r w:rsidR="005D2AAF" w:rsidRPr="006B6D34">
        <w:rPr>
          <w:rFonts w:cstheme="minorHAnsi"/>
          <w:bCs/>
          <w:bdr w:val="none" w:sz="0" w:space="0" w:color="auto" w:frame="1"/>
          <w:shd w:val="clear" w:color="auto" w:fill="FFFFFF"/>
          <w:lang w:val="en-GB"/>
        </w:rPr>
        <w:t xml:space="preserve">ecause the </w:t>
      </w:r>
      <w:r w:rsidRPr="006B6D34">
        <w:rPr>
          <w:rFonts w:cstheme="minorHAnsi"/>
          <w:bCs/>
          <w:bdr w:val="none" w:sz="0" w:space="0" w:color="auto" w:frame="1"/>
          <w:shd w:val="clear" w:color="auto" w:fill="FFFFFF"/>
          <w:lang w:val="en-GB"/>
        </w:rPr>
        <w:t>Guggisberg song</w:t>
      </w:r>
      <w:r w:rsidR="005D2AAF" w:rsidRPr="006B6D34">
        <w:rPr>
          <w:rFonts w:cstheme="minorHAnsi"/>
          <w:bCs/>
          <w:bdr w:val="none" w:sz="0" w:space="0" w:color="auto" w:frame="1"/>
          <w:shd w:val="clear" w:color="auto" w:fill="FFFFFF"/>
          <w:lang w:val="en-GB"/>
        </w:rPr>
        <w:t xml:space="preserve"> transports a memory of the formation’s sacredness </w:t>
      </w:r>
      <w:r w:rsidR="00CA0BDF" w:rsidRPr="006B6D34">
        <w:rPr>
          <w:rFonts w:cstheme="minorHAnsi"/>
          <w:bCs/>
          <w:bdr w:val="none" w:sz="0" w:space="0" w:color="auto" w:frame="1"/>
          <w:shd w:val="clear" w:color="auto" w:fill="FFFFFF"/>
          <w:lang w:val="en-GB"/>
        </w:rPr>
        <w:t>in</w:t>
      </w:r>
      <w:r w:rsidR="005D2AAF" w:rsidRPr="006B6D34">
        <w:rPr>
          <w:rFonts w:cstheme="minorHAnsi"/>
          <w:bCs/>
          <w:bdr w:val="none" w:sz="0" w:space="0" w:color="auto" w:frame="1"/>
          <w:shd w:val="clear" w:color="auto" w:fill="FFFFFF"/>
          <w:lang w:val="en-GB"/>
        </w:rPr>
        <w:t xml:space="preserve"> its </w:t>
      </w:r>
      <w:r w:rsidR="008C6EBA" w:rsidRPr="006B6D34">
        <w:rPr>
          <w:rFonts w:cstheme="minorHAnsi"/>
          <w:bCs/>
          <w:bdr w:val="none" w:sz="0" w:space="0" w:color="auto" w:frame="1"/>
          <w:shd w:val="clear" w:color="auto" w:fill="FFFFFF"/>
          <w:lang w:val="en-GB"/>
        </w:rPr>
        <w:t xml:space="preserve">text and </w:t>
      </w:r>
      <w:r w:rsidR="005D2AAF" w:rsidRPr="006B6D34">
        <w:rPr>
          <w:rFonts w:cstheme="minorHAnsi"/>
          <w:bCs/>
          <w:bdr w:val="none" w:sz="0" w:space="0" w:color="auto" w:frame="1"/>
          <w:shd w:val="clear" w:color="auto" w:fill="FFFFFF"/>
          <w:lang w:val="en-GB"/>
        </w:rPr>
        <w:t>melody. Von Greyerz wrote that ‘no one can completely escape the quiet power that this ancient, solemn minor key’ song exerts.</w:t>
      </w:r>
      <w:r w:rsidR="00665732" w:rsidRPr="006B6D34">
        <w:rPr>
          <w:rStyle w:val="Funotenzeichen"/>
          <w:rFonts w:cstheme="minorHAnsi"/>
          <w:bCs/>
          <w:bdr w:val="none" w:sz="0" w:space="0" w:color="auto" w:frame="1"/>
          <w:shd w:val="clear" w:color="auto" w:fill="FFFFFF"/>
          <w:lang w:val="en-GB"/>
        </w:rPr>
        <w:footnoteReference w:id="37"/>
      </w:r>
      <w:r w:rsidR="00665732" w:rsidRPr="006B6D34">
        <w:rPr>
          <w:rFonts w:cstheme="minorHAnsi"/>
          <w:bCs/>
          <w:bdr w:val="none" w:sz="0" w:space="0" w:color="auto" w:frame="1"/>
          <w:shd w:val="clear" w:color="auto" w:fill="FFFFFF"/>
          <w:lang w:val="en-GB"/>
        </w:rPr>
        <w:t xml:space="preserve"> While the tourist office promotes the song as based on an alleged eighteenth-century love story,</w:t>
      </w:r>
      <w:r w:rsidR="00E91C18" w:rsidRPr="006B6D34">
        <w:rPr>
          <w:rFonts w:cstheme="minorHAnsi"/>
          <w:bCs/>
          <w:bdr w:val="none" w:sz="0" w:space="0" w:color="auto" w:frame="1"/>
          <w:shd w:val="clear" w:color="auto" w:fill="FFFFFF"/>
          <w:lang w:val="en-GB"/>
        </w:rPr>
        <w:t xml:space="preserve"> </w:t>
      </w:r>
      <w:r w:rsidR="00665732" w:rsidRPr="006B6D34">
        <w:rPr>
          <w:rFonts w:cstheme="minorHAnsi"/>
          <w:bCs/>
          <w:bdr w:val="none" w:sz="0" w:space="0" w:color="auto" w:frame="1"/>
          <w:shd w:val="clear" w:color="auto" w:fill="FFFFFF"/>
          <w:lang w:val="en-GB"/>
        </w:rPr>
        <w:t xml:space="preserve">this claim is </w:t>
      </w:r>
      <w:r w:rsidR="008C6EBA" w:rsidRPr="006B6D34">
        <w:rPr>
          <w:rFonts w:cstheme="minorHAnsi"/>
          <w:bCs/>
          <w:bdr w:val="none" w:sz="0" w:space="0" w:color="auto" w:frame="1"/>
          <w:shd w:val="clear" w:color="auto" w:fill="FFFFFF"/>
          <w:lang w:val="en-GB"/>
        </w:rPr>
        <w:t xml:space="preserve">highly </w:t>
      </w:r>
      <w:r w:rsidR="00665732" w:rsidRPr="006B6D34">
        <w:rPr>
          <w:rFonts w:cstheme="minorHAnsi"/>
          <w:bCs/>
          <w:bdr w:val="none" w:sz="0" w:space="0" w:color="auto" w:frame="1"/>
          <w:shd w:val="clear" w:color="auto" w:fill="FFFFFF"/>
          <w:lang w:val="en-GB"/>
        </w:rPr>
        <w:t>debated.</w:t>
      </w:r>
      <w:r w:rsidR="00665732" w:rsidRPr="006B6D34">
        <w:rPr>
          <w:rStyle w:val="Funotenzeichen"/>
          <w:rFonts w:cstheme="minorHAnsi"/>
          <w:bCs/>
          <w:bdr w:val="none" w:sz="0" w:space="0" w:color="auto" w:frame="1"/>
          <w:shd w:val="clear" w:color="auto" w:fill="FFFFFF"/>
          <w:lang w:val="en-GB"/>
        </w:rPr>
        <w:footnoteReference w:id="38"/>
      </w:r>
      <w:r w:rsidR="00E91C18" w:rsidRPr="006B6D34">
        <w:rPr>
          <w:rFonts w:cstheme="minorHAnsi"/>
          <w:bCs/>
          <w:bdr w:val="none" w:sz="0" w:space="0" w:color="auto" w:frame="1"/>
          <w:shd w:val="clear" w:color="auto" w:fill="FFFFFF"/>
          <w:lang w:val="en-GB"/>
        </w:rPr>
        <w:t xml:space="preserve"> </w:t>
      </w:r>
      <w:r w:rsidR="00FA2C9E" w:rsidRPr="006B6D34">
        <w:rPr>
          <w:rFonts w:cstheme="minorHAnsi"/>
          <w:bCs/>
          <w:bdr w:val="none" w:sz="0" w:space="0" w:color="auto" w:frame="1"/>
          <w:shd w:val="clear" w:color="auto" w:fill="FFFFFF"/>
          <w:lang w:val="en-GB"/>
        </w:rPr>
        <w:t xml:space="preserve">Similar to Kingsepp's observations in the Swedish tourist region she studied, when faced with an unfamiliar and often emotionally intense situation, people typically rely on culturally established methods and interpretive frameworks to make sense of it and alleviate </w:t>
      </w:r>
      <w:r w:rsidR="006762C3" w:rsidRPr="006B6D34">
        <w:rPr>
          <w:rFonts w:cstheme="minorHAnsi"/>
          <w:bCs/>
          <w:bdr w:val="none" w:sz="0" w:space="0" w:color="auto" w:frame="1"/>
          <w:shd w:val="clear" w:color="auto" w:fill="FFFFFF"/>
          <w:lang w:val="en-GB"/>
        </w:rPr>
        <w:t xml:space="preserve">any </w:t>
      </w:r>
      <w:r w:rsidR="00FA2C9E" w:rsidRPr="006B6D34">
        <w:rPr>
          <w:rFonts w:cstheme="minorHAnsi"/>
          <w:bCs/>
          <w:bdr w:val="none" w:sz="0" w:space="0" w:color="auto" w:frame="1"/>
          <w:shd w:val="clear" w:color="auto" w:fill="FFFFFF"/>
          <w:lang w:val="en-GB"/>
        </w:rPr>
        <w:t>concerns</w:t>
      </w:r>
      <w:r w:rsidR="00FA2C9E" w:rsidRPr="006B6D34">
        <w:rPr>
          <w:rFonts w:cstheme="minorHAnsi"/>
          <w:lang w:val="en-GB"/>
        </w:rPr>
        <w:t>.</w:t>
      </w:r>
      <w:r w:rsidR="008C6EBA" w:rsidRPr="006B6D34">
        <w:rPr>
          <w:rStyle w:val="Funotenzeichen"/>
          <w:rFonts w:cstheme="minorHAnsi"/>
          <w:lang w:val="en-GB"/>
        </w:rPr>
        <w:footnoteReference w:id="39"/>
      </w:r>
      <w:r w:rsidR="00AD6BB9" w:rsidRPr="006B6D34">
        <w:rPr>
          <w:rFonts w:cstheme="minorHAnsi"/>
          <w:lang w:val="en-GB"/>
        </w:rPr>
        <w:t xml:space="preserve"> </w:t>
      </w:r>
      <w:r w:rsidR="00AD6BB9" w:rsidRPr="006B6D34">
        <w:rPr>
          <w:rFonts w:cstheme="minorHAnsi"/>
          <w:bCs/>
          <w:bdr w:val="none" w:sz="0" w:space="0" w:color="auto" w:frame="1"/>
          <w:shd w:val="clear" w:color="auto" w:fill="FFFFFF"/>
          <w:lang w:val="en-GB"/>
        </w:rPr>
        <w:t>The municipality of Guggisberg, in the Canton of Berne,</w:t>
      </w:r>
      <w:r w:rsidR="00F87868" w:rsidRPr="006B6D34">
        <w:rPr>
          <w:rFonts w:cstheme="minorHAnsi"/>
          <w:bCs/>
          <w:bdr w:val="none" w:sz="0" w:space="0" w:color="auto" w:frame="1"/>
          <w:shd w:val="clear" w:color="auto" w:fill="FFFFFF"/>
          <w:lang w:val="en-GB"/>
        </w:rPr>
        <w:t xml:space="preserve"> has been Protestant for centuries, whereas its direct neighbours in the Canton of Fribourg have </w:t>
      </w:r>
      <w:r w:rsidR="00AD6BB9" w:rsidRPr="006B6D34">
        <w:rPr>
          <w:rFonts w:cstheme="minorHAnsi"/>
          <w:bCs/>
          <w:bdr w:val="none" w:sz="0" w:space="0" w:color="auto" w:frame="1"/>
          <w:shd w:val="clear" w:color="auto" w:fill="FFFFFF"/>
          <w:lang w:val="en-GB"/>
        </w:rPr>
        <w:t xml:space="preserve">remained Catholic. Some folktales still </w:t>
      </w:r>
      <w:r w:rsidR="00F87868" w:rsidRPr="006B6D34">
        <w:rPr>
          <w:rFonts w:cstheme="minorHAnsi"/>
          <w:bCs/>
          <w:bdr w:val="none" w:sz="0" w:space="0" w:color="auto" w:frame="1"/>
          <w:shd w:val="clear" w:color="auto" w:fill="FFFFFF"/>
          <w:lang w:val="en-GB"/>
        </w:rPr>
        <w:t>directly address the inner</w:t>
      </w:r>
      <w:r w:rsidR="00AD6BB9" w:rsidRPr="006B6D34">
        <w:rPr>
          <w:rFonts w:cstheme="minorHAnsi"/>
          <w:bCs/>
          <w:bdr w:val="none" w:sz="0" w:space="0" w:color="auto" w:frame="1"/>
          <w:shd w:val="clear" w:color="auto" w:fill="FFFFFF"/>
          <w:lang w:val="en-GB"/>
        </w:rPr>
        <w:t xml:space="preserve"> dilemma of</w:t>
      </w:r>
      <w:r w:rsidR="00F87868" w:rsidRPr="006B6D34">
        <w:rPr>
          <w:rFonts w:cstheme="minorHAnsi"/>
          <w:bCs/>
          <w:bdr w:val="none" w:sz="0" w:space="0" w:color="auto" w:frame="1"/>
          <w:shd w:val="clear" w:color="auto" w:fill="FFFFFF"/>
          <w:lang w:val="en-GB"/>
        </w:rPr>
        <w:t xml:space="preserve"> some</w:t>
      </w:r>
      <w:r w:rsidR="00AD6BB9" w:rsidRPr="006B6D34">
        <w:rPr>
          <w:rFonts w:cstheme="minorHAnsi"/>
          <w:bCs/>
          <w:bdr w:val="none" w:sz="0" w:space="0" w:color="auto" w:frame="1"/>
          <w:shd w:val="clear" w:color="auto" w:fill="FFFFFF"/>
          <w:lang w:val="en-GB"/>
        </w:rPr>
        <w:t xml:space="preserve"> individuals. </w:t>
      </w:r>
      <w:r w:rsidR="00AD6BB9" w:rsidRPr="006B6D34">
        <w:rPr>
          <w:rFonts w:cstheme="minorHAnsi"/>
          <w:lang w:val="en-GB"/>
        </w:rPr>
        <w:t xml:space="preserve">However, </w:t>
      </w:r>
      <w:r w:rsidR="00F87868" w:rsidRPr="006B6D34">
        <w:rPr>
          <w:rFonts w:cstheme="minorHAnsi"/>
          <w:lang w:val="en-GB"/>
        </w:rPr>
        <w:t>by applying Ingold’s suggestion to ‘making one’s way, actively and attentively, through the text’ and music, re-integrating looking and listening, it is possible to go beyond the culturally established framework</w:t>
      </w:r>
      <w:r w:rsidR="00F87868" w:rsidRPr="006B6D34">
        <w:rPr>
          <w:rFonts w:cstheme="minorHAnsi"/>
          <w:bCs/>
          <w:bdr w:val="none" w:sz="0" w:space="0" w:color="auto" w:frame="1"/>
          <w:shd w:val="clear" w:color="auto" w:fill="FFFFFF"/>
          <w:lang w:val="en-GB"/>
        </w:rPr>
        <w:t>. The</w:t>
      </w:r>
      <w:r w:rsidR="003D2817" w:rsidRPr="006B6D34">
        <w:rPr>
          <w:rFonts w:cstheme="minorHAnsi"/>
          <w:bCs/>
          <w:bdr w:val="none" w:sz="0" w:space="0" w:color="auto" w:frame="1"/>
          <w:shd w:val="clear" w:color="auto" w:fill="FFFFFF"/>
          <w:lang w:val="en-GB"/>
        </w:rPr>
        <w:t xml:space="preserve"> text and melody</w:t>
      </w:r>
      <w:r w:rsidR="00F87868" w:rsidRPr="006B6D34">
        <w:rPr>
          <w:rFonts w:cstheme="minorHAnsi"/>
          <w:bCs/>
          <w:bdr w:val="none" w:sz="0" w:space="0" w:color="auto" w:frame="1"/>
          <w:shd w:val="clear" w:color="auto" w:fill="FFFFFF"/>
          <w:lang w:val="en-GB"/>
        </w:rPr>
        <w:t xml:space="preserve"> suggest that the song reflects</w:t>
      </w:r>
      <w:r w:rsidR="00E91C18" w:rsidRPr="006B6D34">
        <w:rPr>
          <w:rFonts w:cstheme="minorHAnsi"/>
          <w:bCs/>
          <w:bdr w:val="none" w:sz="0" w:space="0" w:color="auto" w:frame="1"/>
          <w:shd w:val="clear" w:color="auto" w:fill="FFFFFF"/>
          <w:lang w:val="en-GB"/>
        </w:rPr>
        <w:t xml:space="preserve"> very old beliefs</w:t>
      </w:r>
      <w:r w:rsidR="00F87868" w:rsidRPr="006B6D34">
        <w:rPr>
          <w:rFonts w:cstheme="minorHAnsi"/>
          <w:bCs/>
          <w:bdr w:val="none" w:sz="0" w:space="0" w:color="auto" w:frame="1"/>
          <w:shd w:val="clear" w:color="auto" w:fill="FFFFFF"/>
          <w:lang w:val="en-GB"/>
        </w:rPr>
        <w:t xml:space="preserve"> that extend beyond the Reformation's disruptions</w:t>
      </w:r>
      <w:r w:rsidR="003D2817" w:rsidRPr="006B6D34">
        <w:rPr>
          <w:rFonts w:cstheme="minorHAnsi"/>
          <w:bCs/>
          <w:bdr w:val="none" w:sz="0" w:space="0" w:color="auto" w:frame="1"/>
          <w:shd w:val="clear" w:color="auto" w:fill="FFFFFF"/>
          <w:lang w:val="en-GB"/>
        </w:rPr>
        <w:t>.</w:t>
      </w:r>
      <w:r w:rsidR="003D2817" w:rsidRPr="006B6D34">
        <w:rPr>
          <w:rStyle w:val="Funotenzeichen"/>
          <w:rFonts w:cstheme="minorHAnsi"/>
          <w:lang w:val="en-GB"/>
        </w:rPr>
        <w:footnoteReference w:id="40"/>
      </w:r>
      <w:r w:rsidR="00E91C18" w:rsidRPr="006B6D34">
        <w:rPr>
          <w:rFonts w:cstheme="minorHAnsi"/>
          <w:bCs/>
          <w:bdr w:val="none" w:sz="0" w:space="0" w:color="auto" w:frame="1"/>
          <w:shd w:val="clear" w:color="auto" w:fill="FFFFFF"/>
          <w:lang w:val="en-GB"/>
        </w:rPr>
        <w:t xml:space="preserve"> </w:t>
      </w:r>
      <w:r w:rsidR="003D2817" w:rsidRPr="006B6D34">
        <w:rPr>
          <w:rFonts w:cstheme="minorHAnsi"/>
          <w:bCs/>
          <w:bdr w:val="none" w:sz="0" w:space="0" w:color="auto" w:frame="1"/>
          <w:shd w:val="clear" w:color="auto" w:fill="FFFFFF"/>
          <w:lang w:val="en-GB"/>
        </w:rPr>
        <w:t>V</w:t>
      </w:r>
      <w:r w:rsidR="00E91C18" w:rsidRPr="006B6D34">
        <w:rPr>
          <w:rFonts w:cstheme="minorHAnsi"/>
          <w:bCs/>
          <w:bdr w:val="none" w:sz="0" w:space="0" w:color="auto" w:frame="1"/>
          <w:shd w:val="clear" w:color="auto" w:fill="FFFFFF"/>
          <w:lang w:val="en-GB"/>
        </w:rPr>
        <w:t xml:space="preserve">on Greyerz </w:t>
      </w:r>
      <w:r w:rsidR="003D2817" w:rsidRPr="006B6D34">
        <w:rPr>
          <w:rFonts w:cstheme="minorHAnsi"/>
          <w:bCs/>
          <w:bdr w:val="none" w:sz="0" w:space="0" w:color="auto" w:frame="1"/>
          <w:shd w:val="clear" w:color="auto" w:fill="FFFFFF"/>
          <w:lang w:val="en-GB"/>
        </w:rPr>
        <w:t xml:space="preserve">recognized, alongside older structural motifs and forms in the verses, </w:t>
      </w:r>
      <w:r w:rsidR="00665732" w:rsidRPr="006B6D34">
        <w:rPr>
          <w:rFonts w:cstheme="minorHAnsi"/>
          <w:bCs/>
          <w:bdr w:val="none" w:sz="0" w:space="0" w:color="auto" w:frame="1"/>
          <w:shd w:val="clear" w:color="auto" w:fill="FFFFFF"/>
          <w:lang w:val="en-GB"/>
        </w:rPr>
        <w:t>the influence of church hymns, which gained popularity outside church services in the sixteenth century through Protestant congregational singing.</w:t>
      </w:r>
      <w:r w:rsidR="00E91C18" w:rsidRPr="006B6D34">
        <w:rPr>
          <w:rStyle w:val="Funotenzeichen"/>
          <w:rFonts w:cstheme="minorHAnsi"/>
          <w:bCs/>
          <w:bdr w:val="none" w:sz="0" w:space="0" w:color="auto" w:frame="1"/>
          <w:shd w:val="clear" w:color="auto" w:fill="FFFFFF"/>
          <w:lang w:val="en-GB"/>
        </w:rPr>
        <w:footnoteReference w:id="41"/>
      </w:r>
      <w:r w:rsidR="005D2AAF" w:rsidRPr="006B6D34">
        <w:rPr>
          <w:rFonts w:cstheme="minorHAnsi"/>
          <w:bCs/>
          <w:bdr w:val="none" w:sz="0" w:space="0" w:color="auto" w:frame="1"/>
          <w:shd w:val="clear" w:color="auto" w:fill="FFFFFF"/>
          <w:lang w:val="en-GB"/>
        </w:rPr>
        <w:t xml:space="preserve"> </w:t>
      </w:r>
      <w:r w:rsidR="00433E40" w:rsidRPr="006B6D34">
        <w:rPr>
          <w:rFonts w:cstheme="minorHAnsi"/>
          <w:bCs/>
          <w:bdr w:val="none" w:sz="0" w:space="0" w:color="auto" w:frame="1"/>
          <w:shd w:val="clear" w:color="auto" w:fill="FFFFFF"/>
          <w:lang w:val="en-GB"/>
        </w:rPr>
        <w:t xml:space="preserve">Therefore, melodies that </w:t>
      </w:r>
      <w:r w:rsidR="00003298" w:rsidRPr="006B6D34">
        <w:rPr>
          <w:rFonts w:cstheme="minorHAnsi"/>
          <w:bCs/>
          <w:bdr w:val="none" w:sz="0" w:space="0" w:color="auto" w:frame="1"/>
          <w:shd w:val="clear" w:color="auto" w:fill="FFFFFF"/>
          <w:lang w:val="en-GB"/>
        </w:rPr>
        <w:t>had once</w:t>
      </w:r>
      <w:r w:rsidR="00433E40" w:rsidRPr="006B6D34">
        <w:rPr>
          <w:rFonts w:cstheme="minorHAnsi"/>
          <w:bCs/>
          <w:bdr w:val="none" w:sz="0" w:space="0" w:color="auto" w:frame="1"/>
          <w:shd w:val="clear" w:color="auto" w:fill="FFFFFF"/>
          <w:lang w:val="en-GB"/>
        </w:rPr>
        <w:t xml:space="preserve"> been sung in Catholic church services were now transported into folksongs.</w:t>
      </w:r>
    </w:p>
    <w:p w14:paraId="72C77B79" w14:textId="77777777" w:rsidR="00731C96" w:rsidRPr="006B6D34" w:rsidRDefault="00731C96" w:rsidP="003D2817">
      <w:pPr>
        <w:rPr>
          <w:rFonts w:cstheme="minorHAnsi"/>
          <w:bCs/>
          <w:i/>
          <w:iCs/>
          <w:bdr w:val="none" w:sz="0" w:space="0" w:color="auto" w:frame="1"/>
          <w:shd w:val="clear" w:color="auto" w:fill="FFFFFF"/>
          <w:lang w:val="en-GB"/>
        </w:rPr>
      </w:pPr>
    </w:p>
    <w:p w14:paraId="62D978AB" w14:textId="77777777" w:rsidR="00731C96" w:rsidRPr="006B6D34" w:rsidRDefault="00731C96" w:rsidP="00731C96">
      <w:pPr>
        <w:rPr>
          <w:rFonts w:cstheme="minorHAnsi"/>
          <w:b/>
          <w:bdr w:val="none" w:sz="0" w:space="0" w:color="auto" w:frame="1"/>
          <w:shd w:val="clear" w:color="auto" w:fill="FFFFFF"/>
          <w:lang w:val="en-GB"/>
        </w:rPr>
      </w:pPr>
      <w:r w:rsidRPr="006B6D34">
        <w:rPr>
          <w:rFonts w:cstheme="minorHAnsi"/>
          <w:b/>
          <w:bdr w:val="none" w:sz="0" w:space="0" w:color="auto" w:frame="1"/>
          <w:shd w:val="clear" w:color="auto" w:fill="FFFFFF"/>
          <w:lang w:val="en-GB"/>
        </w:rPr>
        <w:t>The folktales</w:t>
      </w:r>
    </w:p>
    <w:p w14:paraId="4BF7169B" w14:textId="77777777" w:rsidR="00731C96" w:rsidRPr="006B6D34" w:rsidRDefault="00731C96" w:rsidP="00731C96">
      <w:pPr>
        <w:rPr>
          <w:rFonts w:cstheme="minorHAnsi"/>
          <w:bCs/>
          <w:bdr w:val="none" w:sz="0" w:space="0" w:color="auto" w:frame="1"/>
          <w:shd w:val="clear" w:color="auto" w:fill="FFFFFF"/>
          <w:lang w:val="en-GB"/>
        </w:rPr>
      </w:pPr>
      <w:r w:rsidRPr="006B6D34">
        <w:rPr>
          <w:rFonts w:cstheme="minorHAnsi"/>
          <w:lang w:val="en-GB"/>
        </w:rPr>
        <w:t xml:space="preserve">There are several folktales in Guggisberg about a fairy who lives inside a mountain and invites a </w:t>
      </w:r>
      <w:r w:rsidRPr="006B6D34">
        <w:rPr>
          <w:rFonts w:cstheme="minorHAnsi"/>
          <w:bCs/>
          <w:bdr w:val="none" w:sz="0" w:space="0" w:color="auto" w:frame="1"/>
          <w:shd w:val="clear" w:color="auto" w:fill="FFFFFF"/>
          <w:lang w:val="en-GB"/>
        </w:rPr>
        <w:t>young man into her realm.</w:t>
      </w:r>
      <w:r w:rsidRPr="006B6D34">
        <w:rPr>
          <w:rStyle w:val="Funotenzeichen"/>
          <w:rFonts w:cstheme="minorHAnsi"/>
          <w:bCs/>
          <w:bdr w:val="none" w:sz="0" w:space="0" w:color="auto" w:frame="1"/>
          <w:shd w:val="clear" w:color="auto" w:fill="FFFFFF"/>
          <w:lang w:val="en-GB"/>
        </w:rPr>
        <w:footnoteReference w:id="42"/>
      </w:r>
      <w:r w:rsidRPr="006B6D34">
        <w:rPr>
          <w:rFonts w:cstheme="minorHAnsi"/>
          <w:bCs/>
          <w:bdr w:val="none" w:sz="0" w:space="0" w:color="auto" w:frame="1"/>
          <w:shd w:val="clear" w:color="auto" w:fill="FFFFFF"/>
          <w:lang w:val="en-GB"/>
        </w:rPr>
        <w:t xml:space="preserve"> He is in love with her and is permitted to dine with her and listen to beautiful music. The fairy is willing to share her riches and secrets with him, but forbids him to overstep the threshold to her sanctuary, where she regularly retreats. The stories end, as they must, with him trespassing on her order. He is immediately expelled from the mountain. According to Eliade, the threshold is the dividing line between two realms. Paradoxically, it's also the space where these realms interact, allowing for a transition from the ordinary to the sacred.</w:t>
      </w:r>
      <w:r w:rsidRPr="006B6D34">
        <w:rPr>
          <w:rStyle w:val="Funotenzeichen"/>
          <w:rFonts w:cstheme="minorHAnsi"/>
          <w:bCs/>
          <w:bdr w:val="none" w:sz="0" w:space="0" w:color="auto" w:frame="1"/>
          <w:shd w:val="clear" w:color="auto" w:fill="FFFFFF"/>
          <w:lang w:val="en-GB"/>
        </w:rPr>
        <w:footnoteReference w:id="43"/>
      </w:r>
      <w:r w:rsidRPr="006B6D34">
        <w:rPr>
          <w:rFonts w:cstheme="minorHAnsi"/>
          <w:bCs/>
          <w:bdr w:val="none" w:sz="0" w:space="0" w:color="auto" w:frame="1"/>
          <w:shd w:val="clear" w:color="auto" w:fill="FFFFFF"/>
          <w:lang w:val="en-GB"/>
        </w:rPr>
        <w:t xml:space="preserve"> The ultimate sanctuary of the fairy must be the place where the sacred becomes manifest in space, following Eliade’s argument. The tales, therefore, exemplify an experience Eliade described as: ‘Where the sacred manifests itself in space, the real unveils itself, the world comes into existence.’</w:t>
      </w:r>
      <w:r w:rsidRPr="006B6D34">
        <w:rPr>
          <w:rStyle w:val="Funotenzeichen"/>
          <w:rFonts w:cstheme="minorHAnsi"/>
          <w:lang w:val="en-GB"/>
        </w:rPr>
        <w:footnoteReference w:id="44"/>
      </w:r>
      <w:r w:rsidRPr="006B6D34">
        <w:rPr>
          <w:rFonts w:cstheme="minorHAnsi"/>
          <w:bCs/>
          <w:bdr w:val="none" w:sz="0" w:space="0" w:color="auto" w:frame="1"/>
          <w:shd w:val="clear" w:color="auto" w:fill="FFFFFF"/>
          <w:lang w:val="en-GB"/>
        </w:rPr>
        <w:t xml:space="preserve"> In verses 9 and 10 of the Guggisberg song, there is mention of a mill deep down in the hill, which mills nothing but love, night and day.</w:t>
      </w:r>
      <w:r w:rsidRPr="006B6D34">
        <w:rPr>
          <w:rStyle w:val="Funotenzeichen"/>
          <w:rFonts w:cstheme="minorHAnsi"/>
          <w:bCs/>
          <w:bdr w:val="none" w:sz="0" w:space="0" w:color="auto" w:frame="1"/>
          <w:shd w:val="clear" w:color="auto" w:fill="FFFFFF"/>
          <w:lang w:val="en-GB"/>
        </w:rPr>
        <w:footnoteReference w:id="45"/>
      </w:r>
      <w:r w:rsidRPr="006B6D34">
        <w:rPr>
          <w:rFonts w:cstheme="minorHAnsi"/>
          <w:bCs/>
          <w:bdr w:val="none" w:sz="0" w:space="0" w:color="auto" w:frame="1"/>
          <w:shd w:val="clear" w:color="auto" w:fill="FFFFFF"/>
          <w:lang w:val="en-GB"/>
        </w:rPr>
        <w:t xml:space="preserve"> It indicates the changing rhythms of day and night and the seasons, according to Derungs.</w:t>
      </w:r>
      <w:r w:rsidRPr="006B6D34">
        <w:rPr>
          <w:rStyle w:val="Funotenzeichen"/>
          <w:rFonts w:cstheme="minorHAnsi"/>
          <w:bCs/>
          <w:bdr w:val="none" w:sz="0" w:space="0" w:color="auto" w:frame="1"/>
          <w:shd w:val="clear" w:color="auto" w:fill="FFFFFF"/>
          <w:lang w:val="en-GB"/>
        </w:rPr>
        <w:footnoteReference w:id="46"/>
      </w:r>
      <w:r w:rsidRPr="006B6D34">
        <w:rPr>
          <w:rFonts w:cstheme="minorHAnsi"/>
          <w:bCs/>
          <w:bdr w:val="none" w:sz="0" w:space="0" w:color="auto" w:frame="1"/>
          <w:shd w:val="clear" w:color="auto" w:fill="FFFFFF"/>
          <w:lang w:val="en-GB"/>
        </w:rPr>
        <w:t xml:space="preserve"> Consequently, this must be the site of world creation, providing fairytale heroes with an opportunity to gain insight into the underlying realities beyond the veil. Hutton noted that t</w:t>
      </w:r>
      <w:r w:rsidRPr="006B6D34">
        <w:rPr>
          <w:rFonts w:cstheme="minorHAnsi"/>
          <w:lang w:val="en-GB"/>
        </w:rPr>
        <w:t>his might well suggest a prehistoric worldview, since ‘the basic pattern of the wheel of the year endured, and was truly prehistoric’.</w:t>
      </w:r>
      <w:r w:rsidRPr="006B6D34">
        <w:rPr>
          <w:rStyle w:val="Funotenzeichen"/>
          <w:rFonts w:cstheme="minorHAnsi"/>
          <w:lang w:val="en-GB"/>
        </w:rPr>
        <w:footnoteReference w:id="47"/>
      </w:r>
      <w:r w:rsidRPr="006B6D34">
        <w:rPr>
          <w:rFonts w:cstheme="minorHAnsi"/>
          <w:lang w:val="en-GB"/>
        </w:rPr>
        <w:t xml:space="preserve"> </w:t>
      </w:r>
    </w:p>
    <w:p w14:paraId="612B1405" w14:textId="77777777" w:rsidR="00731C96" w:rsidRPr="006B6D34" w:rsidRDefault="00731C96" w:rsidP="00731C96">
      <w:pPr>
        <w:rPr>
          <w:rFonts w:cstheme="minorHAnsi"/>
          <w:bCs/>
          <w:bdr w:val="none" w:sz="0" w:space="0" w:color="auto" w:frame="1"/>
          <w:shd w:val="clear" w:color="auto" w:fill="FFFFFF"/>
          <w:lang w:val="en-GB"/>
        </w:rPr>
      </w:pPr>
      <w:r w:rsidRPr="006B6D34">
        <w:rPr>
          <w:rFonts w:cstheme="minorHAnsi"/>
          <w:lang w:val="en-GB"/>
        </w:rPr>
        <w:t xml:space="preserve"> </w:t>
      </w:r>
    </w:p>
    <w:p w14:paraId="7A4631F9" w14:textId="77777777" w:rsidR="00731C96" w:rsidRPr="006B6D34" w:rsidRDefault="00731C96" w:rsidP="00731C96">
      <w:pPr>
        <w:rPr>
          <w:rFonts w:cstheme="minorHAnsi"/>
          <w:b/>
          <w:bdr w:val="none" w:sz="0" w:space="0" w:color="auto" w:frame="1"/>
          <w:shd w:val="clear" w:color="auto" w:fill="FFFFFF"/>
          <w:lang w:val="en-GB"/>
        </w:rPr>
      </w:pPr>
      <w:r w:rsidRPr="006B6D34">
        <w:rPr>
          <w:rFonts w:cstheme="minorHAnsi"/>
          <w:b/>
          <w:bdr w:val="none" w:sz="0" w:space="0" w:color="auto" w:frame="1"/>
          <w:shd w:val="clear" w:color="auto" w:fill="FFFFFF"/>
          <w:lang w:val="en-GB"/>
        </w:rPr>
        <w:t>The riches</w:t>
      </w:r>
    </w:p>
    <w:p w14:paraId="71F81B69" w14:textId="77777777" w:rsidR="00731C96" w:rsidRPr="006B6D34" w:rsidRDefault="00731C96" w:rsidP="00731C96">
      <w:pPr>
        <w:rPr>
          <w:rFonts w:cstheme="minorHAnsi"/>
          <w:lang w:val="en-GB"/>
        </w:rPr>
      </w:pPr>
      <w:r w:rsidRPr="006B6D34">
        <w:rPr>
          <w:rFonts w:cstheme="minorHAnsi"/>
          <w:lang w:val="en-GB"/>
        </w:rPr>
        <w:t xml:space="preserve">There is a folktale that very explicitly addresses the alleged riches inside the </w:t>
      </w:r>
      <w:proofErr w:type="spellStart"/>
      <w:r w:rsidRPr="006B6D34">
        <w:rPr>
          <w:rFonts w:cstheme="minorHAnsi"/>
          <w:lang w:val="en-GB"/>
        </w:rPr>
        <w:t>Schwendelberg</w:t>
      </w:r>
      <w:proofErr w:type="spellEnd"/>
      <w:r w:rsidRPr="006B6D34">
        <w:rPr>
          <w:rFonts w:cstheme="minorHAnsi"/>
          <w:lang w:val="en-GB"/>
        </w:rPr>
        <w:t xml:space="preserve"> in Guggisberg. It is one of the few Swiss fairy tales that was taken into the Brothers Grimm’s collection of Household Stories. By the name of ‘</w:t>
      </w:r>
      <w:proofErr w:type="spellStart"/>
      <w:r w:rsidRPr="006B6D34">
        <w:rPr>
          <w:rFonts w:cstheme="minorHAnsi"/>
          <w:lang w:val="en-GB"/>
        </w:rPr>
        <w:t>Simeli</w:t>
      </w:r>
      <w:proofErr w:type="spellEnd"/>
      <w:r w:rsidRPr="006B6D34">
        <w:rPr>
          <w:rFonts w:cstheme="minorHAnsi"/>
          <w:lang w:val="en-GB"/>
        </w:rPr>
        <w:t xml:space="preserve"> Berg’ and numbered KHM 142, the story can be directly tied to the Guggisberg song, because in the song, the first line of every verse ends with the word ‘</w:t>
      </w:r>
      <w:proofErr w:type="spellStart"/>
      <w:r w:rsidRPr="006B6D34">
        <w:rPr>
          <w:rFonts w:cstheme="minorHAnsi"/>
          <w:lang w:val="en-GB"/>
        </w:rPr>
        <w:t>Simeli</w:t>
      </w:r>
      <w:proofErr w:type="spellEnd"/>
      <w:r w:rsidRPr="006B6D34">
        <w:rPr>
          <w:rFonts w:cstheme="minorHAnsi"/>
          <w:lang w:val="en-GB"/>
        </w:rPr>
        <w:t>-Berg!’, a word that does not make much sense to modern ears. However, the folksong archive offers an explanation, arguing that the word is derived from the old Swiss word ‘</w:t>
      </w:r>
      <w:proofErr w:type="spellStart"/>
      <w:r w:rsidRPr="006B6D34">
        <w:rPr>
          <w:rFonts w:cstheme="minorHAnsi"/>
          <w:lang w:val="en-GB"/>
        </w:rPr>
        <w:t>simel</w:t>
      </w:r>
      <w:proofErr w:type="spellEnd"/>
      <w:r w:rsidRPr="006B6D34">
        <w:rPr>
          <w:rFonts w:cstheme="minorHAnsi"/>
          <w:lang w:val="en-GB"/>
        </w:rPr>
        <w:t>’, meaning ‘bucket’, and refers to a round mountain.</w:t>
      </w:r>
      <w:r w:rsidRPr="006B6D34">
        <w:rPr>
          <w:rStyle w:val="Funotenzeichen"/>
          <w:rFonts w:cstheme="minorHAnsi"/>
          <w:lang w:val="en-GB"/>
        </w:rPr>
        <w:footnoteReference w:id="48"/>
      </w:r>
      <w:r w:rsidRPr="006B6D34">
        <w:rPr>
          <w:rFonts w:cstheme="minorHAnsi"/>
          <w:lang w:val="en-GB"/>
        </w:rPr>
        <w:t xml:space="preserve"> The </w:t>
      </w:r>
      <w:proofErr w:type="spellStart"/>
      <w:r w:rsidRPr="006B6D34">
        <w:rPr>
          <w:rFonts w:cstheme="minorHAnsi"/>
          <w:lang w:val="en-GB"/>
        </w:rPr>
        <w:t>Schwendelberg</w:t>
      </w:r>
      <w:proofErr w:type="spellEnd"/>
      <w:r w:rsidRPr="006B6D34">
        <w:rPr>
          <w:rFonts w:cstheme="minorHAnsi"/>
          <w:lang w:val="en-GB"/>
        </w:rPr>
        <w:t>, therefore, seems to have been viewed as a container, like a bucket. In that particular Grimm folktale, a poor farmer witnesses twelve robbers and hears them call out in front of the hill: ‘</w:t>
      </w:r>
      <w:proofErr w:type="spellStart"/>
      <w:r w:rsidRPr="006B6D34">
        <w:rPr>
          <w:rFonts w:cstheme="minorHAnsi"/>
          <w:lang w:val="en-GB"/>
        </w:rPr>
        <w:t>Semsi</w:t>
      </w:r>
      <w:proofErr w:type="spellEnd"/>
      <w:r w:rsidRPr="006B6D34">
        <w:rPr>
          <w:rFonts w:cstheme="minorHAnsi"/>
          <w:lang w:val="en-GB"/>
        </w:rPr>
        <w:t xml:space="preserve"> Mountain, </w:t>
      </w:r>
      <w:proofErr w:type="spellStart"/>
      <w:r w:rsidRPr="006B6D34">
        <w:rPr>
          <w:rFonts w:cstheme="minorHAnsi"/>
          <w:lang w:val="en-GB"/>
        </w:rPr>
        <w:t>Semsi</w:t>
      </w:r>
      <w:proofErr w:type="spellEnd"/>
      <w:r w:rsidRPr="006B6D34">
        <w:rPr>
          <w:rFonts w:cstheme="minorHAnsi"/>
          <w:lang w:val="en-GB"/>
        </w:rPr>
        <w:t xml:space="preserve"> Mountain, open up!’</w:t>
      </w:r>
      <w:r w:rsidRPr="006B6D34">
        <w:rPr>
          <w:rStyle w:val="Funotenzeichen"/>
          <w:rFonts w:cstheme="minorHAnsi"/>
          <w:lang w:val="en-GB"/>
        </w:rPr>
        <w:footnoteReference w:id="49"/>
      </w:r>
      <w:r w:rsidRPr="006B6D34">
        <w:rPr>
          <w:rFonts w:cstheme="minorHAnsi"/>
          <w:lang w:val="en-GB"/>
        </w:rPr>
        <w:t xml:space="preserve"> ‘</w:t>
      </w:r>
      <w:proofErr w:type="spellStart"/>
      <w:r w:rsidRPr="006B6D34">
        <w:rPr>
          <w:rFonts w:cstheme="minorHAnsi"/>
          <w:lang w:val="en-GB"/>
        </w:rPr>
        <w:t>Semsi</w:t>
      </w:r>
      <w:proofErr w:type="spellEnd"/>
      <w:r w:rsidRPr="006B6D34">
        <w:rPr>
          <w:rFonts w:cstheme="minorHAnsi"/>
          <w:lang w:val="en-GB"/>
        </w:rPr>
        <w:t>’ is another word for ‘</w:t>
      </w:r>
      <w:proofErr w:type="spellStart"/>
      <w:r w:rsidRPr="006B6D34">
        <w:rPr>
          <w:rFonts w:cstheme="minorHAnsi"/>
          <w:lang w:val="en-GB"/>
        </w:rPr>
        <w:t>semeli</w:t>
      </w:r>
      <w:proofErr w:type="spellEnd"/>
      <w:r w:rsidRPr="006B6D34">
        <w:rPr>
          <w:rFonts w:cstheme="minorHAnsi"/>
          <w:lang w:val="en-GB"/>
        </w:rPr>
        <w:t>’ or ‘</w:t>
      </w:r>
      <w:proofErr w:type="spellStart"/>
      <w:r w:rsidRPr="006B6D34">
        <w:rPr>
          <w:rFonts w:cstheme="minorHAnsi"/>
          <w:lang w:val="en-GB"/>
        </w:rPr>
        <w:t>simeli</w:t>
      </w:r>
      <w:proofErr w:type="spellEnd"/>
      <w:r w:rsidRPr="006B6D34">
        <w:rPr>
          <w:rFonts w:cstheme="minorHAnsi"/>
          <w:lang w:val="en-GB"/>
        </w:rPr>
        <w:t>’, meaning ‘round’, the archive further stated.</w:t>
      </w:r>
      <w:r w:rsidRPr="006B6D34">
        <w:rPr>
          <w:rStyle w:val="Funotenzeichen"/>
          <w:rFonts w:cstheme="minorHAnsi"/>
          <w:lang w:val="en-GB"/>
        </w:rPr>
        <w:footnoteReference w:id="50"/>
      </w:r>
      <w:r w:rsidRPr="006B6D34">
        <w:rPr>
          <w:rFonts w:cstheme="minorHAnsi"/>
          <w:lang w:val="en-GB"/>
        </w:rPr>
        <w:t xml:space="preserve"> Interestingly, according to the Swiss dialect dictionary, words such as ‘</w:t>
      </w:r>
      <w:proofErr w:type="spellStart"/>
      <w:r w:rsidRPr="006B6D34">
        <w:rPr>
          <w:rFonts w:cstheme="minorHAnsi"/>
          <w:lang w:val="en-GB"/>
        </w:rPr>
        <w:t>semsi</w:t>
      </w:r>
      <w:proofErr w:type="spellEnd"/>
      <w:r w:rsidRPr="006B6D34">
        <w:rPr>
          <w:rFonts w:cstheme="minorHAnsi"/>
          <w:lang w:val="en-GB"/>
        </w:rPr>
        <w:t>’ or ‘</w:t>
      </w:r>
      <w:proofErr w:type="spellStart"/>
      <w:r w:rsidRPr="006B6D34">
        <w:rPr>
          <w:rFonts w:cstheme="minorHAnsi"/>
          <w:lang w:val="en-GB"/>
        </w:rPr>
        <w:t>semeli</w:t>
      </w:r>
      <w:proofErr w:type="spellEnd"/>
      <w:r w:rsidRPr="006B6D34">
        <w:rPr>
          <w:rFonts w:cstheme="minorHAnsi"/>
          <w:lang w:val="en-GB"/>
        </w:rPr>
        <w:t>’ also point to a hill in St. Gallen, Switzerland by the name of ‘</w:t>
      </w:r>
      <w:proofErr w:type="spellStart"/>
      <w:r w:rsidRPr="006B6D34">
        <w:rPr>
          <w:rFonts w:cstheme="minorHAnsi"/>
          <w:lang w:val="en-GB"/>
        </w:rPr>
        <w:t>Senwelberg</w:t>
      </w:r>
      <w:proofErr w:type="spellEnd"/>
      <w:r w:rsidRPr="006B6D34">
        <w:rPr>
          <w:rFonts w:cstheme="minorHAnsi"/>
          <w:lang w:val="en-GB"/>
        </w:rPr>
        <w:t>’, which is in fact very close to the name of the Guggisberg hill ‘</w:t>
      </w:r>
      <w:proofErr w:type="spellStart"/>
      <w:r w:rsidRPr="006B6D34">
        <w:rPr>
          <w:rFonts w:cstheme="minorHAnsi"/>
          <w:lang w:val="en-GB"/>
        </w:rPr>
        <w:t>Schwendelberg</w:t>
      </w:r>
      <w:proofErr w:type="spellEnd"/>
      <w:r w:rsidRPr="006B6D34">
        <w:rPr>
          <w:rFonts w:cstheme="minorHAnsi"/>
          <w:lang w:val="en-GB"/>
        </w:rPr>
        <w:t>’.</w:t>
      </w:r>
      <w:r w:rsidRPr="006B6D34">
        <w:rPr>
          <w:rStyle w:val="Funotenzeichen"/>
          <w:rFonts w:cstheme="minorHAnsi"/>
          <w:lang w:val="en-GB"/>
        </w:rPr>
        <w:footnoteReference w:id="51"/>
      </w:r>
      <w:r w:rsidRPr="006B6D34">
        <w:rPr>
          <w:rFonts w:cstheme="minorHAnsi"/>
          <w:lang w:val="en-GB"/>
        </w:rPr>
        <w:t xml:space="preserve"> After the twelve robbers in the Grimm tale utter the magical words ‘</w:t>
      </w:r>
      <w:proofErr w:type="spellStart"/>
      <w:r w:rsidRPr="006B6D34">
        <w:rPr>
          <w:rFonts w:cstheme="minorHAnsi"/>
          <w:lang w:val="en-GB"/>
        </w:rPr>
        <w:t>Semsi</w:t>
      </w:r>
      <w:proofErr w:type="spellEnd"/>
      <w:r w:rsidRPr="006B6D34">
        <w:rPr>
          <w:rFonts w:cstheme="minorHAnsi"/>
          <w:lang w:val="en-GB"/>
        </w:rPr>
        <w:t xml:space="preserve"> Mountain, </w:t>
      </w:r>
      <w:proofErr w:type="spellStart"/>
      <w:r w:rsidRPr="006B6D34">
        <w:rPr>
          <w:rFonts w:cstheme="minorHAnsi"/>
          <w:lang w:val="en-GB"/>
        </w:rPr>
        <w:t>Semsi</w:t>
      </w:r>
      <w:proofErr w:type="spellEnd"/>
      <w:r w:rsidRPr="006B6D34">
        <w:rPr>
          <w:rFonts w:cstheme="minorHAnsi"/>
          <w:lang w:val="en-GB"/>
        </w:rPr>
        <w:t xml:space="preserve"> Mountain, open up!’, the mountain opens up, and a hall full of gold, silver, pearls, and gemstones is revealed. The poor farmer crosses the threshold after them and witnesses the riches. He seems to have the necessary reverence in the face of the sacred realm he is entering, sensing its heightened intensity. He only takes enough to feed and clothe his children and to share with those in need in his community. Durkheim noted that t</w:t>
      </w:r>
      <w:r w:rsidRPr="006B6D34">
        <w:rPr>
          <w:rFonts w:cstheme="minorHAnsi"/>
          <w:bCs/>
          <w:bdr w:val="none" w:sz="0" w:space="0" w:color="auto" w:frame="1"/>
          <w:shd w:val="clear" w:color="auto" w:fill="FFFFFF"/>
          <w:lang w:val="en-GB"/>
        </w:rPr>
        <w:t>he sacred forces are not simply more intense than the profane; they are fundamentally different and possess unique qualities that the profane lack.</w:t>
      </w:r>
      <w:r w:rsidRPr="006B6D34">
        <w:rPr>
          <w:rStyle w:val="Funotenzeichen"/>
          <w:rFonts w:cstheme="minorHAnsi"/>
          <w:lang w:val="en-GB"/>
        </w:rPr>
        <w:footnoteReference w:id="52"/>
      </w:r>
      <w:r w:rsidRPr="006B6D34">
        <w:rPr>
          <w:rFonts w:cstheme="minorHAnsi"/>
          <w:lang w:val="en-GB"/>
        </w:rPr>
        <w:t xml:space="preserve"> The humble farmer appears to model appropriate behaviour in the face of such sacredness, whereas his greedy brother does not display the necessary reverence upon entering the sacred space. He not only forgets the magical words that will let him out again, but he is also caught by the twelve robbers and executed on the spot. ‘The sacred thing is, par excellence, that which the profane must not and cannot touch with impunity,’ Durkheim argued. However, this restriction cannot completely prevent communication between the two realms. If the ordinary could never interact with the sacred, then the sacred would lose its significance.</w:t>
      </w:r>
      <w:r w:rsidRPr="006B6D34">
        <w:rPr>
          <w:rStyle w:val="Funotenzeichen"/>
          <w:rFonts w:cstheme="minorHAnsi"/>
          <w:lang w:val="en-GB"/>
        </w:rPr>
        <w:footnoteReference w:id="53"/>
      </w:r>
      <w:r w:rsidRPr="006B6D34">
        <w:rPr>
          <w:rFonts w:cstheme="minorHAnsi"/>
          <w:lang w:val="en-GB"/>
        </w:rPr>
        <w:t xml:space="preserve"> The humble brother models how interaction with the sacred might nevertheless be possible. Eliade argued that every ‘threshold has its guardians’, divine beings and spirits that prevent both humans and demons, as well as forces of disease, from crossing into the sacred realm.</w:t>
      </w:r>
      <w:r w:rsidRPr="006B6D34">
        <w:rPr>
          <w:rStyle w:val="Funotenzeichen"/>
          <w:rFonts w:cstheme="minorHAnsi"/>
          <w:lang w:val="en-GB"/>
        </w:rPr>
        <w:footnoteReference w:id="54"/>
      </w:r>
      <w:r w:rsidRPr="006B6D34">
        <w:rPr>
          <w:rFonts w:cstheme="minorHAnsi"/>
          <w:lang w:val="en-GB"/>
        </w:rPr>
        <w:t xml:space="preserve"> According to the tale, </w:t>
      </w:r>
      <w:bookmarkStart w:id="2" w:name="_Hlk218425489"/>
      <w:r w:rsidRPr="006B6D34">
        <w:rPr>
          <w:rFonts w:cstheme="minorHAnsi"/>
          <w:lang w:val="en-GB"/>
        </w:rPr>
        <w:t xml:space="preserve">the twelve robbers are the guardians of the </w:t>
      </w:r>
      <w:proofErr w:type="spellStart"/>
      <w:r w:rsidRPr="006B6D34">
        <w:rPr>
          <w:rFonts w:cstheme="minorHAnsi"/>
          <w:lang w:val="en-GB"/>
        </w:rPr>
        <w:t>Schwendelberg</w:t>
      </w:r>
      <w:bookmarkEnd w:id="2"/>
      <w:proofErr w:type="spellEnd"/>
      <w:r w:rsidRPr="006B6D34">
        <w:rPr>
          <w:rFonts w:cstheme="minorHAnsi"/>
          <w:lang w:val="en-GB"/>
        </w:rPr>
        <w:t xml:space="preserve">. </w:t>
      </w:r>
    </w:p>
    <w:p w14:paraId="56407205" w14:textId="77777777" w:rsidR="00731C96" w:rsidRPr="006B6D34" w:rsidRDefault="00731C96" w:rsidP="00731C96">
      <w:pPr>
        <w:rPr>
          <w:rFonts w:cstheme="minorHAnsi"/>
          <w:lang w:val="en-GB"/>
        </w:rPr>
      </w:pPr>
      <w:r w:rsidRPr="006B6D34">
        <w:rPr>
          <w:rFonts w:cstheme="minorHAnsi"/>
          <w:lang w:val="en-GB"/>
        </w:rPr>
        <w:t xml:space="preserve"> </w:t>
      </w:r>
    </w:p>
    <w:p w14:paraId="016312CC" w14:textId="77777777" w:rsidR="00731C96" w:rsidRPr="006B6D34" w:rsidRDefault="00731C96" w:rsidP="00731C96">
      <w:pPr>
        <w:rPr>
          <w:rFonts w:cstheme="minorHAnsi"/>
          <w:b/>
          <w:bdr w:val="none" w:sz="0" w:space="0" w:color="auto" w:frame="1"/>
          <w:shd w:val="clear" w:color="auto" w:fill="FFFFFF"/>
          <w:lang w:val="en-GB"/>
        </w:rPr>
      </w:pPr>
      <w:r w:rsidRPr="006B6D34">
        <w:rPr>
          <w:rFonts w:cstheme="minorHAnsi"/>
          <w:b/>
          <w:bdr w:val="none" w:sz="0" w:space="0" w:color="auto" w:frame="1"/>
          <w:shd w:val="clear" w:color="auto" w:fill="FFFFFF"/>
          <w:lang w:val="en-GB"/>
        </w:rPr>
        <w:t xml:space="preserve">The Wild Hunt </w:t>
      </w:r>
    </w:p>
    <w:p w14:paraId="50D4BB94" w14:textId="77777777" w:rsidR="00731C96" w:rsidRPr="006B6D34" w:rsidRDefault="00731C96" w:rsidP="00731C96">
      <w:pPr>
        <w:spacing w:before="100" w:beforeAutospacing="1" w:after="100" w:afterAutospacing="1"/>
        <w:contextualSpacing/>
        <w:rPr>
          <w:rFonts w:cstheme="minorHAnsi"/>
          <w:lang w:val="en-GB"/>
        </w:rPr>
      </w:pPr>
      <w:r w:rsidRPr="006B6D34">
        <w:rPr>
          <w:rFonts w:cstheme="minorHAnsi"/>
          <w:lang w:val="en-GB"/>
        </w:rPr>
        <w:t>Gary K. Waite</w:t>
      </w:r>
      <w:r w:rsidRPr="006B6D34">
        <w:rPr>
          <w:rFonts w:cstheme="minorHAnsi"/>
          <w:bCs/>
          <w:bdr w:val="none" w:sz="0" w:space="0" w:color="auto" w:frame="1"/>
          <w:shd w:val="clear" w:color="auto" w:fill="FFFFFF"/>
          <w:lang w:val="en-GB"/>
        </w:rPr>
        <w:t xml:space="preserve"> argued that the Venusberg </w:t>
      </w:r>
      <w:r w:rsidRPr="006B6D34">
        <w:rPr>
          <w:rFonts w:cstheme="minorHAnsi"/>
          <w:lang w:val="en-GB"/>
        </w:rPr>
        <w:t>can be understood as an enduring remnant of the traditional Germanic conception of paradise or the afterlife. It derives from the ancient popular belief in the female deity Venus, who, at the turn of the seasons, would lead the ‘Wild Hunt.</w:t>
      </w:r>
      <w:r w:rsidRPr="006B6D34">
        <w:rPr>
          <w:rStyle w:val="Funotenzeichen"/>
          <w:rFonts w:cstheme="minorHAnsi"/>
          <w:lang w:val="en-GB"/>
        </w:rPr>
        <w:footnoteReference w:id="55"/>
      </w:r>
      <w:r w:rsidRPr="006B6D34">
        <w:rPr>
          <w:rFonts w:cstheme="minorHAnsi"/>
          <w:lang w:val="en-GB"/>
        </w:rPr>
        <w:t xml:space="preserve"> Claude Lecouteux argued that the Wild Hunt comprises the deceased and is connected to the extensive traditions of ancestor veneration and the worship of the dead, who serve as intermediaries between humans and the material world.</w:t>
      </w:r>
      <w:r w:rsidRPr="006B6D34">
        <w:rPr>
          <w:rStyle w:val="Funotenzeichen"/>
          <w:rFonts w:cstheme="minorHAnsi"/>
          <w:lang w:val="en-GB"/>
        </w:rPr>
        <w:footnoteReference w:id="56"/>
      </w:r>
      <w:r w:rsidRPr="006B6D34">
        <w:rPr>
          <w:rFonts w:cstheme="minorHAnsi"/>
          <w:lang w:val="en-GB"/>
        </w:rPr>
        <w:t xml:space="preserve"> It is the lower-level scene in the vertical model. In Germanic and Celtic legends, the Wild Hunt consisted of a group of spirits or ghosts riding through the night, usually led by a divine female figure, Hutton elaborated.</w:t>
      </w:r>
      <w:r w:rsidRPr="006B6D34">
        <w:rPr>
          <w:rStyle w:val="Funotenzeichen"/>
          <w:rFonts w:cstheme="minorHAnsi"/>
          <w:lang w:val="en-GB"/>
        </w:rPr>
        <w:footnoteReference w:id="57"/>
      </w:r>
      <w:r w:rsidRPr="006B6D34">
        <w:rPr>
          <w:rFonts w:cstheme="minorHAnsi"/>
          <w:lang w:val="en-GB"/>
        </w:rPr>
        <w:t xml:space="preserve"> The connection between the Wild Hunt and the tale of the Venusberg was first made in the sixteenth century, </w:t>
      </w:r>
      <w:proofErr w:type="spellStart"/>
      <w:r w:rsidRPr="006B6D34">
        <w:rPr>
          <w:rFonts w:cstheme="minorHAnsi"/>
          <w:lang w:val="en-GB"/>
        </w:rPr>
        <w:t>Lecouteux</w:t>
      </w:r>
      <w:proofErr w:type="spellEnd"/>
      <w:r w:rsidRPr="006B6D34">
        <w:rPr>
          <w:rFonts w:cstheme="minorHAnsi"/>
          <w:lang w:val="en-GB"/>
        </w:rPr>
        <w:t xml:space="preserve"> stated.</w:t>
      </w:r>
      <w:r w:rsidRPr="006B6D34">
        <w:rPr>
          <w:rStyle w:val="Funotenzeichen"/>
          <w:rFonts w:cstheme="minorHAnsi"/>
          <w:lang w:val="en-GB"/>
        </w:rPr>
        <w:footnoteReference w:id="58"/>
      </w:r>
      <w:r w:rsidRPr="006B6D34">
        <w:rPr>
          <w:rFonts w:cstheme="minorHAnsi"/>
          <w:lang w:val="en-GB"/>
        </w:rPr>
        <w:t xml:space="preserve"> There is a Guggisberg ballad by the very name ‘The wild hunt at the </w:t>
      </w:r>
      <w:proofErr w:type="spellStart"/>
      <w:r w:rsidRPr="006B6D34">
        <w:rPr>
          <w:rFonts w:cstheme="minorHAnsi"/>
          <w:lang w:val="en-GB"/>
        </w:rPr>
        <w:t>Schwendelberg</w:t>
      </w:r>
      <w:proofErr w:type="spellEnd"/>
      <w:r w:rsidRPr="006B6D34">
        <w:rPr>
          <w:rFonts w:cstheme="minorHAnsi"/>
          <w:lang w:val="en-GB"/>
        </w:rPr>
        <w:t xml:space="preserve"> ' listed in a chronicle of 1857, further confirming that the rock-and-hill formation could have been held for a Venusberg.  </w:t>
      </w:r>
      <w:r w:rsidRPr="006B6D34">
        <w:rPr>
          <w:rFonts w:cstheme="minorHAnsi"/>
          <w:bCs/>
          <w:bdr w:val="none" w:sz="0" w:space="0" w:color="auto" w:frame="1"/>
          <w:shd w:val="clear" w:color="auto" w:fill="FFFFFF"/>
          <w:lang w:val="en-GB"/>
        </w:rPr>
        <w:t>Anthony</w:t>
      </w:r>
      <w:r w:rsidRPr="006B6D34">
        <w:rPr>
          <w:rFonts w:cstheme="minorHAnsi"/>
          <w:lang w:val="en-GB"/>
        </w:rPr>
        <w:t xml:space="preserve"> Thorley and Celia Gunn argued that the word ‘sacred’, next to its meaning of ‘set apart for a religious purpose’, also has a connotation of ‘damned, detestable, or dreadful’, something which the Wild Hunt represents well.</w:t>
      </w:r>
      <w:r w:rsidRPr="006B6D34">
        <w:rPr>
          <w:rStyle w:val="Funotenzeichen"/>
          <w:rFonts w:cstheme="minorHAnsi"/>
          <w:lang w:val="en-GB"/>
        </w:rPr>
        <w:footnoteReference w:id="59"/>
      </w:r>
      <w:r w:rsidRPr="006B6D34">
        <w:rPr>
          <w:rFonts w:cstheme="minorHAnsi"/>
          <w:lang w:val="en-GB"/>
        </w:rPr>
        <w:t xml:space="preserve"> In this particular story tied to the </w:t>
      </w:r>
      <w:proofErr w:type="spellStart"/>
      <w:r w:rsidRPr="006B6D34">
        <w:rPr>
          <w:rFonts w:cstheme="minorHAnsi"/>
          <w:lang w:val="en-GB"/>
        </w:rPr>
        <w:t>Schwendelberg</w:t>
      </w:r>
      <w:proofErr w:type="spellEnd"/>
      <w:r w:rsidRPr="006B6D34">
        <w:rPr>
          <w:rFonts w:cstheme="minorHAnsi"/>
          <w:lang w:val="en-GB"/>
        </w:rPr>
        <w:t>, a father cautions his son against going outside on a night when a fierce storm is raging. Despite the warning, the son ventures out and quickly feels an unsettling presence drawing near. Suddenly, a ghostly train, accompanied by various animals, rushes by, filled with shouting, cursing, and wailing. When a green man suddenly stands before him, he must answer correctly, as his father had told him. The question is: ‘Can you tell me what time it is?’ and the correct answer is: ‘It is the time that is right for the dear Lord.’</w:t>
      </w:r>
      <w:r w:rsidRPr="006B6D34">
        <w:rPr>
          <w:rStyle w:val="Funotenzeichen"/>
          <w:rFonts w:cstheme="minorHAnsi"/>
          <w:lang w:val="en-GB"/>
        </w:rPr>
        <w:footnoteReference w:id="60"/>
      </w:r>
      <w:r w:rsidRPr="006B6D34">
        <w:rPr>
          <w:rFonts w:cstheme="minorHAnsi"/>
          <w:lang w:val="en-GB"/>
        </w:rPr>
        <w:t xml:space="preserve"> It is evident that the </w:t>
      </w:r>
      <w:proofErr w:type="spellStart"/>
      <w:r w:rsidRPr="006B6D34">
        <w:rPr>
          <w:rFonts w:cstheme="minorHAnsi"/>
          <w:lang w:val="en-GB"/>
        </w:rPr>
        <w:t>the</w:t>
      </w:r>
      <w:proofErr w:type="spellEnd"/>
      <w:r w:rsidRPr="006B6D34">
        <w:rPr>
          <w:rFonts w:cstheme="minorHAnsi"/>
          <w:lang w:val="en-GB"/>
        </w:rPr>
        <w:t xml:space="preserve"> concept of the Wild Hunt, which is rooted in a pre-Christian tradition as part of a complex framework for understanding the world, according to </w:t>
      </w:r>
      <w:proofErr w:type="spellStart"/>
      <w:r w:rsidRPr="006B6D34">
        <w:rPr>
          <w:rFonts w:cstheme="minorHAnsi"/>
          <w:lang w:val="en-GB"/>
        </w:rPr>
        <w:t>Lecouteux</w:t>
      </w:r>
      <w:proofErr w:type="spellEnd"/>
      <w:r w:rsidRPr="006B6D34">
        <w:rPr>
          <w:rFonts w:cstheme="minorHAnsi"/>
          <w:lang w:val="en-GB"/>
        </w:rPr>
        <w:t>, was reworked to fit the prevailing Christian perspective in this case. He argued that while Venus, or a local deity-like figure, initially led the Wild Hunt, she was later demonized.</w:t>
      </w:r>
      <w:r w:rsidRPr="006B6D34">
        <w:rPr>
          <w:rStyle w:val="Funotenzeichen"/>
          <w:rFonts w:cstheme="minorHAnsi"/>
          <w:lang w:val="en-GB"/>
        </w:rPr>
        <w:footnoteReference w:id="61"/>
      </w:r>
      <w:r w:rsidRPr="006B6D34">
        <w:rPr>
          <w:rFonts w:cstheme="minorHAnsi"/>
          <w:lang w:val="en-GB"/>
        </w:rPr>
        <w:t xml:space="preserve"> Originally, Venus or the fairy in the hill was a benevolent figure providing nourishment and riches for their people. However, as Hutton noted, by the fifteenth century, Venus had become the embodiment of the temptress, a danger to the human soul.</w:t>
      </w:r>
      <w:r w:rsidRPr="006B6D34">
        <w:rPr>
          <w:rStyle w:val="Funotenzeichen"/>
          <w:rFonts w:cstheme="minorHAnsi"/>
          <w:lang w:val="en-GB"/>
        </w:rPr>
        <w:footnoteReference w:id="62"/>
      </w:r>
    </w:p>
    <w:p w14:paraId="0C2D01B3" w14:textId="77777777" w:rsidR="00731C96" w:rsidRPr="006B6D34" w:rsidRDefault="00731C96" w:rsidP="00731C96">
      <w:pPr>
        <w:spacing w:before="100" w:beforeAutospacing="1" w:after="100" w:afterAutospacing="1"/>
        <w:contextualSpacing/>
        <w:rPr>
          <w:rFonts w:cstheme="minorHAnsi"/>
          <w:lang w:val="en-GB"/>
        </w:rPr>
      </w:pPr>
    </w:p>
    <w:p w14:paraId="3BD6AFB4" w14:textId="77777777" w:rsidR="005D2AAF" w:rsidRPr="006B6D34" w:rsidRDefault="005D2AAF" w:rsidP="00E45CAD">
      <w:pPr>
        <w:rPr>
          <w:rFonts w:cstheme="minorHAnsi"/>
          <w:bCs/>
          <w:bdr w:val="none" w:sz="0" w:space="0" w:color="auto" w:frame="1"/>
          <w:shd w:val="clear" w:color="auto" w:fill="FFFFFF"/>
          <w:lang w:val="en-GB"/>
        </w:rPr>
      </w:pPr>
    </w:p>
    <w:p w14:paraId="3FBEACDB" w14:textId="77777777" w:rsidR="00AC73A3" w:rsidRPr="006B6D34" w:rsidRDefault="00AC73A3" w:rsidP="00E45CAD">
      <w:pPr>
        <w:rPr>
          <w:rFonts w:cstheme="minorHAnsi"/>
          <w:bCs/>
          <w:bdr w:val="none" w:sz="0" w:space="0" w:color="auto" w:frame="1"/>
          <w:shd w:val="clear" w:color="auto" w:fill="FFFFFF"/>
          <w:lang w:val="en-GB"/>
        </w:rPr>
      </w:pPr>
    </w:p>
    <w:p w14:paraId="4EDE9867" w14:textId="10A633C3" w:rsidR="00AA2C33" w:rsidRPr="006B6D34" w:rsidRDefault="00AA2C33" w:rsidP="00E45CAD">
      <w:pPr>
        <w:rPr>
          <w:rFonts w:cstheme="minorHAnsi"/>
          <w:b/>
          <w:bdr w:val="none" w:sz="0" w:space="0" w:color="auto" w:frame="1"/>
          <w:shd w:val="clear" w:color="auto" w:fill="FFFFFF"/>
          <w:lang w:val="en-GB"/>
        </w:rPr>
      </w:pPr>
      <w:bookmarkStart w:id="3" w:name="_Hlk218419160"/>
      <w:r w:rsidRPr="006B6D34">
        <w:rPr>
          <w:rFonts w:cstheme="minorHAnsi"/>
          <w:b/>
          <w:bdr w:val="none" w:sz="0" w:space="0" w:color="auto" w:frame="1"/>
          <w:shd w:val="clear" w:color="auto" w:fill="FFFFFF"/>
          <w:lang w:val="en-GB"/>
        </w:rPr>
        <w:t xml:space="preserve">The rock-and-hill </w:t>
      </w:r>
      <w:r w:rsidR="00784F7F" w:rsidRPr="006B6D34">
        <w:rPr>
          <w:rFonts w:cstheme="minorHAnsi"/>
          <w:b/>
          <w:bdr w:val="none" w:sz="0" w:space="0" w:color="auto" w:frame="1"/>
          <w:shd w:val="clear" w:color="auto" w:fill="FFFFFF"/>
          <w:lang w:val="en-GB"/>
        </w:rPr>
        <w:t>within a horizontal context</w:t>
      </w:r>
    </w:p>
    <w:bookmarkEnd w:id="3"/>
    <w:p w14:paraId="76BADAE6" w14:textId="1F426B62" w:rsidR="001B13C0" w:rsidRPr="006B6D34" w:rsidRDefault="00AA2C33" w:rsidP="000F43A5">
      <w:pPr>
        <w:rPr>
          <w:rFonts w:cstheme="minorHAnsi"/>
          <w:bCs/>
          <w:bdr w:val="none" w:sz="0" w:space="0" w:color="auto" w:frame="1"/>
          <w:shd w:val="clear" w:color="auto" w:fill="FFFFFF"/>
          <w:lang w:val="en-GB"/>
        </w:rPr>
      </w:pPr>
      <w:r w:rsidRPr="006B6D34">
        <w:rPr>
          <w:rFonts w:cstheme="minorHAnsi"/>
          <w:bCs/>
          <w:bdr w:val="none" w:sz="0" w:space="0" w:color="auto" w:frame="1"/>
          <w:shd w:val="clear" w:color="auto" w:fill="FFFFFF"/>
          <w:lang w:val="en-GB"/>
        </w:rPr>
        <w:t>The rock-and-hill formation, consisting of the rock ‘</w:t>
      </w:r>
      <w:proofErr w:type="spellStart"/>
      <w:r w:rsidRPr="006B6D34">
        <w:rPr>
          <w:rFonts w:cstheme="minorHAnsi"/>
          <w:bCs/>
          <w:bdr w:val="none" w:sz="0" w:space="0" w:color="auto" w:frame="1"/>
          <w:shd w:val="clear" w:color="auto" w:fill="FFFFFF"/>
          <w:lang w:val="en-GB"/>
        </w:rPr>
        <w:t>Guggershornli</w:t>
      </w:r>
      <w:proofErr w:type="spellEnd"/>
      <w:r w:rsidRPr="006B6D34">
        <w:rPr>
          <w:rFonts w:cstheme="minorHAnsi"/>
          <w:bCs/>
          <w:bdr w:val="none" w:sz="0" w:space="0" w:color="auto" w:frame="1"/>
          <w:shd w:val="clear" w:color="auto" w:fill="FFFFFF"/>
          <w:lang w:val="en-GB"/>
        </w:rPr>
        <w:t>’, and the round hill ‘</w:t>
      </w:r>
      <w:proofErr w:type="spellStart"/>
      <w:r w:rsidRPr="006B6D34">
        <w:rPr>
          <w:rFonts w:cstheme="minorHAnsi"/>
          <w:bCs/>
          <w:bdr w:val="none" w:sz="0" w:space="0" w:color="auto" w:frame="1"/>
          <w:shd w:val="clear" w:color="auto" w:fill="FFFFFF"/>
          <w:lang w:val="en-GB"/>
        </w:rPr>
        <w:t>Schwendelberg</w:t>
      </w:r>
      <w:proofErr w:type="spellEnd"/>
      <w:r w:rsidRPr="006B6D34">
        <w:rPr>
          <w:rFonts w:cstheme="minorHAnsi"/>
          <w:bCs/>
          <w:bdr w:val="none" w:sz="0" w:space="0" w:color="auto" w:frame="1"/>
          <w:shd w:val="clear" w:color="auto" w:fill="FFFFFF"/>
          <w:lang w:val="en-GB"/>
        </w:rPr>
        <w:t xml:space="preserve">’, might have once been viewed as a Venusberg and thus held sacred. It is clearly visible across the region and lies </w:t>
      </w:r>
      <w:r w:rsidR="00F970E1" w:rsidRPr="006B6D34">
        <w:rPr>
          <w:rFonts w:cstheme="minorHAnsi"/>
          <w:bCs/>
          <w:bdr w:val="none" w:sz="0" w:space="0" w:color="auto" w:frame="1"/>
          <w:shd w:val="clear" w:color="auto" w:fill="FFFFFF"/>
          <w:lang w:val="en-GB"/>
        </w:rPr>
        <w:t>within the municipality of Guggisberg</w:t>
      </w:r>
      <w:r w:rsidR="0063202F" w:rsidRPr="006B6D34">
        <w:rPr>
          <w:rFonts w:cstheme="minorHAnsi"/>
          <w:bCs/>
          <w:bdr w:val="none" w:sz="0" w:space="0" w:color="auto" w:frame="1"/>
          <w:shd w:val="clear" w:color="auto" w:fill="FFFFFF"/>
          <w:lang w:val="en-GB"/>
        </w:rPr>
        <w:t xml:space="preserve">. Derungs noted that the silhouette of the rock-and-hill formation resembles a lying pregnant woman and described it as </w:t>
      </w:r>
      <w:r w:rsidRPr="006B6D34">
        <w:rPr>
          <w:rFonts w:cstheme="minorHAnsi"/>
          <w:bCs/>
          <w:bdr w:val="none" w:sz="0" w:space="0" w:color="auto" w:frame="1"/>
          <w:shd w:val="clear" w:color="auto" w:fill="FFFFFF"/>
          <w:lang w:val="en-GB"/>
        </w:rPr>
        <w:t>a natural sanctuary.</w:t>
      </w:r>
      <w:r w:rsidRPr="006B6D34">
        <w:rPr>
          <w:rStyle w:val="Funotenzeichen"/>
          <w:rFonts w:cstheme="minorHAnsi"/>
          <w:bCs/>
          <w:bdr w:val="none" w:sz="0" w:space="0" w:color="auto" w:frame="1"/>
          <w:shd w:val="clear" w:color="auto" w:fill="FFFFFF"/>
          <w:lang w:val="en-GB"/>
        </w:rPr>
        <w:footnoteReference w:id="63"/>
      </w:r>
      <w:r w:rsidRPr="006B6D34">
        <w:rPr>
          <w:rFonts w:cstheme="minorHAnsi"/>
          <w:bCs/>
          <w:i/>
          <w:iCs/>
          <w:bdr w:val="none" w:sz="0" w:space="0" w:color="auto" w:frame="1"/>
          <w:shd w:val="clear" w:color="auto" w:fill="FFFFFF"/>
          <w:lang w:val="en-GB"/>
        </w:rPr>
        <w:t xml:space="preserve"> </w:t>
      </w:r>
      <w:r w:rsidR="0063202F" w:rsidRPr="006B6D34">
        <w:rPr>
          <w:rFonts w:cstheme="minorHAnsi"/>
          <w:bCs/>
          <w:bdr w:val="none" w:sz="0" w:space="0" w:color="auto" w:frame="1"/>
          <w:shd w:val="clear" w:color="auto" w:fill="FFFFFF"/>
          <w:lang w:val="en-GB"/>
        </w:rPr>
        <w:t xml:space="preserve">Whether or not mountains have a distinct personality, they serve as mediators between heaven and earth, embodying transitional areas, protectors, entrances, and connections between various realms, as noted by </w:t>
      </w:r>
      <w:proofErr w:type="spellStart"/>
      <w:r w:rsidR="0063202F" w:rsidRPr="006B6D34">
        <w:rPr>
          <w:rFonts w:cstheme="minorHAnsi"/>
          <w:bCs/>
          <w:bdr w:val="none" w:sz="0" w:space="0" w:color="auto" w:frame="1"/>
          <w:shd w:val="clear" w:color="auto" w:fill="FFFFFF"/>
          <w:lang w:val="en-GB"/>
        </w:rPr>
        <w:t>Gunzberg</w:t>
      </w:r>
      <w:proofErr w:type="spellEnd"/>
      <w:r w:rsidR="0063202F" w:rsidRPr="006B6D34">
        <w:rPr>
          <w:rFonts w:cstheme="minorHAnsi"/>
          <w:bCs/>
          <w:bdr w:val="none" w:sz="0" w:space="0" w:color="auto" w:frame="1"/>
          <w:shd w:val="clear" w:color="auto" w:fill="FFFFFF"/>
          <w:lang w:val="en-GB"/>
        </w:rPr>
        <w:t xml:space="preserve"> and Brady.</w:t>
      </w:r>
      <w:r w:rsidR="0063202F" w:rsidRPr="006B6D34">
        <w:rPr>
          <w:rStyle w:val="Funotenzeichen"/>
          <w:rFonts w:cstheme="minorHAnsi"/>
          <w:bCs/>
          <w:bdr w:val="none" w:sz="0" w:space="0" w:color="auto" w:frame="1"/>
          <w:shd w:val="clear" w:color="auto" w:fill="FFFFFF"/>
          <w:lang w:val="en-GB"/>
        </w:rPr>
        <w:footnoteReference w:id="64"/>
      </w:r>
      <w:r w:rsidR="0063202F" w:rsidRPr="006B6D34">
        <w:rPr>
          <w:rFonts w:cstheme="minorHAnsi"/>
          <w:bCs/>
          <w:bdr w:val="none" w:sz="0" w:space="0" w:color="auto" w:frame="1"/>
          <w:shd w:val="clear" w:color="auto" w:fill="FFFFFF"/>
          <w:lang w:val="en-GB"/>
        </w:rPr>
        <w:t xml:space="preserve"> </w:t>
      </w:r>
      <w:r w:rsidR="009B77E6" w:rsidRPr="006B6D34">
        <w:rPr>
          <w:rFonts w:cstheme="minorHAnsi"/>
          <w:bCs/>
          <w:bdr w:val="none" w:sz="0" w:space="0" w:color="auto" w:frame="1"/>
          <w:shd w:val="clear" w:color="auto" w:fill="FFFFFF"/>
          <w:lang w:val="en-GB"/>
        </w:rPr>
        <w:t>Focusing on a mountain’s mediation function as a transitional area, f</w:t>
      </w:r>
      <w:r w:rsidR="00784F7F" w:rsidRPr="006B6D34">
        <w:rPr>
          <w:rFonts w:cstheme="minorHAnsi"/>
          <w:bCs/>
          <w:bdr w:val="none" w:sz="0" w:space="0" w:color="auto" w:frame="1"/>
          <w:shd w:val="clear" w:color="auto" w:fill="FFFFFF"/>
          <w:lang w:val="en-GB"/>
        </w:rPr>
        <w:t>rom a geographically horizontal perspective, t</w:t>
      </w:r>
      <w:r w:rsidR="00EB5D56" w:rsidRPr="006B6D34">
        <w:rPr>
          <w:rFonts w:cstheme="minorHAnsi"/>
          <w:bCs/>
          <w:bdr w:val="none" w:sz="0" w:space="0" w:color="auto" w:frame="1"/>
          <w:shd w:val="clear" w:color="auto" w:fill="FFFFFF"/>
          <w:lang w:val="en-GB"/>
        </w:rPr>
        <w:t>he rock-and-hill formation is located in a pronounced transitional area, geographically, politically, linguistically, and in terms of religion. It is</w:t>
      </w:r>
      <w:r w:rsidR="00003298" w:rsidRPr="006B6D34">
        <w:rPr>
          <w:rFonts w:cstheme="minorHAnsi"/>
          <w:bCs/>
          <w:bdr w:val="none" w:sz="0" w:space="0" w:color="auto" w:frame="1"/>
          <w:shd w:val="clear" w:color="auto" w:fill="FFFFFF"/>
          <w:lang w:val="en-GB"/>
        </w:rPr>
        <w:t xml:space="preserve"> the entrance to the </w:t>
      </w:r>
      <w:r w:rsidR="0031712C" w:rsidRPr="006B6D34">
        <w:rPr>
          <w:rFonts w:cstheme="minorHAnsi"/>
          <w:bCs/>
          <w:bdr w:val="none" w:sz="0" w:space="0" w:color="auto" w:frame="1"/>
          <w:shd w:val="clear" w:color="auto" w:fill="FFFFFF"/>
          <w:lang w:val="en-GB"/>
        </w:rPr>
        <w:t xml:space="preserve">alpine region of </w:t>
      </w:r>
      <w:proofErr w:type="spellStart"/>
      <w:r w:rsidR="0031712C" w:rsidRPr="006B6D34">
        <w:rPr>
          <w:rFonts w:cstheme="minorHAnsi"/>
          <w:bCs/>
          <w:bdr w:val="none" w:sz="0" w:space="0" w:color="auto" w:frame="1"/>
          <w:shd w:val="clear" w:color="auto" w:fill="FFFFFF"/>
          <w:lang w:val="en-GB"/>
        </w:rPr>
        <w:t>Gantrisch</w:t>
      </w:r>
      <w:proofErr w:type="spellEnd"/>
      <w:r w:rsidR="0031712C" w:rsidRPr="006B6D34">
        <w:rPr>
          <w:rFonts w:cstheme="minorHAnsi"/>
          <w:bCs/>
          <w:bdr w:val="none" w:sz="0" w:space="0" w:color="auto" w:frame="1"/>
          <w:shd w:val="clear" w:color="auto" w:fill="FFFFFF"/>
          <w:lang w:val="en-GB"/>
        </w:rPr>
        <w:t xml:space="preserve"> and </w:t>
      </w:r>
      <w:r w:rsidR="00003298" w:rsidRPr="006B6D34">
        <w:rPr>
          <w:rFonts w:cstheme="minorHAnsi"/>
          <w:bCs/>
          <w:bdr w:val="none" w:sz="0" w:space="0" w:color="auto" w:frame="1"/>
          <w:shd w:val="clear" w:color="auto" w:fill="FFFFFF"/>
          <w:lang w:val="en-GB"/>
        </w:rPr>
        <w:t xml:space="preserve">is adjacent to </w:t>
      </w:r>
      <w:r w:rsidR="0063202F" w:rsidRPr="006B6D34">
        <w:rPr>
          <w:rFonts w:cstheme="minorHAnsi"/>
          <w:bCs/>
          <w:bdr w:val="none" w:sz="0" w:space="0" w:color="auto" w:frame="1"/>
          <w:shd w:val="clear" w:color="auto" w:fill="FFFFFF"/>
          <w:lang w:val="en-GB"/>
        </w:rPr>
        <w:t>the border of the Canton of Fribourg</w:t>
      </w:r>
      <w:r w:rsidR="0031712C" w:rsidRPr="006B6D34">
        <w:rPr>
          <w:rFonts w:cstheme="minorHAnsi"/>
          <w:bCs/>
          <w:bdr w:val="none" w:sz="0" w:space="0" w:color="auto" w:frame="1"/>
          <w:shd w:val="clear" w:color="auto" w:fill="FFFFFF"/>
          <w:lang w:val="en-GB"/>
        </w:rPr>
        <w:t>, with one area Protestant and German-speaking, the other Catholic and French-speaking</w:t>
      </w:r>
      <w:r w:rsidR="00030C25" w:rsidRPr="006B6D34">
        <w:rPr>
          <w:rFonts w:cstheme="minorHAnsi"/>
          <w:bCs/>
          <w:bdr w:val="none" w:sz="0" w:space="0" w:color="auto" w:frame="1"/>
          <w:shd w:val="clear" w:color="auto" w:fill="FFFFFF"/>
          <w:lang w:val="en-GB"/>
        </w:rPr>
        <w:t xml:space="preserve"> </w:t>
      </w:r>
      <w:r w:rsidR="0063202F" w:rsidRPr="006B6D34">
        <w:rPr>
          <w:rFonts w:cstheme="minorHAnsi"/>
          <w:bCs/>
          <w:bdr w:val="none" w:sz="0" w:space="0" w:color="auto" w:frame="1"/>
          <w:shd w:val="clear" w:color="auto" w:fill="FFFFFF"/>
          <w:lang w:val="en-GB"/>
        </w:rPr>
        <w:t>(Figure</w:t>
      </w:r>
      <w:r w:rsidR="00030C25" w:rsidRPr="006B6D34">
        <w:rPr>
          <w:rFonts w:cstheme="minorHAnsi"/>
          <w:bCs/>
          <w:bdr w:val="none" w:sz="0" w:space="0" w:color="auto" w:frame="1"/>
          <w:shd w:val="clear" w:color="auto" w:fill="FFFFFF"/>
          <w:lang w:val="en-GB"/>
        </w:rPr>
        <w:t xml:space="preserve"> 1</w:t>
      </w:r>
      <w:r w:rsidR="0063202F" w:rsidRPr="006B6D34">
        <w:rPr>
          <w:rFonts w:cstheme="minorHAnsi"/>
          <w:bCs/>
          <w:bdr w:val="none" w:sz="0" w:space="0" w:color="auto" w:frame="1"/>
          <w:shd w:val="clear" w:color="auto" w:fill="FFFFFF"/>
          <w:lang w:val="en-GB"/>
        </w:rPr>
        <w:t xml:space="preserve">). </w:t>
      </w:r>
      <w:r w:rsidR="0031712C" w:rsidRPr="006B6D34">
        <w:rPr>
          <w:rFonts w:cstheme="minorHAnsi"/>
          <w:bCs/>
          <w:bdr w:val="none" w:sz="0" w:space="0" w:color="auto" w:frame="1"/>
          <w:shd w:val="clear" w:color="auto" w:fill="FFFFFF"/>
          <w:lang w:val="en-GB"/>
        </w:rPr>
        <w:t>However, t</w:t>
      </w:r>
      <w:r w:rsidR="0063202F" w:rsidRPr="006B6D34">
        <w:rPr>
          <w:rFonts w:cstheme="minorHAnsi"/>
          <w:bCs/>
          <w:bdr w:val="none" w:sz="0" w:space="0" w:color="auto" w:frame="1"/>
          <w:shd w:val="clear" w:color="auto" w:fill="FFFFFF"/>
          <w:lang w:val="en-GB"/>
        </w:rPr>
        <w:t xml:space="preserve">he folktales reflect common </w:t>
      </w:r>
      <w:r w:rsidR="0031712C" w:rsidRPr="006B6D34">
        <w:rPr>
          <w:rFonts w:cstheme="minorHAnsi"/>
          <w:bCs/>
          <w:bdr w:val="none" w:sz="0" w:space="0" w:color="auto" w:frame="1"/>
          <w:shd w:val="clear" w:color="auto" w:fill="FFFFFF"/>
          <w:lang w:val="en-GB"/>
        </w:rPr>
        <w:t xml:space="preserve">cultural </w:t>
      </w:r>
      <w:r w:rsidR="0063202F" w:rsidRPr="006B6D34">
        <w:rPr>
          <w:rFonts w:cstheme="minorHAnsi"/>
          <w:bCs/>
          <w:bdr w:val="none" w:sz="0" w:space="0" w:color="auto" w:frame="1"/>
          <w:shd w:val="clear" w:color="auto" w:fill="FFFFFF"/>
          <w:lang w:val="en-GB"/>
        </w:rPr>
        <w:t xml:space="preserve">roots and </w:t>
      </w:r>
      <w:r w:rsidR="0031712C" w:rsidRPr="006B6D34">
        <w:rPr>
          <w:rFonts w:cstheme="minorHAnsi"/>
          <w:bCs/>
          <w:bdr w:val="none" w:sz="0" w:space="0" w:color="auto" w:frame="1"/>
          <w:shd w:val="clear" w:color="auto" w:fill="FFFFFF"/>
          <w:lang w:val="en-GB"/>
        </w:rPr>
        <w:t xml:space="preserve">a strong </w:t>
      </w:r>
      <w:r w:rsidR="0063202F" w:rsidRPr="006B6D34">
        <w:rPr>
          <w:rFonts w:cstheme="minorHAnsi"/>
          <w:bCs/>
          <w:bdr w:val="none" w:sz="0" w:space="0" w:color="auto" w:frame="1"/>
          <w:shd w:val="clear" w:color="auto" w:fill="FFFFFF"/>
          <w:lang w:val="en-GB"/>
        </w:rPr>
        <w:t xml:space="preserve">interconnectedness, despite </w:t>
      </w:r>
      <w:r w:rsidR="000F43A5" w:rsidRPr="006B6D34">
        <w:rPr>
          <w:rFonts w:cstheme="minorHAnsi"/>
          <w:bCs/>
          <w:bdr w:val="none" w:sz="0" w:space="0" w:color="auto" w:frame="1"/>
          <w:shd w:val="clear" w:color="auto" w:fill="FFFFFF"/>
          <w:lang w:val="en-GB"/>
        </w:rPr>
        <w:t>differences in spoken languages and belief systems, that could be due to the</w:t>
      </w:r>
      <w:r w:rsidR="0032347C" w:rsidRPr="006B6D34">
        <w:rPr>
          <w:rFonts w:cstheme="minorHAnsi"/>
          <w:bCs/>
          <w:bdr w:val="none" w:sz="0" w:space="0" w:color="auto" w:frame="1"/>
          <w:shd w:val="clear" w:color="auto" w:fill="FFFFFF"/>
          <w:lang w:val="en-GB"/>
        </w:rPr>
        <w:t xml:space="preserve"> alternating political rule</w:t>
      </w:r>
      <w:r w:rsidR="000F43A5" w:rsidRPr="006B6D34">
        <w:rPr>
          <w:rFonts w:cstheme="minorHAnsi"/>
          <w:bCs/>
          <w:bdr w:val="none" w:sz="0" w:space="0" w:color="auto" w:frame="1"/>
          <w:shd w:val="clear" w:color="auto" w:fill="FFFFFF"/>
          <w:lang w:val="en-GB"/>
        </w:rPr>
        <w:t xml:space="preserve"> between Bern and Fribourg, which changed every 5 years </w:t>
      </w:r>
      <w:r w:rsidR="0032347C" w:rsidRPr="006B6D34">
        <w:rPr>
          <w:rFonts w:cstheme="minorHAnsi"/>
          <w:bCs/>
          <w:bdr w:val="none" w:sz="0" w:space="0" w:color="auto" w:frame="1"/>
          <w:shd w:val="clear" w:color="auto" w:fill="FFFFFF"/>
          <w:lang w:val="en-GB"/>
        </w:rPr>
        <w:t xml:space="preserve">until </w:t>
      </w:r>
      <w:r w:rsidR="000F43A5" w:rsidRPr="006B6D34">
        <w:rPr>
          <w:rFonts w:cstheme="minorHAnsi"/>
          <w:bCs/>
          <w:bdr w:val="none" w:sz="0" w:space="0" w:color="auto" w:frame="1"/>
          <w:shd w:val="clear" w:color="auto" w:fill="FFFFFF"/>
          <w:lang w:val="en-GB"/>
        </w:rPr>
        <w:t>1798</w:t>
      </w:r>
      <w:r w:rsidR="0032347C" w:rsidRPr="006B6D34">
        <w:rPr>
          <w:rFonts w:cstheme="minorHAnsi"/>
          <w:bCs/>
          <w:bdr w:val="none" w:sz="0" w:space="0" w:color="auto" w:frame="1"/>
          <w:shd w:val="clear" w:color="auto" w:fill="FFFFFF"/>
          <w:lang w:val="en-GB"/>
        </w:rPr>
        <w:t>.</w:t>
      </w:r>
      <w:r w:rsidR="0031712C" w:rsidRPr="006B6D34">
        <w:rPr>
          <w:rStyle w:val="Funotenzeichen"/>
          <w:rFonts w:cstheme="minorHAnsi"/>
          <w:bCs/>
          <w:bdr w:val="none" w:sz="0" w:space="0" w:color="auto" w:frame="1"/>
          <w:shd w:val="clear" w:color="auto" w:fill="FFFFFF"/>
          <w:lang w:val="en-GB"/>
        </w:rPr>
        <w:footnoteReference w:id="65"/>
      </w:r>
      <w:r w:rsidR="0063202F" w:rsidRPr="006B6D34">
        <w:rPr>
          <w:rFonts w:cstheme="minorHAnsi"/>
          <w:bCs/>
          <w:bdr w:val="none" w:sz="0" w:space="0" w:color="auto" w:frame="1"/>
          <w:shd w:val="clear" w:color="auto" w:fill="FFFFFF"/>
          <w:lang w:val="en-GB"/>
        </w:rPr>
        <w:t xml:space="preserve"> </w:t>
      </w:r>
      <w:r w:rsidR="0031712C" w:rsidRPr="006B6D34">
        <w:rPr>
          <w:rFonts w:cstheme="minorHAnsi"/>
          <w:bCs/>
          <w:bdr w:val="none" w:sz="0" w:space="0" w:color="auto" w:frame="1"/>
          <w:shd w:val="clear" w:color="auto" w:fill="FFFFFF"/>
          <w:lang w:val="en-GB"/>
        </w:rPr>
        <w:t>Gunzburg and Brady further argued that, r</w:t>
      </w:r>
      <w:r w:rsidR="0063202F" w:rsidRPr="006B6D34">
        <w:rPr>
          <w:rFonts w:cstheme="minorHAnsi"/>
          <w:bCs/>
          <w:bdr w:val="none" w:sz="0" w:space="0" w:color="auto" w:frame="1"/>
          <w:shd w:val="clear" w:color="auto" w:fill="FFFFFF"/>
          <w:lang w:val="en-GB"/>
        </w:rPr>
        <w:t xml:space="preserve">egardless of </w:t>
      </w:r>
      <w:r w:rsidR="0031712C" w:rsidRPr="006B6D34">
        <w:rPr>
          <w:rFonts w:cstheme="minorHAnsi"/>
          <w:bCs/>
          <w:bdr w:val="none" w:sz="0" w:space="0" w:color="auto" w:frame="1"/>
          <w:shd w:val="clear" w:color="auto" w:fill="FFFFFF"/>
          <w:lang w:val="en-GB"/>
        </w:rPr>
        <w:t xml:space="preserve">a mountain’s </w:t>
      </w:r>
      <w:r w:rsidR="0063202F" w:rsidRPr="006B6D34">
        <w:rPr>
          <w:rFonts w:cstheme="minorHAnsi"/>
          <w:bCs/>
          <w:bdr w:val="none" w:sz="0" w:space="0" w:color="auto" w:frame="1"/>
          <w:shd w:val="clear" w:color="auto" w:fill="FFFFFF"/>
          <w:lang w:val="en-GB"/>
        </w:rPr>
        <w:t xml:space="preserve">physical presence, </w:t>
      </w:r>
      <w:r w:rsidR="0031712C" w:rsidRPr="006B6D34">
        <w:rPr>
          <w:rFonts w:cstheme="minorHAnsi"/>
          <w:bCs/>
          <w:bdr w:val="none" w:sz="0" w:space="0" w:color="auto" w:frame="1"/>
          <w:shd w:val="clear" w:color="auto" w:fill="FFFFFF"/>
          <w:lang w:val="en-GB"/>
        </w:rPr>
        <w:t>it</w:t>
      </w:r>
      <w:r w:rsidR="0063202F" w:rsidRPr="006B6D34">
        <w:rPr>
          <w:rFonts w:cstheme="minorHAnsi"/>
          <w:bCs/>
          <w:bdr w:val="none" w:sz="0" w:space="0" w:color="auto" w:frame="1"/>
          <w:shd w:val="clear" w:color="auto" w:fill="FFFFFF"/>
          <w:lang w:val="en-GB"/>
        </w:rPr>
        <w:t xml:space="preserve"> often </w:t>
      </w:r>
      <w:r w:rsidR="0031712C" w:rsidRPr="006B6D34">
        <w:rPr>
          <w:rFonts w:cstheme="minorHAnsi"/>
          <w:bCs/>
          <w:bdr w:val="none" w:sz="0" w:space="0" w:color="auto" w:frame="1"/>
          <w:shd w:val="clear" w:color="auto" w:fill="FFFFFF"/>
          <w:lang w:val="en-GB"/>
        </w:rPr>
        <w:t>evokes</w:t>
      </w:r>
      <w:r w:rsidR="0063202F" w:rsidRPr="006B6D34">
        <w:rPr>
          <w:rFonts w:cstheme="minorHAnsi"/>
          <w:bCs/>
          <w:bdr w:val="none" w:sz="0" w:space="0" w:color="auto" w:frame="1"/>
          <w:shd w:val="clear" w:color="auto" w:fill="FFFFFF"/>
          <w:lang w:val="en-GB"/>
        </w:rPr>
        <w:t xml:space="preserve"> feelings of reverence</w:t>
      </w:r>
      <w:r w:rsidR="0031712C" w:rsidRPr="006B6D34">
        <w:rPr>
          <w:rFonts w:cstheme="minorHAnsi"/>
          <w:bCs/>
          <w:bdr w:val="none" w:sz="0" w:space="0" w:color="auto" w:frame="1"/>
          <w:shd w:val="clear" w:color="auto" w:fill="FFFFFF"/>
          <w:lang w:val="en-GB"/>
        </w:rPr>
        <w:t>, a</w:t>
      </w:r>
      <w:r w:rsidR="0063202F" w:rsidRPr="006B6D34">
        <w:rPr>
          <w:rFonts w:cstheme="minorHAnsi"/>
          <w:bCs/>
          <w:bdr w:val="none" w:sz="0" w:space="0" w:color="auto" w:frame="1"/>
          <w:shd w:val="clear" w:color="auto" w:fill="FFFFFF"/>
          <w:lang w:val="en-GB"/>
        </w:rPr>
        <w:t xml:space="preserve"> quality </w:t>
      </w:r>
      <w:r w:rsidR="0031712C" w:rsidRPr="006B6D34">
        <w:rPr>
          <w:rFonts w:cstheme="minorHAnsi"/>
          <w:bCs/>
          <w:bdr w:val="none" w:sz="0" w:space="0" w:color="auto" w:frame="1"/>
          <w:shd w:val="clear" w:color="auto" w:fill="FFFFFF"/>
          <w:lang w:val="en-GB"/>
        </w:rPr>
        <w:t xml:space="preserve">that </w:t>
      </w:r>
      <w:r w:rsidR="0063202F" w:rsidRPr="006B6D34">
        <w:rPr>
          <w:rFonts w:cstheme="minorHAnsi"/>
          <w:bCs/>
          <w:bdr w:val="none" w:sz="0" w:space="0" w:color="auto" w:frame="1"/>
          <w:shd w:val="clear" w:color="auto" w:fill="FFFFFF"/>
          <w:lang w:val="en-GB"/>
        </w:rPr>
        <w:t>can be harnessed for religious purposes, not only to create a space for monastic groups seeking a closer connection to the divine, but also to enhance the experience of the divine itself.</w:t>
      </w:r>
      <w:r w:rsidR="0063202F" w:rsidRPr="006B6D34">
        <w:rPr>
          <w:rStyle w:val="Funotenzeichen"/>
          <w:rFonts w:cstheme="minorHAnsi"/>
          <w:bCs/>
          <w:bdr w:val="none" w:sz="0" w:space="0" w:color="auto" w:frame="1"/>
          <w:shd w:val="clear" w:color="auto" w:fill="FFFFFF"/>
          <w:lang w:val="en-GB"/>
        </w:rPr>
        <w:footnoteReference w:id="66"/>
      </w:r>
      <w:r w:rsidR="0031712C" w:rsidRPr="006B6D34">
        <w:rPr>
          <w:rFonts w:cstheme="minorHAnsi"/>
          <w:bCs/>
          <w:bdr w:val="none" w:sz="0" w:space="0" w:color="auto" w:frame="1"/>
          <w:shd w:val="clear" w:color="auto" w:fill="FFFFFF"/>
          <w:lang w:val="en-GB"/>
        </w:rPr>
        <w:t xml:space="preserve"> </w:t>
      </w:r>
      <w:r w:rsidR="00311D69" w:rsidRPr="006B6D34">
        <w:rPr>
          <w:rFonts w:cstheme="minorHAnsi"/>
          <w:bCs/>
          <w:bdr w:val="none" w:sz="0" w:space="0" w:color="auto" w:frame="1"/>
          <w:shd w:val="clear" w:color="auto" w:fill="FFFFFF"/>
          <w:lang w:val="en-GB"/>
        </w:rPr>
        <w:t xml:space="preserve">In </w:t>
      </w:r>
      <w:r w:rsidR="00986D23" w:rsidRPr="006B6D34">
        <w:rPr>
          <w:rFonts w:cstheme="minorHAnsi"/>
          <w:bCs/>
          <w:bdr w:val="none" w:sz="0" w:space="0" w:color="auto" w:frame="1"/>
          <w:shd w:val="clear" w:color="auto" w:fill="FFFFFF"/>
          <w:lang w:val="en-GB"/>
        </w:rPr>
        <w:t xml:space="preserve">1072, the first monastery of the Cluny abbey on German-speaking territory was founded in the </w:t>
      </w:r>
      <w:r w:rsidR="0034230A" w:rsidRPr="006B6D34">
        <w:rPr>
          <w:rFonts w:cstheme="minorHAnsi"/>
          <w:bCs/>
          <w:bdr w:val="none" w:sz="0" w:space="0" w:color="auto" w:frame="1"/>
          <w:shd w:val="clear" w:color="auto" w:fill="FFFFFF"/>
          <w:lang w:val="en-GB"/>
        </w:rPr>
        <w:t xml:space="preserve">very </w:t>
      </w:r>
      <w:r w:rsidR="00986D23" w:rsidRPr="006B6D34">
        <w:rPr>
          <w:rFonts w:cstheme="minorHAnsi"/>
          <w:bCs/>
          <w:bdr w:val="none" w:sz="0" w:space="0" w:color="auto" w:frame="1"/>
          <w:shd w:val="clear" w:color="auto" w:fill="FFFFFF"/>
          <w:lang w:val="en-GB"/>
        </w:rPr>
        <w:t>municipality of Guggisberg.</w:t>
      </w:r>
      <w:r w:rsidR="001B13C0" w:rsidRPr="006B6D34">
        <w:rPr>
          <w:rStyle w:val="Funotenzeichen"/>
          <w:rFonts w:cstheme="minorHAnsi"/>
          <w:bCs/>
          <w:bdr w:val="none" w:sz="0" w:space="0" w:color="auto" w:frame="1"/>
          <w:shd w:val="clear" w:color="auto" w:fill="FFFFFF"/>
          <w:lang w:val="en-GB"/>
        </w:rPr>
        <w:footnoteReference w:id="67"/>
      </w:r>
      <w:r w:rsidR="00986D23" w:rsidRPr="006B6D34">
        <w:rPr>
          <w:rFonts w:cstheme="minorHAnsi"/>
          <w:bCs/>
          <w:bdr w:val="none" w:sz="0" w:space="0" w:color="auto" w:frame="1"/>
          <w:shd w:val="clear" w:color="auto" w:fill="FFFFFF"/>
          <w:lang w:val="en-GB"/>
        </w:rPr>
        <w:t xml:space="preserve"> As it would suggest that the monastic group </w:t>
      </w:r>
      <w:r w:rsidR="0034230A" w:rsidRPr="006B6D34">
        <w:rPr>
          <w:rFonts w:cstheme="minorHAnsi"/>
          <w:bCs/>
          <w:bdr w:val="none" w:sz="0" w:space="0" w:color="auto" w:frame="1"/>
          <w:shd w:val="clear" w:color="auto" w:fill="FFFFFF"/>
          <w:lang w:val="en-GB"/>
        </w:rPr>
        <w:t>sought</w:t>
      </w:r>
      <w:r w:rsidR="00986D23" w:rsidRPr="006B6D34">
        <w:rPr>
          <w:rFonts w:cstheme="minorHAnsi"/>
          <w:bCs/>
          <w:bdr w:val="none" w:sz="0" w:space="0" w:color="auto" w:frame="1"/>
          <w:shd w:val="clear" w:color="auto" w:fill="FFFFFF"/>
          <w:lang w:val="en-GB"/>
        </w:rPr>
        <w:t xml:space="preserve"> a closer connection to the divine in </w:t>
      </w:r>
      <w:r w:rsidR="0034230A" w:rsidRPr="006B6D34">
        <w:rPr>
          <w:rFonts w:cstheme="minorHAnsi"/>
          <w:bCs/>
          <w:bdr w:val="none" w:sz="0" w:space="0" w:color="auto" w:frame="1"/>
          <w:shd w:val="clear" w:color="auto" w:fill="FFFFFF"/>
          <w:lang w:val="en-GB"/>
        </w:rPr>
        <w:t>an</w:t>
      </w:r>
      <w:r w:rsidR="00986D23" w:rsidRPr="006B6D34">
        <w:rPr>
          <w:rFonts w:cstheme="minorHAnsi"/>
          <w:bCs/>
          <w:bdr w:val="none" w:sz="0" w:space="0" w:color="auto" w:frame="1"/>
          <w:shd w:val="clear" w:color="auto" w:fill="FFFFFF"/>
          <w:lang w:val="en-GB"/>
        </w:rPr>
        <w:t xml:space="preserve"> area </w:t>
      </w:r>
      <w:r w:rsidR="0034230A" w:rsidRPr="006B6D34">
        <w:rPr>
          <w:rFonts w:cstheme="minorHAnsi"/>
          <w:bCs/>
          <w:bdr w:val="none" w:sz="0" w:space="0" w:color="auto" w:frame="1"/>
          <w:shd w:val="clear" w:color="auto" w:fill="FFFFFF"/>
          <w:lang w:val="en-GB"/>
        </w:rPr>
        <w:t xml:space="preserve">that </w:t>
      </w:r>
      <w:r w:rsidR="00986D23" w:rsidRPr="006B6D34">
        <w:rPr>
          <w:rFonts w:cstheme="minorHAnsi"/>
          <w:bCs/>
          <w:bdr w:val="none" w:sz="0" w:space="0" w:color="auto" w:frame="1"/>
          <w:shd w:val="clear" w:color="auto" w:fill="FFFFFF"/>
          <w:lang w:val="en-GB"/>
        </w:rPr>
        <w:t>host</w:t>
      </w:r>
      <w:r w:rsidR="0034230A" w:rsidRPr="006B6D34">
        <w:rPr>
          <w:rFonts w:cstheme="minorHAnsi"/>
          <w:bCs/>
          <w:bdr w:val="none" w:sz="0" w:space="0" w:color="auto" w:frame="1"/>
          <w:shd w:val="clear" w:color="auto" w:fill="FFFFFF"/>
          <w:lang w:val="en-GB"/>
        </w:rPr>
        <w:t>ed</w:t>
      </w:r>
      <w:r w:rsidR="00986D23" w:rsidRPr="006B6D34">
        <w:rPr>
          <w:rFonts w:cstheme="minorHAnsi"/>
          <w:bCs/>
          <w:bdr w:val="none" w:sz="0" w:space="0" w:color="auto" w:frame="1"/>
          <w:shd w:val="clear" w:color="auto" w:fill="FFFFFF"/>
          <w:lang w:val="en-GB"/>
        </w:rPr>
        <w:t xml:space="preserve"> the </w:t>
      </w:r>
      <w:r w:rsidR="0034230A" w:rsidRPr="006B6D34">
        <w:rPr>
          <w:rFonts w:cstheme="minorHAnsi"/>
          <w:bCs/>
          <w:bdr w:val="none" w:sz="0" w:space="0" w:color="auto" w:frame="1"/>
          <w:shd w:val="clear" w:color="auto" w:fill="FFFFFF"/>
          <w:lang w:val="en-GB"/>
        </w:rPr>
        <w:t xml:space="preserve">curious </w:t>
      </w:r>
      <w:r w:rsidR="00986D23" w:rsidRPr="006B6D34">
        <w:rPr>
          <w:rFonts w:cstheme="minorHAnsi"/>
          <w:bCs/>
          <w:bdr w:val="none" w:sz="0" w:space="0" w:color="auto" w:frame="1"/>
          <w:shd w:val="clear" w:color="auto" w:fill="FFFFFF"/>
          <w:lang w:val="en-GB"/>
        </w:rPr>
        <w:t>rock-and-hill formation</w:t>
      </w:r>
      <w:r w:rsidR="0034230A" w:rsidRPr="006B6D34">
        <w:rPr>
          <w:rFonts w:cstheme="minorHAnsi"/>
          <w:bCs/>
          <w:bdr w:val="none" w:sz="0" w:space="0" w:color="auto" w:frame="1"/>
          <w:shd w:val="clear" w:color="auto" w:fill="FFFFFF"/>
          <w:lang w:val="en-GB"/>
        </w:rPr>
        <w:t>, there is also the debate, whether it was placed there because the local population had to be converted from paganism to Christianity. However, according to Franz Wäger, although there was some bias in the monastery's founding, Christianity had already been established in the area for many centuries. The ecclesiastical texts sought to highlight the holiness of the monastery’s founder, Saint Ulrich, and thus portrayed the local population as uncivilised and animal-like, requiring guidance toward salvation.</w:t>
      </w:r>
      <w:r w:rsidR="0034230A" w:rsidRPr="006B6D34">
        <w:rPr>
          <w:rStyle w:val="Funotenzeichen"/>
          <w:rFonts w:cstheme="minorHAnsi"/>
          <w:bCs/>
          <w:bdr w:val="none" w:sz="0" w:space="0" w:color="auto" w:frame="1"/>
          <w:shd w:val="clear" w:color="auto" w:fill="FFFFFF"/>
          <w:lang w:val="en-GB"/>
        </w:rPr>
        <w:footnoteReference w:id="68"/>
      </w:r>
      <w:r w:rsidR="0034230A" w:rsidRPr="006B6D34">
        <w:rPr>
          <w:rFonts w:cstheme="minorHAnsi"/>
          <w:bCs/>
          <w:bdr w:val="none" w:sz="0" w:space="0" w:color="auto" w:frame="1"/>
          <w:shd w:val="clear" w:color="auto" w:fill="FFFFFF"/>
          <w:lang w:val="en-GB"/>
        </w:rPr>
        <w:t xml:space="preserve"> </w:t>
      </w:r>
      <w:r w:rsidR="00EA3DA0" w:rsidRPr="006B6D34">
        <w:rPr>
          <w:rFonts w:cstheme="minorHAnsi"/>
          <w:bCs/>
          <w:bdr w:val="none" w:sz="0" w:space="0" w:color="auto" w:frame="1"/>
          <w:shd w:val="clear" w:color="auto" w:fill="FFFFFF"/>
          <w:lang w:val="en-GB"/>
        </w:rPr>
        <w:t>Therefore, the</w:t>
      </w:r>
      <w:r w:rsidR="000F43A5" w:rsidRPr="006B6D34">
        <w:rPr>
          <w:rFonts w:cstheme="minorHAnsi"/>
          <w:bCs/>
          <w:bdr w:val="none" w:sz="0" w:space="0" w:color="auto" w:frame="1"/>
          <w:shd w:val="clear" w:color="auto" w:fill="FFFFFF"/>
          <w:lang w:val="en-GB"/>
        </w:rPr>
        <w:t xml:space="preserve"> theme of </w:t>
      </w:r>
      <w:r w:rsidR="00EB5D56" w:rsidRPr="006B6D34">
        <w:rPr>
          <w:rFonts w:cstheme="minorHAnsi"/>
          <w:bCs/>
          <w:bdr w:val="none" w:sz="0" w:space="0" w:color="auto" w:frame="1"/>
          <w:shd w:val="clear" w:color="auto" w:fill="FFFFFF"/>
          <w:lang w:val="en-GB"/>
        </w:rPr>
        <w:t xml:space="preserve">an imposed separation, </w:t>
      </w:r>
      <w:r w:rsidR="000F43A5" w:rsidRPr="006B6D34">
        <w:rPr>
          <w:rFonts w:cstheme="minorHAnsi"/>
          <w:bCs/>
          <w:bdr w:val="none" w:sz="0" w:space="0" w:color="auto" w:frame="1"/>
          <w:shd w:val="clear" w:color="auto" w:fill="FFFFFF"/>
          <w:lang w:val="en-GB"/>
        </w:rPr>
        <w:t>be it political or b</w:t>
      </w:r>
      <w:r w:rsidR="00EB5D56" w:rsidRPr="006B6D34">
        <w:rPr>
          <w:rFonts w:cstheme="minorHAnsi"/>
          <w:bCs/>
          <w:bdr w:val="none" w:sz="0" w:space="0" w:color="auto" w:frame="1"/>
          <w:shd w:val="clear" w:color="auto" w:fill="FFFFFF"/>
          <w:lang w:val="en-GB"/>
        </w:rPr>
        <w:t xml:space="preserve">y the Catholic church, </w:t>
      </w:r>
      <w:r w:rsidR="0032347C" w:rsidRPr="006B6D34">
        <w:rPr>
          <w:rFonts w:cstheme="minorHAnsi"/>
          <w:bCs/>
          <w:bdr w:val="none" w:sz="0" w:space="0" w:color="auto" w:frame="1"/>
          <w:shd w:val="clear" w:color="auto" w:fill="FFFFFF"/>
          <w:lang w:val="en-GB"/>
        </w:rPr>
        <w:t>where there</w:t>
      </w:r>
      <w:r w:rsidR="00EB5D56" w:rsidRPr="006B6D34">
        <w:rPr>
          <w:rFonts w:cstheme="minorHAnsi"/>
          <w:bCs/>
          <w:bdr w:val="none" w:sz="0" w:space="0" w:color="auto" w:frame="1"/>
          <w:shd w:val="clear" w:color="auto" w:fill="FFFFFF"/>
          <w:lang w:val="en-GB"/>
        </w:rPr>
        <w:t xml:space="preserve"> was actually none</w:t>
      </w:r>
      <w:r w:rsidR="000F43A5" w:rsidRPr="006B6D34">
        <w:rPr>
          <w:rFonts w:cstheme="minorHAnsi"/>
          <w:bCs/>
          <w:bdr w:val="none" w:sz="0" w:space="0" w:color="auto" w:frame="1"/>
          <w:shd w:val="clear" w:color="auto" w:fill="FFFFFF"/>
          <w:lang w:val="en-GB"/>
        </w:rPr>
        <w:t>, can be seen, though the rock-and-hill formation seems to hold it together subliminally.</w:t>
      </w:r>
    </w:p>
    <w:p w14:paraId="2AFDBEB2" w14:textId="77777777" w:rsidR="00003298" w:rsidRPr="006B6D34" w:rsidRDefault="00003298" w:rsidP="000F43A5">
      <w:pPr>
        <w:rPr>
          <w:rFonts w:cstheme="minorHAnsi"/>
          <w:bCs/>
          <w:bdr w:val="none" w:sz="0" w:space="0" w:color="auto" w:frame="1"/>
          <w:shd w:val="clear" w:color="auto" w:fill="FFFFFF"/>
          <w:lang w:val="en-GB"/>
        </w:rPr>
      </w:pPr>
    </w:p>
    <w:p w14:paraId="653A1864" w14:textId="78C3B7C1" w:rsidR="00003298" w:rsidRPr="006B6D34" w:rsidRDefault="00003298" w:rsidP="00003298">
      <w:pPr>
        <w:rPr>
          <w:rFonts w:cstheme="minorHAnsi"/>
          <w:b/>
          <w:bdr w:val="none" w:sz="0" w:space="0" w:color="auto" w:frame="1"/>
          <w:shd w:val="clear" w:color="auto" w:fill="FFFFFF"/>
          <w:lang w:val="en-GB"/>
        </w:rPr>
      </w:pPr>
      <w:r w:rsidRPr="006B6D34">
        <w:rPr>
          <w:rFonts w:cstheme="minorHAnsi"/>
          <w:b/>
          <w:bdr w:val="none" w:sz="0" w:space="0" w:color="auto" w:frame="1"/>
          <w:shd w:val="clear" w:color="auto" w:fill="FFFFFF"/>
          <w:lang w:val="en-GB"/>
        </w:rPr>
        <w:t xml:space="preserve">The rock-and-hill </w:t>
      </w:r>
      <w:r w:rsidR="00784F7F" w:rsidRPr="006B6D34">
        <w:rPr>
          <w:rFonts w:cstheme="minorHAnsi"/>
          <w:b/>
          <w:bdr w:val="none" w:sz="0" w:space="0" w:color="auto" w:frame="1"/>
          <w:shd w:val="clear" w:color="auto" w:fill="FFFFFF"/>
          <w:lang w:val="en-GB"/>
        </w:rPr>
        <w:t>within a vertical context</w:t>
      </w:r>
    </w:p>
    <w:p w14:paraId="0F5A572A" w14:textId="1284AB95" w:rsidR="00F00126" w:rsidRPr="006B6D34" w:rsidRDefault="009B77E6" w:rsidP="00F00126">
      <w:pPr>
        <w:rPr>
          <w:rFonts w:cstheme="minorHAnsi"/>
          <w:bCs/>
          <w:bdr w:val="none" w:sz="0" w:space="0" w:color="auto" w:frame="1"/>
          <w:shd w:val="clear" w:color="auto" w:fill="FFFFFF"/>
          <w:lang w:val="en-GB"/>
        </w:rPr>
      </w:pPr>
      <w:r w:rsidRPr="006B6D34">
        <w:rPr>
          <w:rFonts w:cstheme="minorHAnsi"/>
          <w:bCs/>
          <w:bdr w:val="none" w:sz="0" w:space="0" w:color="auto" w:frame="1"/>
          <w:shd w:val="clear" w:color="auto" w:fill="FFFFFF"/>
          <w:lang w:val="en-GB"/>
        </w:rPr>
        <w:t xml:space="preserve">After </w:t>
      </w:r>
      <w:r w:rsidR="00784F7F" w:rsidRPr="006B6D34">
        <w:rPr>
          <w:rFonts w:cstheme="minorHAnsi"/>
          <w:bCs/>
          <w:bdr w:val="none" w:sz="0" w:space="0" w:color="auto" w:frame="1"/>
          <w:shd w:val="clear" w:color="auto" w:fill="FFFFFF"/>
          <w:lang w:val="en-GB"/>
        </w:rPr>
        <w:t xml:space="preserve">the rock-and-hill formation of Guggisberg </w:t>
      </w:r>
      <w:r w:rsidRPr="006B6D34">
        <w:rPr>
          <w:rFonts w:cstheme="minorHAnsi"/>
          <w:bCs/>
          <w:bdr w:val="none" w:sz="0" w:space="0" w:color="auto" w:frame="1"/>
          <w:shd w:val="clear" w:color="auto" w:fill="FFFFFF"/>
          <w:lang w:val="en-GB"/>
        </w:rPr>
        <w:t xml:space="preserve">has been set </w:t>
      </w:r>
      <w:r w:rsidR="00784F7F" w:rsidRPr="006B6D34">
        <w:rPr>
          <w:rFonts w:cstheme="minorHAnsi"/>
          <w:bCs/>
          <w:bdr w:val="none" w:sz="0" w:space="0" w:color="auto" w:frame="1"/>
          <w:shd w:val="clear" w:color="auto" w:fill="FFFFFF"/>
          <w:lang w:val="en-GB"/>
        </w:rPr>
        <w:t xml:space="preserve">in a horizontal context, </w:t>
      </w:r>
      <w:r w:rsidRPr="006B6D34">
        <w:rPr>
          <w:rFonts w:cstheme="minorHAnsi"/>
          <w:bCs/>
          <w:bdr w:val="none" w:sz="0" w:space="0" w:color="auto" w:frame="1"/>
          <w:shd w:val="clear" w:color="auto" w:fill="FFFFFF"/>
          <w:lang w:val="en-GB"/>
        </w:rPr>
        <w:t>Anna-Leena Siikala’s model offers insights through a</w:t>
      </w:r>
      <w:r w:rsidR="00784F7F" w:rsidRPr="006B6D34">
        <w:rPr>
          <w:rFonts w:cstheme="minorHAnsi"/>
          <w:lang w:val="en-GB"/>
        </w:rPr>
        <w:t xml:space="preserve"> vertical argument. The rock-and-hill’s sacredness could be viewed as the universe comprising three main tiers consisting of a central axis, often referred to as a pillar, a tree,</w:t>
      </w:r>
      <w:r w:rsidR="00784F7F" w:rsidRPr="006B6D34">
        <w:rPr>
          <w:rFonts w:cstheme="minorHAnsi"/>
          <w:bCs/>
          <w:bdr w:val="none" w:sz="0" w:space="0" w:color="auto" w:frame="1"/>
          <w:shd w:val="clear" w:color="auto" w:fill="FFFFFF"/>
          <w:lang w:val="en-GB"/>
        </w:rPr>
        <w:t xml:space="preserve"> or a mountain, which connects these three levels and allows passage.</w:t>
      </w:r>
      <w:r w:rsidR="00784F7F" w:rsidRPr="006B6D34">
        <w:rPr>
          <w:rStyle w:val="Funotenzeichen"/>
          <w:rFonts w:cstheme="minorHAnsi"/>
          <w:bCs/>
          <w:bdr w:val="none" w:sz="0" w:space="0" w:color="auto" w:frame="1"/>
          <w:shd w:val="clear" w:color="auto" w:fill="FFFFFF"/>
          <w:lang w:val="en-GB"/>
        </w:rPr>
        <w:footnoteReference w:id="69"/>
      </w:r>
      <w:r w:rsidR="00784F7F" w:rsidRPr="006B6D34">
        <w:rPr>
          <w:rFonts w:cstheme="minorHAnsi"/>
          <w:bCs/>
          <w:bdr w:val="none" w:sz="0" w:space="0" w:color="auto" w:frame="1"/>
          <w:shd w:val="clear" w:color="auto" w:fill="FFFFFF"/>
          <w:lang w:val="en-GB"/>
        </w:rPr>
        <w:t xml:space="preserve"> The rock </w:t>
      </w:r>
      <w:proofErr w:type="spellStart"/>
      <w:r w:rsidR="00784F7F" w:rsidRPr="006B6D34">
        <w:rPr>
          <w:rFonts w:cstheme="minorHAnsi"/>
          <w:bCs/>
          <w:bdr w:val="none" w:sz="0" w:space="0" w:color="auto" w:frame="1"/>
          <w:shd w:val="clear" w:color="auto" w:fill="FFFFFF"/>
          <w:lang w:val="en-GB"/>
        </w:rPr>
        <w:t>Guggershornli</w:t>
      </w:r>
      <w:proofErr w:type="spellEnd"/>
      <w:r w:rsidR="00784F7F" w:rsidRPr="006B6D34">
        <w:rPr>
          <w:rFonts w:cstheme="minorHAnsi"/>
          <w:bCs/>
          <w:bdr w:val="none" w:sz="0" w:space="0" w:color="auto" w:frame="1"/>
          <w:shd w:val="clear" w:color="auto" w:fill="FFFFFF"/>
          <w:lang w:val="en-GB"/>
        </w:rPr>
        <w:t>, which rises like a needle into the sky, could well represent such an axis (</w:t>
      </w:r>
      <w:r w:rsidR="00030C25" w:rsidRPr="006B6D34">
        <w:rPr>
          <w:rFonts w:cstheme="minorHAnsi"/>
          <w:bCs/>
          <w:bdr w:val="none" w:sz="0" w:space="0" w:color="auto" w:frame="1"/>
          <w:shd w:val="clear" w:color="auto" w:fill="FFFFFF"/>
          <w:lang w:val="en-GB"/>
        </w:rPr>
        <w:t xml:space="preserve">Figure </w:t>
      </w:r>
      <w:r w:rsidR="0074233F" w:rsidRPr="006B6D34">
        <w:rPr>
          <w:rFonts w:cstheme="minorHAnsi"/>
          <w:bCs/>
          <w:bdr w:val="none" w:sz="0" w:space="0" w:color="auto" w:frame="1"/>
          <w:shd w:val="clear" w:color="auto" w:fill="FFFFFF"/>
          <w:lang w:val="en-GB"/>
        </w:rPr>
        <w:t>3</w:t>
      </w:r>
      <w:r w:rsidR="00030C25" w:rsidRPr="006B6D34">
        <w:rPr>
          <w:rFonts w:cstheme="minorHAnsi"/>
          <w:bCs/>
          <w:bdr w:val="none" w:sz="0" w:space="0" w:color="auto" w:frame="1"/>
          <w:shd w:val="clear" w:color="auto" w:fill="FFFFFF"/>
          <w:lang w:val="en-GB"/>
        </w:rPr>
        <w:t>).</w:t>
      </w:r>
      <w:r w:rsidRPr="006B6D34">
        <w:rPr>
          <w:rFonts w:cstheme="minorHAnsi"/>
          <w:bCs/>
          <w:bdr w:val="none" w:sz="0" w:space="0" w:color="auto" w:frame="1"/>
          <w:shd w:val="clear" w:color="auto" w:fill="FFFFFF"/>
          <w:lang w:val="en-GB"/>
        </w:rPr>
        <w:t xml:space="preserve"> A</w:t>
      </w:r>
      <w:r w:rsidR="00784F7F" w:rsidRPr="006B6D34">
        <w:rPr>
          <w:rFonts w:cstheme="minorHAnsi"/>
          <w:bCs/>
          <w:bdr w:val="none" w:sz="0" w:space="0" w:color="auto" w:frame="1"/>
          <w:shd w:val="clear" w:color="auto" w:fill="FFFFFF"/>
          <w:lang w:val="en-GB"/>
        </w:rPr>
        <w:t xml:space="preserve">ccording to </w:t>
      </w:r>
      <w:proofErr w:type="spellStart"/>
      <w:r w:rsidR="00784F7F" w:rsidRPr="006B6D34">
        <w:rPr>
          <w:rFonts w:cstheme="minorHAnsi"/>
          <w:bCs/>
          <w:bdr w:val="none" w:sz="0" w:space="0" w:color="auto" w:frame="1"/>
          <w:shd w:val="clear" w:color="auto" w:fill="FFFFFF"/>
          <w:lang w:val="en-GB"/>
        </w:rPr>
        <w:t>Siikala</w:t>
      </w:r>
      <w:proofErr w:type="spellEnd"/>
      <w:r w:rsidR="00784F7F" w:rsidRPr="006B6D34">
        <w:rPr>
          <w:rFonts w:cstheme="minorHAnsi"/>
          <w:bCs/>
          <w:bdr w:val="none" w:sz="0" w:space="0" w:color="auto" w:frame="1"/>
          <w:shd w:val="clear" w:color="auto" w:fill="FFFFFF"/>
          <w:lang w:val="en-GB"/>
        </w:rPr>
        <w:t>, the lower world lies beneath this axis, and the journey to the upper world begins at its summit.</w:t>
      </w:r>
      <w:r w:rsidR="00784F7F" w:rsidRPr="006B6D34">
        <w:rPr>
          <w:rStyle w:val="Funotenzeichen"/>
          <w:rFonts w:cstheme="minorHAnsi"/>
          <w:bCs/>
          <w:bdr w:val="none" w:sz="0" w:space="0" w:color="auto" w:frame="1"/>
          <w:shd w:val="clear" w:color="auto" w:fill="FFFFFF"/>
          <w:lang w:val="en-GB"/>
        </w:rPr>
        <w:footnoteReference w:id="70"/>
      </w:r>
      <w:r w:rsidR="00784F7F" w:rsidRPr="006B6D34">
        <w:rPr>
          <w:rFonts w:cstheme="minorHAnsi"/>
          <w:bCs/>
          <w:bdr w:val="none" w:sz="0" w:space="0" w:color="auto" w:frame="1"/>
          <w:shd w:val="clear" w:color="auto" w:fill="FFFFFF"/>
          <w:lang w:val="en-GB"/>
        </w:rPr>
        <w:t xml:space="preserve"> </w:t>
      </w:r>
      <w:r w:rsidR="00F00126" w:rsidRPr="006B6D34">
        <w:rPr>
          <w:rFonts w:cstheme="minorHAnsi"/>
          <w:bCs/>
          <w:bdr w:val="none" w:sz="0" w:space="0" w:color="auto" w:frame="1"/>
          <w:shd w:val="clear" w:color="auto" w:fill="FFFFFF"/>
          <w:lang w:val="en-GB"/>
        </w:rPr>
        <w:t>The Guggisberg song implies the existence of such a lower dimension</w:t>
      </w:r>
      <w:r w:rsidRPr="006B6D34">
        <w:rPr>
          <w:rFonts w:cstheme="minorHAnsi"/>
          <w:bCs/>
          <w:bdr w:val="none" w:sz="0" w:space="0" w:color="auto" w:frame="1"/>
          <w:shd w:val="clear" w:color="auto" w:fill="FFFFFF"/>
          <w:lang w:val="en-GB"/>
        </w:rPr>
        <w:t xml:space="preserve"> by referring to</w:t>
      </w:r>
      <w:r w:rsidR="00F00126" w:rsidRPr="006B6D34">
        <w:rPr>
          <w:rFonts w:cstheme="minorHAnsi"/>
          <w:bCs/>
          <w:bdr w:val="none" w:sz="0" w:space="0" w:color="auto" w:frame="1"/>
          <w:shd w:val="clear" w:color="auto" w:fill="FFFFFF"/>
          <w:lang w:val="en-GB"/>
        </w:rPr>
        <w:t xml:space="preserve"> a mill </w:t>
      </w:r>
      <w:r w:rsidRPr="006B6D34">
        <w:rPr>
          <w:rFonts w:cstheme="minorHAnsi"/>
          <w:bCs/>
          <w:bdr w:val="none" w:sz="0" w:space="0" w:color="auto" w:frame="1"/>
          <w:shd w:val="clear" w:color="auto" w:fill="FFFFFF"/>
          <w:lang w:val="en-GB"/>
        </w:rPr>
        <w:t xml:space="preserve">that </w:t>
      </w:r>
      <w:r w:rsidR="00F00126" w:rsidRPr="006B6D34">
        <w:rPr>
          <w:rFonts w:cstheme="minorHAnsi"/>
          <w:bCs/>
          <w:bdr w:val="none" w:sz="0" w:space="0" w:color="auto" w:frame="1"/>
          <w:shd w:val="clear" w:color="auto" w:fill="FFFFFF"/>
          <w:lang w:val="en-GB"/>
        </w:rPr>
        <w:t xml:space="preserve">generates </w:t>
      </w:r>
      <w:r w:rsidRPr="006B6D34">
        <w:rPr>
          <w:rFonts w:cstheme="minorHAnsi"/>
          <w:bCs/>
          <w:bdr w:val="none" w:sz="0" w:space="0" w:color="auto" w:frame="1"/>
          <w:shd w:val="clear" w:color="auto" w:fill="FFFFFF"/>
          <w:lang w:val="en-GB"/>
        </w:rPr>
        <w:t xml:space="preserve">nothing but love, by </w:t>
      </w:r>
      <w:r w:rsidR="00F00126" w:rsidRPr="00FD3D37">
        <w:rPr>
          <w:rFonts w:cstheme="minorHAnsi"/>
          <w:bCs/>
          <w:highlight w:val="yellow"/>
          <w:bdr w:val="none" w:sz="0" w:space="0" w:color="auto" w:frame="1"/>
          <w:shd w:val="clear" w:color="auto" w:fill="FFFFFF"/>
          <w:lang w:val="en-GB"/>
        </w:rPr>
        <w:t>night and day</w:t>
      </w:r>
      <w:r w:rsidRPr="006B6D34">
        <w:rPr>
          <w:rFonts w:cstheme="minorHAnsi"/>
          <w:bCs/>
          <w:bdr w:val="none" w:sz="0" w:space="0" w:color="auto" w:frame="1"/>
          <w:shd w:val="clear" w:color="auto" w:fill="FFFFFF"/>
          <w:lang w:val="en-GB"/>
        </w:rPr>
        <w:t xml:space="preserve">. </w:t>
      </w:r>
      <w:r w:rsidR="00F00126" w:rsidRPr="006B6D34">
        <w:rPr>
          <w:rFonts w:cstheme="minorHAnsi"/>
          <w:bCs/>
          <w:bdr w:val="none" w:sz="0" w:space="0" w:color="auto" w:frame="1"/>
          <w:shd w:val="clear" w:color="auto" w:fill="FFFFFF"/>
          <w:lang w:val="en-GB"/>
        </w:rPr>
        <w:t xml:space="preserve">Additionally, local folklore </w:t>
      </w:r>
      <w:r w:rsidRPr="006B6D34">
        <w:rPr>
          <w:rFonts w:cstheme="minorHAnsi"/>
          <w:bCs/>
          <w:bdr w:val="none" w:sz="0" w:space="0" w:color="auto" w:frame="1"/>
          <w:shd w:val="clear" w:color="auto" w:fill="FFFFFF"/>
          <w:lang w:val="en-GB"/>
        </w:rPr>
        <w:t>mentions a fairy living there and</w:t>
      </w:r>
      <w:r w:rsidR="00F00126" w:rsidRPr="006B6D34">
        <w:rPr>
          <w:rFonts w:cstheme="minorHAnsi"/>
          <w:bCs/>
          <w:bdr w:val="none" w:sz="0" w:space="0" w:color="auto" w:frame="1"/>
          <w:shd w:val="clear" w:color="auto" w:fill="FFFFFF"/>
          <w:lang w:val="en-GB"/>
        </w:rPr>
        <w:t xml:space="preserve"> treasures hidden in the </w:t>
      </w:r>
      <w:proofErr w:type="spellStart"/>
      <w:r w:rsidR="00F00126" w:rsidRPr="006B6D34">
        <w:rPr>
          <w:rFonts w:cstheme="minorHAnsi"/>
          <w:bCs/>
          <w:bdr w:val="none" w:sz="0" w:space="0" w:color="auto" w:frame="1"/>
          <w:shd w:val="clear" w:color="auto" w:fill="FFFFFF"/>
          <w:lang w:val="en-GB"/>
        </w:rPr>
        <w:t>Schwendelberg</w:t>
      </w:r>
      <w:proofErr w:type="spellEnd"/>
      <w:r w:rsidR="00F00126" w:rsidRPr="006B6D34">
        <w:rPr>
          <w:rFonts w:cstheme="minorHAnsi"/>
          <w:bCs/>
          <w:bdr w:val="none" w:sz="0" w:space="0" w:color="auto" w:frame="1"/>
          <w:shd w:val="clear" w:color="auto" w:fill="FFFFFF"/>
          <w:lang w:val="en-GB"/>
        </w:rPr>
        <w:t xml:space="preserve">, which may </w:t>
      </w:r>
      <w:r w:rsidRPr="006B6D34">
        <w:rPr>
          <w:rFonts w:cstheme="minorHAnsi"/>
          <w:bCs/>
          <w:bdr w:val="none" w:sz="0" w:space="0" w:color="auto" w:frame="1"/>
          <w:shd w:val="clear" w:color="auto" w:fill="FFFFFF"/>
          <w:lang w:val="en-GB"/>
        </w:rPr>
        <w:t xml:space="preserve">all </w:t>
      </w:r>
      <w:r w:rsidR="00F00126" w:rsidRPr="006B6D34">
        <w:rPr>
          <w:rFonts w:cstheme="minorHAnsi"/>
          <w:bCs/>
          <w:bdr w:val="none" w:sz="0" w:space="0" w:color="auto" w:frame="1"/>
          <w:shd w:val="clear" w:color="auto" w:fill="FFFFFF"/>
          <w:lang w:val="en-GB"/>
        </w:rPr>
        <w:t>indicate a prehistoric perspective, further reinforced by the theme of the Wild Hunt, which will be discussed further down.</w:t>
      </w:r>
      <w:r w:rsidR="00F00126" w:rsidRPr="006B6D34">
        <w:rPr>
          <w:rFonts w:cstheme="minorHAnsi"/>
          <w:lang w:val="en-GB"/>
        </w:rPr>
        <w:t xml:space="preserve"> The Guggisberg rock and hill appear to form the heart of an area that allows passage between the three vertical levels and between the horizontal levels. </w:t>
      </w:r>
      <w:r w:rsidR="00F00126" w:rsidRPr="006B6D34">
        <w:rPr>
          <w:rFonts w:cstheme="minorHAnsi"/>
          <w:bCs/>
          <w:bdr w:val="none" w:sz="0" w:space="0" w:color="auto" w:frame="1"/>
          <w:shd w:val="clear" w:color="auto" w:fill="FFFFFF"/>
          <w:lang w:val="en-GB"/>
        </w:rPr>
        <w:t xml:space="preserve">Durkheim's argument that the concept of the sacred is consistently distinct from the concept of the profane in human awareness </w:t>
      </w:r>
      <w:r w:rsidRPr="006B6D34">
        <w:rPr>
          <w:rFonts w:cstheme="minorHAnsi"/>
          <w:bCs/>
          <w:bdr w:val="none" w:sz="0" w:space="0" w:color="auto" w:frame="1"/>
          <w:shd w:val="clear" w:color="auto" w:fill="FFFFFF"/>
          <w:lang w:val="en-GB"/>
        </w:rPr>
        <w:t>does not hold in the vicinity of</w:t>
      </w:r>
      <w:r w:rsidR="00F00126" w:rsidRPr="006B6D34">
        <w:rPr>
          <w:rFonts w:cstheme="minorHAnsi"/>
          <w:bCs/>
          <w:bdr w:val="none" w:sz="0" w:space="0" w:color="auto" w:frame="1"/>
          <w:shd w:val="clear" w:color="auto" w:fill="FFFFFF"/>
          <w:lang w:val="en-GB"/>
        </w:rPr>
        <w:t xml:space="preserve"> the rock-and-hill formation.</w:t>
      </w:r>
      <w:r w:rsidRPr="006B6D34">
        <w:rPr>
          <w:rStyle w:val="Funotenzeichen"/>
          <w:rFonts w:cstheme="minorHAnsi"/>
          <w:bCs/>
          <w:bdr w:val="none" w:sz="0" w:space="0" w:color="auto" w:frame="1"/>
          <w:shd w:val="clear" w:color="auto" w:fill="FFFFFF"/>
          <w:lang w:val="en-GB"/>
        </w:rPr>
        <w:footnoteReference w:id="71"/>
      </w:r>
      <w:r w:rsidRPr="006B6D34">
        <w:rPr>
          <w:rFonts w:cstheme="minorHAnsi"/>
          <w:bCs/>
          <w:bdr w:val="none" w:sz="0" w:space="0" w:color="auto" w:frame="1"/>
          <w:shd w:val="clear" w:color="auto" w:fill="FFFFFF"/>
          <w:lang w:val="en-GB"/>
        </w:rPr>
        <w:t xml:space="preserve"> </w:t>
      </w:r>
    </w:p>
    <w:p w14:paraId="3EF38B24" w14:textId="77777777" w:rsidR="0074233F" w:rsidRPr="006B6D34" w:rsidRDefault="00030C25" w:rsidP="0074233F">
      <w:pPr>
        <w:keepNext/>
        <w:jc w:val="center"/>
        <w:rPr>
          <w:rFonts w:cstheme="minorHAnsi"/>
        </w:rPr>
      </w:pPr>
      <w:r w:rsidRPr="006B6D34">
        <w:rPr>
          <w:rFonts w:cstheme="minorHAnsi"/>
          <w:noProof/>
        </w:rPr>
        <w:drawing>
          <wp:inline distT="0" distB="0" distL="0" distR="0" wp14:anchorId="2A8B885B" wp14:editId="7B9E1F0E">
            <wp:extent cx="4206975" cy="3345361"/>
            <wp:effectExtent l="0" t="0" r="3175" b="7620"/>
            <wp:docPr id="24798055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08903" cy="3346894"/>
                    </a:xfrm>
                    <a:prstGeom prst="rect">
                      <a:avLst/>
                    </a:prstGeom>
                    <a:noFill/>
                    <a:ln>
                      <a:noFill/>
                    </a:ln>
                  </pic:spPr>
                </pic:pic>
              </a:graphicData>
            </a:graphic>
          </wp:inline>
        </w:drawing>
      </w:r>
    </w:p>
    <w:p w14:paraId="45FAE041" w14:textId="1776021A" w:rsidR="00030C25" w:rsidRPr="00030C25" w:rsidRDefault="0074233F" w:rsidP="0074233F">
      <w:pPr>
        <w:pStyle w:val="Beschriftung"/>
        <w:jc w:val="center"/>
        <w:rPr>
          <w:rFonts w:cstheme="minorHAnsi"/>
          <w:lang w:val="en-GB"/>
        </w:rPr>
      </w:pPr>
      <w:r w:rsidRPr="006B6D34">
        <w:rPr>
          <w:rFonts w:cstheme="minorHAnsi"/>
          <w:lang w:val="en-GB"/>
        </w:rPr>
        <w:t xml:space="preserve">Figure </w:t>
      </w:r>
      <w:r w:rsidRPr="006B6D34">
        <w:rPr>
          <w:rFonts w:cstheme="minorHAnsi"/>
        </w:rPr>
        <w:fldChar w:fldCharType="begin"/>
      </w:r>
      <w:r w:rsidRPr="006B6D34">
        <w:rPr>
          <w:rFonts w:cstheme="minorHAnsi"/>
          <w:lang w:val="en-GB"/>
        </w:rPr>
        <w:instrText xml:space="preserve"> SEQ Figure \* ARABIC </w:instrText>
      </w:r>
      <w:r w:rsidRPr="006B6D34">
        <w:rPr>
          <w:rFonts w:cstheme="minorHAnsi"/>
        </w:rPr>
        <w:fldChar w:fldCharType="separate"/>
      </w:r>
      <w:r w:rsidRPr="006B6D34">
        <w:rPr>
          <w:rFonts w:cstheme="minorHAnsi"/>
          <w:noProof/>
          <w:lang w:val="en-GB"/>
        </w:rPr>
        <w:t>3</w:t>
      </w:r>
      <w:r w:rsidRPr="006B6D34">
        <w:rPr>
          <w:rFonts w:cstheme="minorHAnsi"/>
        </w:rPr>
        <w:fldChar w:fldCharType="end"/>
      </w:r>
      <w:r w:rsidRPr="006B6D34">
        <w:rPr>
          <w:rFonts w:cstheme="minorHAnsi"/>
          <w:lang w:val="en-GB"/>
        </w:rPr>
        <w:t xml:space="preserve">: The rock-and-hill formation of Guggisberg. To the left, the </w:t>
      </w:r>
      <w:proofErr w:type="spellStart"/>
      <w:r w:rsidRPr="006B6D34">
        <w:rPr>
          <w:rFonts w:cstheme="minorHAnsi"/>
          <w:lang w:val="en-GB"/>
        </w:rPr>
        <w:t>Guggershornli</w:t>
      </w:r>
      <w:proofErr w:type="spellEnd"/>
      <w:r w:rsidRPr="006B6D34">
        <w:rPr>
          <w:rFonts w:cstheme="minorHAnsi"/>
          <w:lang w:val="en-GB"/>
        </w:rPr>
        <w:t xml:space="preserve">, </w:t>
      </w:r>
      <w:r w:rsidRPr="006B6D34">
        <w:rPr>
          <w:rFonts w:cstheme="minorHAnsi"/>
          <w:lang w:val="en-GB"/>
        </w:rPr>
        <w:br/>
        <w:t xml:space="preserve">to the right, the </w:t>
      </w:r>
      <w:proofErr w:type="spellStart"/>
      <w:r w:rsidRPr="006B6D34">
        <w:rPr>
          <w:rFonts w:cstheme="minorHAnsi"/>
          <w:lang w:val="en-GB"/>
        </w:rPr>
        <w:t>Schwendelberg</w:t>
      </w:r>
      <w:proofErr w:type="spellEnd"/>
      <w:r w:rsidRPr="006B6D34">
        <w:rPr>
          <w:rFonts w:cstheme="minorHAnsi"/>
          <w:lang w:val="en-GB"/>
        </w:rPr>
        <w:t>. (Photo: A. Hofmann)</w:t>
      </w:r>
    </w:p>
    <w:p w14:paraId="5F55E3A6" w14:textId="4B8E624A" w:rsidR="009B77E6" w:rsidRPr="006B6D34" w:rsidRDefault="009B77E6" w:rsidP="00F00126">
      <w:pPr>
        <w:rPr>
          <w:rFonts w:cstheme="minorHAnsi"/>
          <w:lang w:val="en-GB"/>
        </w:rPr>
      </w:pPr>
    </w:p>
    <w:p w14:paraId="335793DF" w14:textId="03812E22" w:rsidR="009B77E6" w:rsidRPr="006B6D34" w:rsidRDefault="009B77E6" w:rsidP="00F00126">
      <w:pPr>
        <w:rPr>
          <w:rFonts w:cstheme="minorHAnsi"/>
          <w:b/>
          <w:bCs/>
          <w:lang w:val="en-GB"/>
        </w:rPr>
      </w:pPr>
      <w:r w:rsidRPr="006B6D34">
        <w:rPr>
          <w:rFonts w:cstheme="minorHAnsi"/>
          <w:b/>
          <w:bCs/>
          <w:lang w:val="en-GB"/>
        </w:rPr>
        <w:t>A possible Venusberg</w:t>
      </w:r>
    </w:p>
    <w:p w14:paraId="3C3B4C81" w14:textId="2ADE045D" w:rsidR="00181EBF" w:rsidRPr="006B6D34" w:rsidRDefault="009B77E6" w:rsidP="00181EBF">
      <w:pPr>
        <w:rPr>
          <w:rFonts w:cstheme="minorHAnsi"/>
          <w:bCs/>
          <w:bdr w:val="none" w:sz="0" w:space="0" w:color="auto" w:frame="1"/>
          <w:shd w:val="clear" w:color="auto" w:fill="FFFFFF"/>
          <w:lang w:val="en-GB"/>
        </w:rPr>
      </w:pPr>
      <w:r w:rsidRPr="006B6D34">
        <w:rPr>
          <w:rFonts w:cstheme="minorHAnsi"/>
          <w:bCs/>
          <w:bdr w:val="none" w:sz="0" w:space="0" w:color="auto" w:frame="1"/>
          <w:shd w:val="clear" w:color="auto" w:fill="FFFFFF"/>
          <w:lang w:val="en-GB"/>
        </w:rPr>
        <w:t>The Guggisberg song implies that the rock-and-hill formation might be a Venusberg, as it features a love story and a woman named ‘Vreneli’, which is a diminutive of ‘Verena’.</w:t>
      </w:r>
      <w:r w:rsidRPr="006B6D34">
        <w:rPr>
          <w:rStyle w:val="Funotenzeichen"/>
          <w:rFonts w:cstheme="minorHAnsi"/>
          <w:bCs/>
          <w:bdr w:val="none" w:sz="0" w:space="0" w:color="auto" w:frame="1"/>
          <w:shd w:val="clear" w:color="auto" w:fill="FFFFFF"/>
          <w:lang w:val="en-GB"/>
        </w:rPr>
        <w:footnoteReference w:id="72"/>
      </w:r>
      <w:r w:rsidRPr="006B6D34">
        <w:rPr>
          <w:rFonts w:cstheme="minorHAnsi"/>
          <w:bCs/>
          <w:bdr w:val="none" w:sz="0" w:space="0" w:color="auto" w:frame="1"/>
          <w:shd w:val="clear" w:color="auto" w:fill="FFFFFF"/>
          <w:lang w:val="en-GB"/>
        </w:rPr>
        <w:t xml:space="preserve"> According to Wolfgang Golther, ‘Verena’ stood in Swiss folklore for Venus.</w:t>
      </w:r>
      <w:r w:rsidRPr="006B6D34">
        <w:rPr>
          <w:rStyle w:val="Funotenzeichen"/>
          <w:rFonts w:cstheme="minorHAnsi"/>
          <w:bCs/>
          <w:bdr w:val="none" w:sz="0" w:space="0" w:color="auto" w:frame="1"/>
          <w:shd w:val="clear" w:color="auto" w:fill="FFFFFF"/>
          <w:lang w:val="en-GB"/>
        </w:rPr>
        <w:footnoteReference w:id="73"/>
      </w:r>
      <w:r w:rsidRPr="006B6D34">
        <w:rPr>
          <w:rFonts w:cstheme="minorHAnsi"/>
          <w:bCs/>
          <w:bdr w:val="none" w:sz="0" w:space="0" w:color="auto" w:frame="1"/>
          <w:shd w:val="clear" w:color="auto" w:fill="FFFFFF"/>
          <w:lang w:val="en-GB"/>
        </w:rPr>
        <w:t xml:space="preserve"> </w:t>
      </w:r>
      <w:r w:rsidR="00181EBF" w:rsidRPr="006B6D34">
        <w:rPr>
          <w:rFonts w:cstheme="minorHAnsi"/>
          <w:bCs/>
          <w:bdr w:val="none" w:sz="0" w:space="0" w:color="auto" w:frame="1"/>
          <w:shd w:val="clear" w:color="auto" w:fill="FFFFFF"/>
          <w:lang w:val="en-GB"/>
        </w:rPr>
        <w:t>The Roman goddess Venus, Hutton argued, embodied various meanings associated with her ancient status as the protector of love, ranging from sensual, earthly, and lustful to honourable and virtuous. In the fourteenth-century medieval romance, her court was commonly set within a mountain, the Venusberg.</w:t>
      </w:r>
      <w:r w:rsidR="00181EBF" w:rsidRPr="006B6D34">
        <w:rPr>
          <w:rStyle w:val="Funotenzeichen"/>
          <w:rFonts w:cstheme="minorHAnsi"/>
          <w:bCs/>
          <w:bdr w:val="none" w:sz="0" w:space="0" w:color="auto" w:frame="1"/>
          <w:shd w:val="clear" w:color="auto" w:fill="FFFFFF"/>
          <w:lang w:val="en-GB"/>
        </w:rPr>
        <w:footnoteReference w:id="74"/>
      </w:r>
      <w:r w:rsidR="00181EBF" w:rsidRPr="006B6D34">
        <w:rPr>
          <w:rFonts w:cstheme="minorHAnsi"/>
          <w:bCs/>
          <w:bdr w:val="none" w:sz="0" w:space="0" w:color="auto" w:frame="1"/>
          <w:shd w:val="clear" w:color="auto" w:fill="FFFFFF"/>
          <w:lang w:val="en-GB"/>
        </w:rPr>
        <w:t xml:space="preserve"> </w:t>
      </w:r>
      <w:r w:rsidR="008227AD" w:rsidRPr="006B6D34">
        <w:rPr>
          <w:rFonts w:cstheme="minorHAnsi"/>
          <w:bCs/>
          <w:bdr w:val="none" w:sz="0" w:space="0" w:color="auto" w:frame="1"/>
          <w:shd w:val="clear" w:color="auto" w:fill="FFFFFF"/>
          <w:lang w:val="en-GB"/>
        </w:rPr>
        <w:t>Nicholas Campion argued that Aphrodite, the goddess of love, and the planet Venus were associated with qualities of seduction and passion and were symbols that encompassed everything from erotic love to religious rituals, the playing of beautiful music, and the adornment with gold.</w:t>
      </w:r>
      <w:r w:rsidR="008227AD" w:rsidRPr="006B6D34">
        <w:rPr>
          <w:rStyle w:val="Funotenzeichen"/>
          <w:rFonts w:cstheme="minorHAnsi"/>
          <w:bCs/>
          <w:bdr w:val="none" w:sz="0" w:space="0" w:color="auto" w:frame="1"/>
          <w:shd w:val="clear" w:color="auto" w:fill="FFFFFF"/>
          <w:lang w:val="en-GB"/>
        </w:rPr>
        <w:footnoteReference w:id="75"/>
      </w:r>
      <w:r w:rsidR="008227AD" w:rsidRPr="006B6D34">
        <w:rPr>
          <w:rFonts w:cstheme="minorHAnsi"/>
          <w:bCs/>
          <w:bdr w:val="none" w:sz="0" w:space="0" w:color="auto" w:frame="1"/>
          <w:shd w:val="clear" w:color="auto" w:fill="FFFFFF"/>
          <w:lang w:val="en-GB"/>
        </w:rPr>
        <w:t xml:space="preserve"> </w:t>
      </w:r>
      <w:r w:rsidR="00181EBF" w:rsidRPr="006B6D34">
        <w:rPr>
          <w:rFonts w:cstheme="minorHAnsi"/>
          <w:bCs/>
          <w:bdr w:val="none" w:sz="0" w:space="0" w:color="auto" w:frame="1"/>
          <w:shd w:val="clear" w:color="auto" w:fill="FFFFFF"/>
          <w:lang w:val="en-GB"/>
        </w:rPr>
        <w:t>However, already a century later, according to Hutton, German writers began to portray her as a negative figure, representing sensuality that leads people away from salvation. Her palace was no longer viewed as a source love and abundance, but of corrupt pleasures.</w:t>
      </w:r>
      <w:r w:rsidR="00181EBF" w:rsidRPr="006B6D34">
        <w:rPr>
          <w:rStyle w:val="Funotenzeichen"/>
          <w:rFonts w:cstheme="minorHAnsi"/>
          <w:bCs/>
          <w:bdr w:val="none" w:sz="0" w:space="0" w:color="auto" w:frame="1"/>
          <w:shd w:val="clear" w:color="auto" w:fill="FFFFFF"/>
          <w:lang w:val="en-GB"/>
        </w:rPr>
        <w:footnoteReference w:id="76"/>
      </w:r>
      <w:r w:rsidR="00181EBF" w:rsidRPr="006B6D34">
        <w:rPr>
          <w:rFonts w:cstheme="minorHAnsi"/>
          <w:bCs/>
          <w:bdr w:val="none" w:sz="0" w:space="0" w:color="auto" w:frame="1"/>
          <w:shd w:val="clear" w:color="auto" w:fill="FFFFFF"/>
          <w:lang w:val="en-GB"/>
        </w:rPr>
        <w:t xml:space="preserve"> There is a famous opera by Richard Wagner by the name of ‘Tannhäuser’ based on a 1515 version of the ballad, which displays this kind of narrative, according to Leah Garrett. Tannhäuser was a hero who ventured into the Venusberg out of curiosity to discover its marvels; however, after a year there, he realized that he wanted to leave.</w:t>
      </w:r>
      <w:r w:rsidR="0092469A" w:rsidRPr="006B6D34">
        <w:rPr>
          <w:rFonts w:cstheme="minorHAnsi"/>
          <w:bCs/>
          <w:bdr w:val="none" w:sz="0" w:space="0" w:color="auto" w:frame="1"/>
          <w:shd w:val="clear" w:color="auto" w:fill="FFFFFF"/>
          <w:lang w:val="en-GB"/>
        </w:rPr>
        <w:t xml:space="preserve"> According to Ernst L. Rochholz, the German ballad lyrics are comparable to the Swiss version, where her title became ‘Frau Venus’ in her palace of Venusberg.</w:t>
      </w:r>
      <w:r w:rsidR="0092469A" w:rsidRPr="006B6D34">
        <w:rPr>
          <w:rStyle w:val="Funotenzeichen"/>
          <w:rFonts w:cstheme="minorHAnsi"/>
          <w:bCs/>
          <w:bdr w:val="none" w:sz="0" w:space="0" w:color="auto" w:frame="1"/>
          <w:shd w:val="clear" w:color="auto" w:fill="FFFFFF"/>
          <w:lang w:val="en-GB"/>
        </w:rPr>
        <w:footnoteReference w:id="77"/>
      </w:r>
      <w:r w:rsidR="0092469A" w:rsidRPr="006B6D34">
        <w:rPr>
          <w:rFonts w:cstheme="minorHAnsi"/>
          <w:bCs/>
          <w:bdr w:val="none" w:sz="0" w:space="0" w:color="auto" w:frame="1"/>
          <w:shd w:val="clear" w:color="auto" w:fill="FFFFFF"/>
          <w:lang w:val="en-GB"/>
        </w:rPr>
        <w:t xml:space="preserve"> Garrett further argued</w:t>
      </w:r>
      <w:r w:rsidR="00FD3D37">
        <w:rPr>
          <w:rFonts w:cstheme="minorHAnsi"/>
          <w:bCs/>
          <w:bdr w:val="none" w:sz="0" w:space="0" w:color="auto" w:frame="1"/>
          <w:shd w:val="clear" w:color="auto" w:fill="FFFFFF"/>
          <w:lang w:val="en-GB"/>
        </w:rPr>
        <w:t xml:space="preserve"> </w:t>
      </w:r>
      <w:r w:rsidR="0092469A" w:rsidRPr="006B6D34">
        <w:rPr>
          <w:rFonts w:cstheme="minorHAnsi"/>
          <w:bCs/>
          <w:bdr w:val="none" w:sz="0" w:space="0" w:color="auto" w:frame="1"/>
          <w:shd w:val="clear" w:color="auto" w:fill="FFFFFF"/>
          <w:lang w:val="en-GB"/>
        </w:rPr>
        <w:t>that t</w:t>
      </w:r>
      <w:r w:rsidR="00181EBF" w:rsidRPr="006B6D34">
        <w:rPr>
          <w:rFonts w:cstheme="minorHAnsi"/>
          <w:bCs/>
          <w:bdr w:val="none" w:sz="0" w:space="0" w:color="auto" w:frame="1"/>
          <w:shd w:val="clear" w:color="auto" w:fill="FFFFFF"/>
          <w:lang w:val="en-GB"/>
        </w:rPr>
        <w:t>he stories’ origins</w:t>
      </w:r>
      <w:r w:rsidR="0092469A" w:rsidRPr="006B6D34">
        <w:rPr>
          <w:rFonts w:cstheme="minorHAnsi"/>
          <w:bCs/>
          <w:bdr w:val="none" w:sz="0" w:space="0" w:color="auto" w:frame="1"/>
          <w:shd w:val="clear" w:color="auto" w:fill="FFFFFF"/>
          <w:lang w:val="en-GB"/>
        </w:rPr>
        <w:t xml:space="preserve"> are widely debated; however, they predate this version significantly and also differ substantially</w:t>
      </w:r>
      <w:r w:rsidR="00181EBF" w:rsidRPr="006B6D34">
        <w:rPr>
          <w:rFonts w:cstheme="minorHAnsi"/>
          <w:bCs/>
          <w:bdr w:val="none" w:sz="0" w:space="0" w:color="auto" w:frame="1"/>
          <w:shd w:val="clear" w:color="auto" w:fill="FFFFFF"/>
          <w:lang w:val="en-GB"/>
        </w:rPr>
        <w:t>.</w:t>
      </w:r>
      <w:r w:rsidR="0092469A" w:rsidRPr="006B6D34">
        <w:rPr>
          <w:rStyle w:val="Funotenzeichen"/>
          <w:rFonts w:cstheme="minorHAnsi"/>
          <w:lang w:val="en-GB"/>
        </w:rPr>
        <w:footnoteReference w:id="78"/>
      </w:r>
      <w:r w:rsidR="0092469A" w:rsidRPr="006B6D34">
        <w:rPr>
          <w:rFonts w:cstheme="minorHAnsi"/>
          <w:bCs/>
          <w:bdr w:val="none" w:sz="0" w:space="0" w:color="auto" w:frame="1"/>
          <w:shd w:val="clear" w:color="auto" w:fill="FFFFFF"/>
          <w:lang w:val="en-GB"/>
        </w:rPr>
        <w:t xml:space="preserve"> </w:t>
      </w:r>
    </w:p>
    <w:p w14:paraId="45F06251" w14:textId="77777777" w:rsidR="00BF1729" w:rsidRPr="006B6D34" w:rsidRDefault="00BF1729" w:rsidP="00C72301">
      <w:pPr>
        <w:rPr>
          <w:rFonts w:cstheme="minorHAnsi"/>
          <w:b/>
          <w:bdr w:val="none" w:sz="0" w:space="0" w:color="auto" w:frame="1"/>
          <w:shd w:val="clear" w:color="auto" w:fill="FFFFFF"/>
          <w:lang w:val="en-GB"/>
        </w:rPr>
      </w:pPr>
    </w:p>
    <w:p w14:paraId="173EE1C2" w14:textId="25B9B4A4" w:rsidR="00B9379C" w:rsidRPr="006B6D34" w:rsidRDefault="00B9379C" w:rsidP="00157BC5">
      <w:pPr>
        <w:spacing w:before="100" w:beforeAutospacing="1" w:after="100" w:afterAutospacing="1"/>
        <w:contextualSpacing/>
        <w:rPr>
          <w:rFonts w:cstheme="minorHAnsi"/>
          <w:b/>
          <w:bCs/>
          <w:lang w:val="en-GB"/>
        </w:rPr>
      </w:pPr>
      <w:r w:rsidRPr="006B6D34">
        <w:rPr>
          <w:rFonts w:cstheme="minorHAnsi"/>
          <w:b/>
          <w:bCs/>
          <w:lang w:val="en-GB"/>
        </w:rPr>
        <w:t>Chang</w:t>
      </w:r>
      <w:r w:rsidR="00A833ED">
        <w:rPr>
          <w:rFonts w:cstheme="minorHAnsi"/>
          <w:b/>
          <w:bCs/>
          <w:lang w:val="en-GB"/>
        </w:rPr>
        <w:t>e of</w:t>
      </w:r>
      <w:r w:rsidRPr="006B6D34">
        <w:rPr>
          <w:rFonts w:cstheme="minorHAnsi"/>
          <w:b/>
          <w:bCs/>
          <w:lang w:val="en-GB"/>
        </w:rPr>
        <w:t xml:space="preserve"> premises</w:t>
      </w:r>
    </w:p>
    <w:p w14:paraId="0357238E" w14:textId="77777777" w:rsidR="00B9379C" w:rsidRPr="006B6D34" w:rsidRDefault="00B9379C" w:rsidP="00157BC5">
      <w:pPr>
        <w:spacing w:before="100" w:beforeAutospacing="1" w:after="100" w:afterAutospacing="1"/>
        <w:contextualSpacing/>
        <w:rPr>
          <w:rFonts w:cstheme="minorHAnsi"/>
          <w:lang w:val="en-GB"/>
        </w:rPr>
      </w:pPr>
    </w:p>
    <w:p w14:paraId="5D88C92C" w14:textId="7CEBC58B" w:rsidR="004127F2" w:rsidRPr="006B6D34" w:rsidRDefault="004127F2" w:rsidP="00157BC5">
      <w:pPr>
        <w:spacing w:before="100" w:beforeAutospacing="1" w:after="100" w:afterAutospacing="1"/>
        <w:contextualSpacing/>
        <w:rPr>
          <w:rFonts w:cstheme="minorHAnsi"/>
          <w:color w:val="0070C0"/>
          <w:lang w:val="en-GB"/>
        </w:rPr>
      </w:pPr>
      <w:r w:rsidRPr="006B6D34">
        <w:rPr>
          <w:rFonts w:cstheme="minorHAnsi"/>
          <w:lang w:val="en-GB"/>
        </w:rPr>
        <w:t>According to Waite, the Church continued its efforts to transform the Venusberg from a sacred place to a place of evil</w:t>
      </w:r>
      <w:r w:rsidR="002C2E87" w:rsidRPr="006B6D34">
        <w:rPr>
          <w:rFonts w:cstheme="minorHAnsi"/>
          <w:lang w:val="en-GB"/>
        </w:rPr>
        <w:t>.</w:t>
      </w:r>
      <w:r w:rsidR="002C2E87" w:rsidRPr="006B6D34">
        <w:rPr>
          <w:rStyle w:val="Funotenzeichen"/>
          <w:rFonts w:cstheme="minorHAnsi"/>
          <w:lang w:val="en-GB"/>
        </w:rPr>
        <w:footnoteReference w:id="79"/>
      </w:r>
      <w:r w:rsidR="002C2E87" w:rsidRPr="006B6D34">
        <w:rPr>
          <w:rFonts w:cstheme="minorHAnsi"/>
          <w:lang w:val="en-GB"/>
        </w:rPr>
        <w:t xml:space="preserve"> Garrett noted that the story of Venusberg had originally migrated from Italy to German-speaking regions, and as its story changed over time, so did its geographical locations.</w:t>
      </w:r>
      <w:r w:rsidR="002C2E87" w:rsidRPr="006B6D34">
        <w:rPr>
          <w:rStyle w:val="Funotenzeichen"/>
          <w:rFonts w:cstheme="minorHAnsi"/>
          <w:lang w:val="en-GB"/>
        </w:rPr>
        <w:footnoteReference w:id="80"/>
      </w:r>
      <w:r w:rsidR="002C2E87" w:rsidRPr="006B6D34">
        <w:rPr>
          <w:rFonts w:cstheme="minorHAnsi"/>
          <w:lang w:val="en-GB"/>
        </w:rPr>
        <w:t xml:space="preserve"> However, i</w:t>
      </w:r>
      <w:r w:rsidR="00495B34" w:rsidRPr="006B6D34">
        <w:rPr>
          <w:rFonts w:cstheme="minorHAnsi"/>
          <w:lang w:val="en-GB"/>
        </w:rPr>
        <w:t xml:space="preserve">n the sixteenth century, wandering preachers told credulous people that they had been </w:t>
      </w:r>
      <w:r w:rsidRPr="006B6D34">
        <w:rPr>
          <w:rFonts w:cstheme="minorHAnsi"/>
          <w:lang w:val="en-GB"/>
        </w:rPr>
        <w:t>on the</w:t>
      </w:r>
      <w:r w:rsidR="00495B34" w:rsidRPr="006B6D34">
        <w:rPr>
          <w:rFonts w:cstheme="minorHAnsi"/>
          <w:lang w:val="en-GB"/>
        </w:rPr>
        <w:t xml:space="preserve"> Venusberg, where they </w:t>
      </w:r>
      <w:r w:rsidR="002C2E87" w:rsidRPr="006B6D34">
        <w:rPr>
          <w:rFonts w:cstheme="minorHAnsi"/>
          <w:lang w:val="en-GB"/>
        </w:rPr>
        <w:t>had seen extraordinary things, gained knowledge of</w:t>
      </w:r>
      <w:r w:rsidR="00495B34" w:rsidRPr="006B6D34">
        <w:rPr>
          <w:rFonts w:cstheme="minorHAnsi"/>
          <w:lang w:val="en-GB"/>
        </w:rPr>
        <w:t xml:space="preserve"> the past and the future, </w:t>
      </w:r>
      <w:r w:rsidR="002C2E87" w:rsidRPr="006B6D34">
        <w:rPr>
          <w:rFonts w:cstheme="minorHAnsi"/>
          <w:lang w:val="en-GB"/>
        </w:rPr>
        <w:t xml:space="preserve">and </w:t>
      </w:r>
      <w:r w:rsidR="00495B34" w:rsidRPr="006B6D34">
        <w:rPr>
          <w:rFonts w:cstheme="minorHAnsi"/>
          <w:lang w:val="en-GB"/>
        </w:rPr>
        <w:t>received magical remedies for protection against witches and hail</w:t>
      </w:r>
      <w:r w:rsidR="002C2E87" w:rsidRPr="006B6D34">
        <w:rPr>
          <w:rFonts w:cstheme="minorHAnsi"/>
          <w:lang w:val="en-GB"/>
        </w:rPr>
        <w:t xml:space="preserve">. They even claimed that they </w:t>
      </w:r>
      <w:r w:rsidR="00495B34" w:rsidRPr="006B6D34">
        <w:rPr>
          <w:rFonts w:cstheme="minorHAnsi"/>
          <w:lang w:val="en-GB"/>
        </w:rPr>
        <w:t>could willingly summon the Wild Hunt</w:t>
      </w:r>
      <w:r w:rsidR="002C2E87" w:rsidRPr="006B6D34">
        <w:rPr>
          <w:rFonts w:cstheme="minorHAnsi"/>
          <w:lang w:val="en-GB"/>
        </w:rPr>
        <w:t xml:space="preserve"> and took money not to do so, according to Waite. He cited</w:t>
      </w:r>
      <w:r w:rsidR="00495B34" w:rsidRPr="006B6D34">
        <w:rPr>
          <w:rFonts w:cstheme="minorHAnsi"/>
          <w:lang w:val="en-GB"/>
        </w:rPr>
        <w:t xml:space="preserve"> the </w:t>
      </w:r>
      <w:r w:rsidR="002C2E87" w:rsidRPr="006B6D34">
        <w:rPr>
          <w:rFonts w:cstheme="minorHAnsi"/>
          <w:lang w:val="en-GB"/>
        </w:rPr>
        <w:t xml:space="preserve">sixteenth-century </w:t>
      </w:r>
      <w:r w:rsidR="00495B34" w:rsidRPr="006B6D34">
        <w:rPr>
          <w:rFonts w:cstheme="minorHAnsi"/>
          <w:lang w:val="en-GB"/>
        </w:rPr>
        <w:t xml:space="preserve">Dutch Anabaptist David Joris, who </w:t>
      </w:r>
      <w:r w:rsidRPr="006B6D34">
        <w:rPr>
          <w:rFonts w:cstheme="minorHAnsi"/>
          <w:lang w:val="en-GB"/>
        </w:rPr>
        <w:t>argued</w:t>
      </w:r>
      <w:r w:rsidR="00495B34" w:rsidRPr="006B6D34">
        <w:rPr>
          <w:rFonts w:cstheme="minorHAnsi"/>
          <w:lang w:val="en-GB"/>
        </w:rPr>
        <w:t xml:space="preserve"> that ‘Vrouw Venus’ was ‘the whore and female devil’ and the counterpart of the mountain of heaven. By then, </w:t>
      </w:r>
      <w:r w:rsidR="002C2E87" w:rsidRPr="006B6D34">
        <w:rPr>
          <w:rFonts w:cstheme="minorHAnsi"/>
          <w:lang w:val="en-GB"/>
        </w:rPr>
        <w:t xml:space="preserve">Waite noted, the Venusberg was no longer understood as a geographical place but rather as a </w:t>
      </w:r>
      <w:r w:rsidR="002C2E87" w:rsidRPr="000367D0">
        <w:rPr>
          <w:rFonts w:cstheme="minorHAnsi"/>
          <w:highlight w:val="yellow"/>
          <w:lang w:val="en-GB"/>
        </w:rPr>
        <w:t>universal principle</w:t>
      </w:r>
      <w:r w:rsidR="0092203B" w:rsidRPr="006B6D34">
        <w:rPr>
          <w:rFonts w:cstheme="minorHAnsi"/>
          <w:lang w:val="en-GB"/>
        </w:rPr>
        <w:t>.</w:t>
      </w:r>
      <w:r w:rsidR="0092203B" w:rsidRPr="006B6D34">
        <w:rPr>
          <w:rStyle w:val="Funotenzeichen"/>
          <w:rFonts w:cstheme="minorHAnsi"/>
          <w:lang w:val="en-GB"/>
        </w:rPr>
        <w:footnoteReference w:id="81"/>
      </w:r>
      <w:r w:rsidR="0092203B" w:rsidRPr="006B6D34">
        <w:rPr>
          <w:rFonts w:cstheme="minorHAnsi"/>
          <w:lang w:val="en-GB"/>
        </w:rPr>
        <w:t xml:space="preserve"> </w:t>
      </w:r>
      <w:bookmarkStart w:id="6" w:name="_Hlk218359228"/>
      <w:r w:rsidRPr="006B6D34">
        <w:rPr>
          <w:rFonts w:cstheme="minorHAnsi"/>
          <w:lang w:val="en-GB"/>
        </w:rPr>
        <w:t>Interestingly, t</w:t>
      </w:r>
      <w:r w:rsidR="0092203B" w:rsidRPr="006B6D34">
        <w:rPr>
          <w:rFonts w:cstheme="minorHAnsi"/>
          <w:lang w:val="en-GB"/>
        </w:rPr>
        <w:t>he folktales</w:t>
      </w:r>
      <w:r w:rsidRPr="006B6D34">
        <w:rPr>
          <w:rFonts w:cstheme="minorHAnsi"/>
          <w:lang w:val="en-GB"/>
        </w:rPr>
        <w:t xml:space="preserve"> surrounding the rock-and-hill formation emphasize these very traits of the people of Guggisberg: they are often called the witches of Guggisberg, skilled in magic, healing, catching thieves, seeing the future, and influencing the weather, and </w:t>
      </w:r>
      <w:r w:rsidR="0092203B" w:rsidRPr="006B6D34">
        <w:rPr>
          <w:rFonts w:cstheme="minorHAnsi"/>
          <w:lang w:val="en-GB"/>
        </w:rPr>
        <w:t>are on good terms with the dwarves</w:t>
      </w:r>
      <w:bookmarkEnd w:id="6"/>
      <w:r w:rsidR="0092203B" w:rsidRPr="006B6D34">
        <w:rPr>
          <w:rFonts w:cstheme="minorHAnsi"/>
          <w:lang w:val="en-GB"/>
        </w:rPr>
        <w:t>.</w:t>
      </w:r>
      <w:r w:rsidR="0092203B" w:rsidRPr="006B6D34">
        <w:rPr>
          <w:rStyle w:val="Funotenzeichen"/>
          <w:rFonts w:cstheme="minorHAnsi"/>
          <w:lang w:val="en-GB"/>
        </w:rPr>
        <w:footnoteReference w:id="82"/>
      </w:r>
      <w:r w:rsidR="00157BC5" w:rsidRPr="006B6D34">
        <w:rPr>
          <w:rFonts w:cstheme="minorHAnsi"/>
          <w:lang w:val="en-GB"/>
        </w:rPr>
        <w:t xml:space="preserve"> </w:t>
      </w:r>
      <w:r w:rsidR="00DA4CF2" w:rsidRPr="006B6D34">
        <w:rPr>
          <w:rFonts w:cstheme="minorHAnsi"/>
          <w:lang w:val="en-GB"/>
        </w:rPr>
        <w:t xml:space="preserve">The tales thus convey two things: first, a remarkably high proportion of tales in which Guggisberg people are portrayed as possessing magical abilities; and second, that people were far more ambiguous about it than the Church might have liked. </w:t>
      </w:r>
      <w:r w:rsidR="00154FA0" w:rsidRPr="006B6D34">
        <w:rPr>
          <w:rFonts w:cstheme="minorHAnsi"/>
          <w:lang w:val="en-GB"/>
        </w:rPr>
        <w:t xml:space="preserve"> </w:t>
      </w:r>
    </w:p>
    <w:p w14:paraId="7712A474" w14:textId="62CAF984" w:rsidR="00F66EDB" w:rsidRPr="006B6D34" w:rsidRDefault="00154FA0" w:rsidP="00F66EDB">
      <w:pPr>
        <w:rPr>
          <w:rFonts w:cstheme="minorHAnsi"/>
          <w:lang w:val="en-GB"/>
        </w:rPr>
      </w:pPr>
      <w:bookmarkStart w:id="7" w:name="_Hlk218081698"/>
      <w:r w:rsidRPr="006B6D34">
        <w:rPr>
          <w:rFonts w:cstheme="minorHAnsi"/>
          <w:lang w:val="en-GB"/>
        </w:rPr>
        <w:t>In their geo-semantic research, Peter M. Broadwell and Timothy R. Tangherlini found evidence that stories of witches are especially prominent in close geographic proximity to Catholic monasteries. They</w:t>
      </w:r>
      <w:r w:rsidR="004F7AA0" w:rsidRPr="006B6D34">
        <w:rPr>
          <w:rFonts w:cstheme="minorHAnsi"/>
          <w:lang w:val="en-GB"/>
        </w:rPr>
        <w:t xml:space="preserve"> argued that</w:t>
      </w:r>
      <w:r w:rsidRPr="006B6D34">
        <w:rPr>
          <w:rFonts w:cstheme="minorHAnsi"/>
          <w:lang w:val="en-GB"/>
        </w:rPr>
        <w:t xml:space="preserve"> </w:t>
      </w:r>
      <w:r w:rsidR="004F7AA0" w:rsidRPr="006B6D34">
        <w:rPr>
          <w:rFonts w:cstheme="minorHAnsi"/>
          <w:lang w:val="en-GB"/>
        </w:rPr>
        <w:t>they found a clear connection between religious sites, particularly those of the Catholic Church, and witchcraft in the Danish Folklore corpus. The</w:t>
      </w:r>
      <w:r w:rsidRPr="006B6D34">
        <w:rPr>
          <w:rFonts w:cstheme="minorHAnsi"/>
          <w:lang w:val="en-GB"/>
        </w:rPr>
        <w:t xml:space="preserve">ir </w:t>
      </w:r>
      <w:r w:rsidR="006F27AE" w:rsidRPr="006B6D34">
        <w:rPr>
          <w:rFonts w:cstheme="minorHAnsi"/>
          <w:lang w:val="en-GB"/>
        </w:rPr>
        <w:t xml:space="preserve">tool </w:t>
      </w:r>
      <w:r w:rsidRPr="006B6D34">
        <w:rPr>
          <w:rFonts w:cstheme="minorHAnsi"/>
          <w:lang w:val="en-GB"/>
        </w:rPr>
        <w:t>for establishing connections between narratives and geographic locations showed that monasteries symbolize both the Church's power and the fear of witches, thereby illustrating a complex relationship among</w:t>
      </w:r>
      <w:r w:rsidR="004924ED" w:rsidRPr="006B6D34">
        <w:rPr>
          <w:rFonts w:cstheme="minorHAnsi"/>
          <w:lang w:val="en-GB"/>
        </w:rPr>
        <w:t xml:space="preserve"> religion, power, and societal anxieties.</w:t>
      </w:r>
      <w:r w:rsidR="00B6595A" w:rsidRPr="006B6D34">
        <w:rPr>
          <w:rStyle w:val="Funotenzeichen"/>
          <w:rFonts w:cstheme="minorHAnsi"/>
          <w:lang w:val="en-GB"/>
        </w:rPr>
        <w:footnoteReference w:id="83"/>
      </w:r>
      <w:r w:rsidR="00B6595A" w:rsidRPr="006B6D34">
        <w:rPr>
          <w:rFonts w:cstheme="minorHAnsi"/>
          <w:lang w:val="en-GB"/>
        </w:rPr>
        <w:t xml:space="preserve"> </w:t>
      </w:r>
      <w:r w:rsidR="00A6685C" w:rsidRPr="006B6D34">
        <w:rPr>
          <w:rFonts w:cstheme="minorHAnsi"/>
          <w:lang w:val="en-GB"/>
        </w:rPr>
        <w:t xml:space="preserve">When the formerly revered ‘Frau Venus’ </w:t>
      </w:r>
      <w:r w:rsidR="0054603E" w:rsidRPr="006B6D34">
        <w:rPr>
          <w:rFonts w:cstheme="minorHAnsi"/>
          <w:lang w:val="en-GB"/>
        </w:rPr>
        <w:t>was rewritten as</w:t>
      </w:r>
      <w:r w:rsidR="00A6685C" w:rsidRPr="006B6D34">
        <w:rPr>
          <w:rFonts w:cstheme="minorHAnsi"/>
          <w:lang w:val="en-GB"/>
        </w:rPr>
        <w:t xml:space="preserve"> a danger to the human soul in the fifteenth century</w:t>
      </w:r>
      <w:r w:rsidR="00F66EDB" w:rsidRPr="006B6D34">
        <w:rPr>
          <w:rFonts w:cstheme="minorHAnsi"/>
          <w:lang w:val="en-GB"/>
        </w:rPr>
        <w:t>, it might be attributed to what Durkheim observed: ‘Christianity itself was obliged to make a place in its mythology for the spirit of evil’</w:t>
      </w:r>
      <w:r w:rsidRPr="006B6D34">
        <w:rPr>
          <w:rFonts w:cstheme="minorHAnsi"/>
          <w:lang w:val="en-GB"/>
        </w:rPr>
        <w:t>, a</w:t>
      </w:r>
      <w:r w:rsidR="00F66EDB" w:rsidRPr="006B6D34">
        <w:rPr>
          <w:rFonts w:cstheme="minorHAnsi"/>
          <w:lang w:val="en-GB"/>
        </w:rPr>
        <w:t xml:space="preserve">lthough impure, </w:t>
      </w:r>
      <w:r w:rsidR="0054603E" w:rsidRPr="006B6D34">
        <w:rPr>
          <w:rFonts w:cstheme="minorHAnsi"/>
          <w:lang w:val="en-GB"/>
        </w:rPr>
        <w:t>it</w:t>
      </w:r>
      <w:r w:rsidR="00F66EDB" w:rsidRPr="006B6D34">
        <w:rPr>
          <w:rFonts w:cstheme="minorHAnsi"/>
          <w:lang w:val="en-GB"/>
        </w:rPr>
        <w:t xml:space="preserve"> </w:t>
      </w:r>
      <w:r w:rsidR="00C86C05" w:rsidRPr="006B6D34">
        <w:rPr>
          <w:rFonts w:cstheme="minorHAnsi"/>
          <w:lang w:val="en-GB"/>
        </w:rPr>
        <w:t>was</w:t>
      </w:r>
      <w:r w:rsidR="00F66EDB" w:rsidRPr="006B6D34">
        <w:rPr>
          <w:rFonts w:cstheme="minorHAnsi"/>
          <w:lang w:val="en-GB"/>
        </w:rPr>
        <w:t xml:space="preserve"> not a profane being.</w:t>
      </w:r>
      <w:r w:rsidR="00F66EDB" w:rsidRPr="006B6D34">
        <w:rPr>
          <w:rStyle w:val="Funotenzeichen"/>
          <w:rFonts w:cstheme="minorHAnsi"/>
          <w:lang w:val="en-GB"/>
        </w:rPr>
        <w:footnoteReference w:id="84"/>
      </w:r>
      <w:r w:rsidR="00F66EDB" w:rsidRPr="006B6D34">
        <w:rPr>
          <w:rFonts w:cstheme="minorHAnsi"/>
          <w:lang w:val="en-GB"/>
        </w:rPr>
        <w:t xml:space="preserve"> </w:t>
      </w:r>
    </w:p>
    <w:p w14:paraId="622C0B92" w14:textId="77777777" w:rsidR="0051332D" w:rsidRPr="006B6D34" w:rsidRDefault="0051332D" w:rsidP="00BF4E82">
      <w:pPr>
        <w:rPr>
          <w:rFonts w:cstheme="minorHAnsi"/>
          <w:lang w:val="en-GB"/>
        </w:rPr>
      </w:pPr>
    </w:p>
    <w:p w14:paraId="67841306" w14:textId="68FFA9D6" w:rsidR="00B6595A" w:rsidRPr="006B6D34" w:rsidRDefault="007140C3" w:rsidP="00BF4E82">
      <w:pPr>
        <w:rPr>
          <w:rFonts w:cstheme="minorHAnsi"/>
          <w:b/>
          <w:bCs/>
          <w:lang w:val="en-GB"/>
        </w:rPr>
      </w:pPr>
      <w:r w:rsidRPr="006B6D34">
        <w:rPr>
          <w:rFonts w:cstheme="minorHAnsi"/>
          <w:b/>
          <w:bCs/>
          <w:lang w:val="en-GB"/>
        </w:rPr>
        <w:t xml:space="preserve">The </w:t>
      </w:r>
      <w:r w:rsidR="006E7085" w:rsidRPr="006B6D34">
        <w:rPr>
          <w:rFonts w:cstheme="minorHAnsi"/>
          <w:b/>
          <w:bCs/>
          <w:lang w:val="en-GB"/>
        </w:rPr>
        <w:t xml:space="preserve">Venusberg and the </w:t>
      </w:r>
      <w:r w:rsidR="009077F3" w:rsidRPr="006B6D34">
        <w:rPr>
          <w:rFonts w:cstheme="minorHAnsi"/>
          <w:b/>
          <w:bCs/>
          <w:lang w:val="en-GB"/>
        </w:rPr>
        <w:t>morning star</w:t>
      </w:r>
    </w:p>
    <w:p w14:paraId="5FDCA2E8" w14:textId="1F0AD0EF" w:rsidR="00BC773B" w:rsidRPr="006B6D34" w:rsidRDefault="0092203B" w:rsidP="00BC773B">
      <w:pPr>
        <w:rPr>
          <w:rFonts w:cstheme="minorHAnsi"/>
          <w:bCs/>
          <w:bdr w:val="none" w:sz="0" w:space="0" w:color="auto" w:frame="1"/>
          <w:shd w:val="clear" w:color="auto" w:fill="FFFFFF"/>
          <w:lang w:val="en-GB"/>
        </w:rPr>
      </w:pPr>
      <w:r w:rsidRPr="006B6D34">
        <w:rPr>
          <w:rFonts w:cstheme="minorHAnsi"/>
          <w:bCs/>
          <w:bdr w:val="none" w:sz="0" w:space="0" w:color="auto" w:frame="1"/>
          <w:shd w:val="clear" w:color="auto" w:fill="FFFFFF"/>
          <w:lang w:val="en-GB"/>
        </w:rPr>
        <w:t>Humans play a key role in shaping how a landscape is perceived by weaving ‘a narrative that embraces the energies of land and sky’, Lane claimed.</w:t>
      </w:r>
      <w:r w:rsidRPr="006B6D34">
        <w:rPr>
          <w:rStyle w:val="Funotenzeichen"/>
          <w:rFonts w:cstheme="minorHAnsi"/>
          <w:bCs/>
          <w:bdr w:val="none" w:sz="0" w:space="0" w:color="auto" w:frame="1"/>
          <w:shd w:val="clear" w:color="auto" w:fill="FFFFFF"/>
          <w:lang w:val="en-GB"/>
        </w:rPr>
        <w:footnoteReference w:id="85"/>
      </w:r>
      <w:r w:rsidRPr="006B6D34">
        <w:rPr>
          <w:rFonts w:cstheme="minorHAnsi"/>
          <w:bCs/>
          <w:bdr w:val="none" w:sz="0" w:space="0" w:color="auto" w:frame="1"/>
          <w:shd w:val="clear" w:color="auto" w:fill="FFFFFF"/>
          <w:lang w:val="en-GB"/>
        </w:rPr>
        <w:t xml:space="preserve"> A narrative around a possible Venus</w:t>
      </w:r>
      <w:r w:rsidR="0054603E" w:rsidRPr="006B6D34">
        <w:rPr>
          <w:rFonts w:cstheme="minorHAnsi"/>
          <w:bCs/>
          <w:bdr w:val="none" w:sz="0" w:space="0" w:color="auto" w:frame="1"/>
          <w:shd w:val="clear" w:color="auto" w:fill="FFFFFF"/>
          <w:lang w:val="en-GB"/>
        </w:rPr>
        <w:t xml:space="preserve">berg </w:t>
      </w:r>
      <w:r w:rsidRPr="006B6D34">
        <w:rPr>
          <w:rFonts w:cstheme="minorHAnsi"/>
          <w:bCs/>
          <w:bdr w:val="none" w:sz="0" w:space="0" w:color="auto" w:frame="1"/>
          <w:shd w:val="clear" w:color="auto" w:fill="FFFFFF"/>
          <w:lang w:val="en-GB"/>
        </w:rPr>
        <w:t xml:space="preserve">would not be complete without examining the role of the sky and the planet Venus. </w:t>
      </w:r>
      <w:r w:rsidR="008831AD" w:rsidRPr="006B6D34">
        <w:rPr>
          <w:rFonts w:cstheme="minorHAnsi"/>
          <w:lang w:val="en-GB"/>
        </w:rPr>
        <w:t xml:space="preserve">A possible astronomical alignment should also be considered if the rock-and-hill formation in Guggisberg was once regarded as a Venusberg. The local dialect in its name suggests that </w:t>
      </w:r>
      <w:proofErr w:type="spellStart"/>
      <w:r w:rsidR="008831AD" w:rsidRPr="006B6D34">
        <w:rPr>
          <w:rFonts w:cstheme="minorHAnsi"/>
          <w:lang w:val="en-GB"/>
        </w:rPr>
        <w:t>Guggershornli</w:t>
      </w:r>
      <w:proofErr w:type="spellEnd"/>
      <w:r w:rsidR="008831AD" w:rsidRPr="006B6D34">
        <w:rPr>
          <w:rFonts w:cstheme="minorHAnsi"/>
          <w:lang w:val="en-GB"/>
        </w:rPr>
        <w:t xml:space="preserve">, which rises like a needle into the sky, is a pointed horn for observing. In this function, the rock could well have served as a reference point for observing the sky. However, the question arises: from which fixed point were the horn and the sky observed? Since there is no point in the vicinity that could be identified as an observation reference point, such as a menhir, we may never know. </w:t>
      </w:r>
      <w:r w:rsidR="00545AE6" w:rsidRPr="006B6D34">
        <w:rPr>
          <w:rFonts w:cstheme="minorHAnsi"/>
          <w:bCs/>
          <w:bdr w:val="none" w:sz="0" w:space="0" w:color="auto" w:frame="1"/>
          <w:shd w:val="clear" w:color="auto" w:fill="FFFFFF"/>
          <w:lang w:val="en-GB"/>
        </w:rPr>
        <w:t xml:space="preserve">Ivan </w:t>
      </w:r>
      <w:proofErr w:type="spellStart"/>
      <w:r w:rsidR="00545AE6" w:rsidRPr="006B6D34">
        <w:rPr>
          <w:rFonts w:cstheme="minorHAnsi"/>
          <w:bCs/>
          <w:bdr w:val="none" w:sz="0" w:space="0" w:color="auto" w:frame="1"/>
          <w:shd w:val="clear" w:color="auto" w:fill="FFFFFF"/>
          <w:lang w:val="en-GB"/>
        </w:rPr>
        <w:t>Sprajc</w:t>
      </w:r>
      <w:proofErr w:type="spellEnd"/>
      <w:r w:rsidR="00545AE6" w:rsidRPr="006B6D34">
        <w:rPr>
          <w:rFonts w:cstheme="minorHAnsi"/>
          <w:bCs/>
          <w:bdr w:val="none" w:sz="0" w:space="0" w:color="auto" w:frame="1"/>
          <w:shd w:val="clear" w:color="auto" w:fill="FFFFFF"/>
          <w:lang w:val="en-GB"/>
        </w:rPr>
        <w:t xml:space="preserve"> argued that Venus’ brightness is only surpassed by the Sun and the Moon</w:t>
      </w:r>
      <w:r w:rsidR="008831AD" w:rsidRPr="006B6D34">
        <w:rPr>
          <w:rFonts w:cstheme="minorHAnsi"/>
          <w:bCs/>
          <w:bdr w:val="none" w:sz="0" w:space="0" w:color="auto" w:frame="1"/>
          <w:shd w:val="clear" w:color="auto" w:fill="FFFFFF"/>
          <w:lang w:val="en-GB"/>
        </w:rPr>
        <w:t>,</w:t>
      </w:r>
      <w:r w:rsidR="00545AE6" w:rsidRPr="006B6D34">
        <w:rPr>
          <w:rFonts w:cstheme="minorHAnsi"/>
          <w:bCs/>
          <w:bdr w:val="none" w:sz="0" w:space="0" w:color="auto" w:frame="1"/>
          <w:shd w:val="clear" w:color="auto" w:fill="FFFFFF"/>
          <w:lang w:val="en-GB"/>
        </w:rPr>
        <w:t xml:space="preserve"> and ‘was undoubtedly a primary reason underlying its importance in many cultures’. Yet, </w:t>
      </w:r>
      <w:r w:rsidR="006E7085" w:rsidRPr="006B6D34">
        <w:rPr>
          <w:rFonts w:cstheme="minorHAnsi"/>
          <w:bCs/>
          <w:bdr w:val="none" w:sz="0" w:space="0" w:color="auto" w:frame="1"/>
          <w:shd w:val="clear" w:color="auto" w:fill="FFFFFF"/>
          <w:lang w:val="en-GB"/>
        </w:rPr>
        <w:t xml:space="preserve">he pointed out, </w:t>
      </w:r>
      <w:r w:rsidR="00545AE6" w:rsidRPr="006B6D34">
        <w:rPr>
          <w:rFonts w:cstheme="minorHAnsi"/>
          <w:bCs/>
          <w:bdr w:val="none" w:sz="0" w:space="0" w:color="auto" w:frame="1"/>
          <w:shd w:val="clear" w:color="auto" w:fill="FFFFFF"/>
          <w:lang w:val="en-GB"/>
        </w:rPr>
        <w:t xml:space="preserve">as the </w:t>
      </w:r>
      <w:r w:rsidR="006E7085" w:rsidRPr="006B6D34">
        <w:rPr>
          <w:rFonts w:cstheme="minorHAnsi"/>
          <w:bCs/>
          <w:bdr w:val="none" w:sz="0" w:space="0" w:color="auto" w:frame="1"/>
          <w:shd w:val="clear" w:color="auto" w:fill="FFFFFF"/>
          <w:lang w:val="en-GB"/>
        </w:rPr>
        <w:t>m</w:t>
      </w:r>
      <w:r w:rsidR="00545AE6" w:rsidRPr="006B6D34">
        <w:rPr>
          <w:rFonts w:cstheme="minorHAnsi"/>
          <w:bCs/>
          <w:bdr w:val="none" w:sz="0" w:space="0" w:color="auto" w:frame="1"/>
          <w:shd w:val="clear" w:color="auto" w:fill="FFFFFF"/>
          <w:lang w:val="en-GB"/>
        </w:rPr>
        <w:t xml:space="preserve">orning </w:t>
      </w:r>
      <w:r w:rsidR="006E7085" w:rsidRPr="006B6D34">
        <w:rPr>
          <w:rFonts w:cstheme="minorHAnsi"/>
          <w:bCs/>
          <w:bdr w:val="none" w:sz="0" w:space="0" w:color="auto" w:frame="1"/>
          <w:shd w:val="clear" w:color="auto" w:fill="FFFFFF"/>
          <w:lang w:val="en-GB"/>
        </w:rPr>
        <w:t>s</w:t>
      </w:r>
      <w:r w:rsidR="00545AE6" w:rsidRPr="006B6D34">
        <w:rPr>
          <w:rFonts w:cstheme="minorHAnsi"/>
          <w:bCs/>
          <w:bdr w:val="none" w:sz="0" w:space="0" w:color="auto" w:frame="1"/>
          <w:shd w:val="clear" w:color="auto" w:fill="FFFFFF"/>
          <w:lang w:val="en-GB"/>
        </w:rPr>
        <w:t>tar's extreme positions barely surpass those of the Sun, it is difficult to establish evidence for a Venus observation without additional supporting information.</w:t>
      </w:r>
      <w:r w:rsidR="00545AE6" w:rsidRPr="006B6D34">
        <w:rPr>
          <w:rStyle w:val="Funotenzeichen"/>
          <w:rFonts w:cstheme="minorHAnsi"/>
          <w:bCs/>
          <w:bdr w:val="none" w:sz="0" w:space="0" w:color="auto" w:frame="1"/>
          <w:shd w:val="clear" w:color="auto" w:fill="FFFFFF"/>
          <w:lang w:val="en-GB"/>
        </w:rPr>
        <w:footnoteReference w:id="86"/>
      </w:r>
      <w:r w:rsidR="00545AE6" w:rsidRPr="006B6D34">
        <w:rPr>
          <w:rFonts w:cstheme="minorHAnsi"/>
          <w:bCs/>
          <w:bdr w:val="none" w:sz="0" w:space="0" w:color="auto" w:frame="1"/>
          <w:shd w:val="clear" w:color="auto" w:fill="FFFFFF"/>
          <w:lang w:val="en-GB"/>
        </w:rPr>
        <w:t xml:space="preserve"> </w:t>
      </w:r>
      <w:r w:rsidR="006E7085" w:rsidRPr="006B6D34">
        <w:rPr>
          <w:rFonts w:cstheme="minorHAnsi"/>
          <w:bCs/>
          <w:bdr w:val="none" w:sz="0" w:space="0" w:color="auto" w:frame="1"/>
          <w:shd w:val="clear" w:color="auto" w:fill="FFFFFF"/>
          <w:lang w:val="en-GB"/>
        </w:rPr>
        <w:t xml:space="preserve">Supporting information is available only in the song and tales, as mentioned. There is no direct archaeological evidence, except </w:t>
      </w:r>
      <w:r w:rsidR="003348D2" w:rsidRPr="006B6D34">
        <w:rPr>
          <w:rFonts w:cstheme="minorHAnsi"/>
          <w:bCs/>
          <w:bdr w:val="none" w:sz="0" w:space="0" w:color="auto" w:frame="1"/>
          <w:shd w:val="clear" w:color="auto" w:fill="FFFFFF"/>
          <w:lang w:val="en-GB"/>
        </w:rPr>
        <w:t xml:space="preserve">for the discovery of Roman coins near Guggisberg, which indicates a cultural connection to Rome and </w:t>
      </w:r>
      <w:r w:rsidR="008831AD" w:rsidRPr="006B6D34">
        <w:rPr>
          <w:rFonts w:cstheme="minorHAnsi"/>
          <w:bCs/>
          <w:bdr w:val="none" w:sz="0" w:space="0" w:color="auto" w:frame="1"/>
          <w:shd w:val="clear" w:color="auto" w:fill="FFFFFF"/>
          <w:lang w:val="en-GB"/>
        </w:rPr>
        <w:t xml:space="preserve">further </w:t>
      </w:r>
      <w:r w:rsidR="003348D2" w:rsidRPr="006B6D34">
        <w:rPr>
          <w:rFonts w:cstheme="minorHAnsi"/>
          <w:bCs/>
          <w:bdr w:val="none" w:sz="0" w:space="0" w:color="auto" w:frame="1"/>
          <w:shd w:val="clear" w:color="auto" w:fill="FFFFFF"/>
          <w:lang w:val="en-GB"/>
        </w:rPr>
        <w:t xml:space="preserve">supports the identification of </w:t>
      </w:r>
      <w:r w:rsidR="008831AD" w:rsidRPr="006B6D34">
        <w:rPr>
          <w:rFonts w:cstheme="minorHAnsi"/>
          <w:bCs/>
          <w:bdr w:val="none" w:sz="0" w:space="0" w:color="auto" w:frame="1"/>
          <w:shd w:val="clear" w:color="auto" w:fill="FFFFFF"/>
          <w:lang w:val="en-GB"/>
        </w:rPr>
        <w:t xml:space="preserve">the Roman goddess </w:t>
      </w:r>
      <w:r w:rsidR="003348D2" w:rsidRPr="006B6D34">
        <w:rPr>
          <w:rFonts w:cstheme="minorHAnsi"/>
          <w:bCs/>
          <w:bdr w:val="none" w:sz="0" w:space="0" w:color="auto" w:frame="1"/>
          <w:shd w:val="clear" w:color="auto" w:fill="FFFFFF"/>
          <w:lang w:val="en-GB"/>
        </w:rPr>
        <w:t>Venus</w:t>
      </w:r>
      <w:r w:rsidR="008831AD" w:rsidRPr="006B6D34">
        <w:rPr>
          <w:rFonts w:cstheme="minorHAnsi"/>
          <w:bCs/>
          <w:bdr w:val="none" w:sz="0" w:space="0" w:color="auto" w:frame="1"/>
          <w:shd w:val="clear" w:color="auto" w:fill="FFFFFF"/>
          <w:lang w:val="en-GB"/>
        </w:rPr>
        <w:t xml:space="preserve"> in the area</w:t>
      </w:r>
      <w:r w:rsidR="006E7085" w:rsidRPr="006B6D34">
        <w:rPr>
          <w:rFonts w:cstheme="minorHAnsi"/>
          <w:bCs/>
          <w:bdr w:val="none" w:sz="0" w:space="0" w:color="auto" w:frame="1"/>
          <w:shd w:val="clear" w:color="auto" w:fill="FFFFFF"/>
          <w:lang w:val="en-GB"/>
        </w:rPr>
        <w:t>.</w:t>
      </w:r>
      <w:r w:rsidR="006E7085" w:rsidRPr="006B6D34">
        <w:rPr>
          <w:rStyle w:val="Funotenzeichen"/>
          <w:rFonts w:cstheme="minorHAnsi"/>
        </w:rPr>
        <w:footnoteReference w:id="87"/>
      </w:r>
      <w:r w:rsidR="006E7085" w:rsidRPr="006B6D34">
        <w:rPr>
          <w:rFonts w:cstheme="minorHAnsi"/>
          <w:bCs/>
          <w:bdr w:val="none" w:sz="0" w:space="0" w:color="auto" w:frame="1"/>
          <w:shd w:val="clear" w:color="auto" w:fill="FFFFFF"/>
          <w:lang w:val="en-GB"/>
        </w:rPr>
        <w:t xml:space="preserve"> </w:t>
      </w:r>
      <w:r w:rsidR="008831AD" w:rsidRPr="006B6D34">
        <w:rPr>
          <w:rFonts w:cstheme="minorHAnsi"/>
          <w:bCs/>
          <w:bdr w:val="none" w:sz="0" w:space="0" w:color="auto" w:frame="1"/>
          <w:shd w:val="clear" w:color="auto" w:fill="FFFFFF"/>
          <w:lang w:val="en-GB"/>
        </w:rPr>
        <w:t xml:space="preserve">However, Roger Beck noted that Venus, as the morning star, signifies the arrival of dawn. When it appears in the eastern sky, its light radiates upward and outward, commonly called the </w:t>
      </w:r>
      <w:proofErr w:type="spellStart"/>
      <w:r w:rsidR="008831AD" w:rsidRPr="006B6D34">
        <w:rPr>
          <w:rFonts w:cstheme="minorHAnsi"/>
          <w:bCs/>
          <w:bdr w:val="none" w:sz="0" w:space="0" w:color="auto" w:frame="1"/>
          <w:shd w:val="clear" w:color="auto" w:fill="FFFFFF"/>
          <w:lang w:val="en-GB"/>
        </w:rPr>
        <w:t>phosphoros</w:t>
      </w:r>
      <w:proofErr w:type="spellEnd"/>
      <w:r w:rsidR="008831AD" w:rsidRPr="006B6D34">
        <w:rPr>
          <w:rFonts w:cstheme="minorHAnsi"/>
          <w:bCs/>
          <w:bdr w:val="none" w:sz="0" w:space="0" w:color="auto" w:frame="1"/>
          <w:shd w:val="clear" w:color="auto" w:fill="FFFFFF"/>
          <w:lang w:val="en-GB"/>
        </w:rPr>
        <w:t>, the light-bringer.</w:t>
      </w:r>
      <w:r w:rsidR="008831AD" w:rsidRPr="006B6D34">
        <w:rPr>
          <w:rStyle w:val="Funotenzeichen"/>
          <w:rFonts w:cstheme="minorHAnsi"/>
          <w:bCs/>
          <w:bdr w:val="none" w:sz="0" w:space="0" w:color="auto" w:frame="1"/>
          <w:shd w:val="clear" w:color="auto" w:fill="FFFFFF"/>
          <w:lang w:val="en-GB"/>
        </w:rPr>
        <w:footnoteReference w:id="88"/>
      </w:r>
      <w:r w:rsidR="008831AD" w:rsidRPr="006B6D34">
        <w:rPr>
          <w:rFonts w:cstheme="minorHAnsi"/>
          <w:bCs/>
          <w:bdr w:val="none" w:sz="0" w:space="0" w:color="auto" w:frame="1"/>
          <w:shd w:val="clear" w:color="auto" w:fill="FFFFFF"/>
          <w:lang w:val="en-GB"/>
        </w:rPr>
        <w:t xml:space="preserve"> The 10th-century monk Notker praised the </w:t>
      </w:r>
      <w:r w:rsidR="009077F3" w:rsidRPr="006B6D34">
        <w:rPr>
          <w:rFonts w:cstheme="minorHAnsi"/>
          <w:bCs/>
          <w:bdr w:val="none" w:sz="0" w:space="0" w:color="auto" w:frame="1"/>
          <w:shd w:val="clear" w:color="auto" w:fill="FFFFFF"/>
          <w:lang w:val="en-GB"/>
        </w:rPr>
        <w:t xml:space="preserve">phosphorescent glow of Venus, </w:t>
      </w:r>
      <w:proofErr w:type="spellStart"/>
      <w:r w:rsidR="009077F3" w:rsidRPr="006B6D34">
        <w:rPr>
          <w:rFonts w:cstheme="minorHAnsi"/>
          <w:bCs/>
          <w:bdr w:val="none" w:sz="0" w:space="0" w:color="auto" w:frame="1"/>
          <w:shd w:val="clear" w:color="auto" w:fill="FFFFFF"/>
          <w:lang w:val="en-GB"/>
        </w:rPr>
        <w:t>signaling</w:t>
      </w:r>
      <w:proofErr w:type="spellEnd"/>
      <w:r w:rsidR="009077F3" w:rsidRPr="006B6D34">
        <w:rPr>
          <w:rFonts w:cstheme="minorHAnsi"/>
          <w:bCs/>
          <w:bdr w:val="none" w:sz="0" w:space="0" w:color="auto" w:frame="1"/>
          <w:shd w:val="clear" w:color="auto" w:fill="FFFFFF"/>
          <w:lang w:val="en-GB"/>
        </w:rPr>
        <w:t xml:space="preserve"> the end of the dark night and its transformation</w:t>
      </w:r>
      <w:r w:rsidR="008831AD" w:rsidRPr="006B6D34">
        <w:rPr>
          <w:rFonts w:cstheme="minorHAnsi"/>
          <w:bCs/>
          <w:bdr w:val="none" w:sz="0" w:space="0" w:color="auto" w:frame="1"/>
          <w:shd w:val="clear" w:color="auto" w:fill="FFFFFF"/>
          <w:lang w:val="en-GB"/>
        </w:rPr>
        <w:t xml:space="preserve"> into a golden star.</w:t>
      </w:r>
      <w:r w:rsidR="008831AD" w:rsidRPr="006B6D34">
        <w:rPr>
          <w:rStyle w:val="Funotenzeichen"/>
          <w:rFonts w:cstheme="minorHAnsi"/>
          <w:bCs/>
          <w:bdr w:val="none" w:sz="0" w:space="0" w:color="auto" w:frame="1"/>
          <w:shd w:val="clear" w:color="auto" w:fill="FFFFFF"/>
          <w:lang w:val="en-GB"/>
        </w:rPr>
        <w:footnoteReference w:id="89"/>
      </w:r>
      <w:r w:rsidR="008831AD" w:rsidRPr="006B6D34">
        <w:rPr>
          <w:rFonts w:cstheme="minorHAnsi"/>
          <w:bCs/>
          <w:i/>
          <w:iCs/>
          <w:bdr w:val="none" w:sz="0" w:space="0" w:color="auto" w:frame="1"/>
          <w:shd w:val="clear" w:color="auto" w:fill="FFFFFF"/>
          <w:lang w:val="en-GB"/>
        </w:rPr>
        <w:t xml:space="preserve"> </w:t>
      </w:r>
      <w:r w:rsidR="008831AD" w:rsidRPr="006B6D34">
        <w:rPr>
          <w:rFonts w:cstheme="minorHAnsi"/>
          <w:bCs/>
          <w:bdr w:val="none" w:sz="0" w:space="0" w:color="auto" w:frame="1"/>
          <w:shd w:val="clear" w:color="auto" w:fill="FFFFFF"/>
          <w:lang w:val="en-GB"/>
        </w:rPr>
        <w:t>A</w:t>
      </w:r>
      <w:r w:rsidR="008831AD" w:rsidRPr="006B6D34">
        <w:rPr>
          <w:rFonts w:cstheme="minorHAnsi"/>
          <w:lang w:val="en-GB"/>
        </w:rPr>
        <w:t xml:space="preserve">ccording to </w:t>
      </w:r>
      <w:r w:rsidR="008831AD" w:rsidRPr="006B6D34">
        <w:rPr>
          <w:rFonts w:cstheme="minorHAnsi"/>
          <w:bCs/>
          <w:bdr w:val="none" w:sz="0" w:space="0" w:color="auto" w:frame="1"/>
          <w:shd w:val="clear" w:color="auto" w:fill="FFFFFF"/>
          <w:lang w:val="en-GB"/>
        </w:rPr>
        <w:t xml:space="preserve">Mary W. Helms, early European monks were </w:t>
      </w:r>
      <w:r w:rsidR="00246D7A" w:rsidRPr="006B6D34">
        <w:rPr>
          <w:rFonts w:cstheme="minorHAnsi"/>
          <w:bCs/>
          <w:bdr w:val="none" w:sz="0" w:space="0" w:color="auto" w:frame="1"/>
          <w:shd w:val="clear" w:color="auto" w:fill="FFFFFF"/>
          <w:lang w:val="en-GB"/>
        </w:rPr>
        <w:t xml:space="preserve">very </w:t>
      </w:r>
      <w:r w:rsidR="008831AD" w:rsidRPr="006B6D34">
        <w:rPr>
          <w:rFonts w:cstheme="minorHAnsi"/>
          <w:bCs/>
          <w:bdr w:val="none" w:sz="0" w:space="0" w:color="auto" w:frame="1"/>
          <w:shd w:val="clear" w:color="auto" w:fill="FFFFFF"/>
          <w:lang w:val="en-GB"/>
        </w:rPr>
        <w:t>preoccupied with the night</w:t>
      </w:r>
      <w:r w:rsidR="00246D7A" w:rsidRPr="006B6D34">
        <w:rPr>
          <w:rFonts w:cstheme="minorHAnsi"/>
          <w:bCs/>
          <w:bdr w:val="none" w:sz="0" w:space="0" w:color="auto" w:frame="1"/>
          <w:shd w:val="clear" w:color="auto" w:fill="FFFFFF"/>
          <w:lang w:val="en-GB"/>
        </w:rPr>
        <w:t>. She linked the darkness within the early medieval abbey church to the deep darkness of the universe beyond its walls, representing a fundamental, unformed state of existence. She further claimed that astronomical observations of the night sky during nocturns would have inspired reflections on the universe's orderliness. As the monks gathered in a structured manner, they sought to emulate and connect with the enduring cosmic order and harmony of the celestial scene through their organized chants.</w:t>
      </w:r>
      <w:r w:rsidR="00246D7A" w:rsidRPr="006B6D34">
        <w:rPr>
          <w:rStyle w:val="Funotenzeichen"/>
          <w:rFonts w:cstheme="minorHAnsi"/>
          <w:bCs/>
          <w:bdr w:val="none" w:sz="0" w:space="0" w:color="auto" w:frame="1"/>
          <w:shd w:val="clear" w:color="auto" w:fill="FFFFFF"/>
          <w:lang w:val="en-GB"/>
        </w:rPr>
        <w:footnoteReference w:id="90"/>
      </w:r>
      <w:r w:rsidR="00246D7A" w:rsidRPr="006B6D34">
        <w:rPr>
          <w:rFonts w:cstheme="minorHAnsi"/>
          <w:bCs/>
          <w:bdr w:val="none" w:sz="0" w:space="0" w:color="auto" w:frame="1"/>
          <w:shd w:val="clear" w:color="auto" w:fill="FFFFFF"/>
          <w:lang w:val="en-GB"/>
        </w:rPr>
        <w:t xml:space="preserve"> After experiencing such a night as a monk, the rising of the morning star, Venus, must have been a glorious moment. </w:t>
      </w:r>
      <w:r w:rsidR="00F46D45" w:rsidRPr="006B6D34">
        <w:rPr>
          <w:rFonts w:cstheme="minorHAnsi"/>
          <w:bCs/>
          <w:bdr w:val="none" w:sz="0" w:space="0" w:color="auto" w:frame="1"/>
          <w:shd w:val="clear" w:color="auto" w:fill="FFFFFF"/>
          <w:lang w:val="en-GB"/>
        </w:rPr>
        <w:t xml:space="preserve">Only later, when </w:t>
      </w:r>
      <w:r w:rsidR="00F46D45" w:rsidRPr="006B6D34">
        <w:rPr>
          <w:rFonts w:cstheme="minorHAnsi"/>
          <w:lang w:val="en-GB"/>
        </w:rPr>
        <w:t>Christianity rewrote its mythology</w:t>
      </w:r>
      <w:r w:rsidR="006D4C1C" w:rsidRPr="006B6D34">
        <w:rPr>
          <w:rFonts w:cstheme="minorHAnsi"/>
          <w:lang w:val="en-GB"/>
        </w:rPr>
        <w:t xml:space="preserve">, did the </w:t>
      </w:r>
      <w:r w:rsidR="0054603E" w:rsidRPr="006B6D34">
        <w:rPr>
          <w:rFonts w:cstheme="minorHAnsi"/>
          <w:lang w:val="en-GB"/>
        </w:rPr>
        <w:t>C</w:t>
      </w:r>
      <w:r w:rsidR="006D4C1C" w:rsidRPr="006B6D34">
        <w:rPr>
          <w:rFonts w:cstheme="minorHAnsi"/>
          <w:lang w:val="en-GB"/>
        </w:rPr>
        <w:t xml:space="preserve">hurch come into conflict with </w:t>
      </w:r>
      <w:r w:rsidR="0054603E" w:rsidRPr="006B6D34">
        <w:rPr>
          <w:rFonts w:cstheme="minorHAnsi"/>
          <w:lang w:val="en-GB"/>
        </w:rPr>
        <w:t>Venus's virtues</w:t>
      </w:r>
      <w:r w:rsidR="00F46D45" w:rsidRPr="006B6D34">
        <w:rPr>
          <w:rFonts w:cstheme="minorHAnsi"/>
          <w:lang w:val="en-GB"/>
        </w:rPr>
        <w:t>.</w:t>
      </w:r>
      <w:r w:rsidR="006D4C1C" w:rsidRPr="006B6D34">
        <w:rPr>
          <w:rFonts w:cstheme="minorHAnsi"/>
          <w:lang w:val="en-GB"/>
        </w:rPr>
        <w:t xml:space="preserve"> Regarding her celestial influence, Thomas Aquinas, who was the most significant friar and priest of the </w:t>
      </w:r>
      <w:r w:rsidR="0054603E" w:rsidRPr="006B6D34">
        <w:rPr>
          <w:rFonts w:cstheme="minorHAnsi"/>
          <w:lang w:val="en-GB"/>
        </w:rPr>
        <w:t>thirteenth century</w:t>
      </w:r>
      <w:r w:rsidR="006D4C1C" w:rsidRPr="006B6D34">
        <w:rPr>
          <w:rFonts w:cstheme="minorHAnsi"/>
          <w:lang w:val="en-GB"/>
        </w:rPr>
        <w:t>, held that celestial bodies affected only the physical aspect of a person, whereas the soul remained unaffected. Therefore, even if the planet Venus sparked passionate thoughts, a person would still have the ability to decide how to react to it.</w:t>
      </w:r>
      <w:r w:rsidR="006D4C1C" w:rsidRPr="006B6D34">
        <w:rPr>
          <w:rStyle w:val="Funotenzeichen"/>
          <w:rFonts w:cstheme="minorHAnsi"/>
          <w:lang w:val="en-GB"/>
        </w:rPr>
        <w:footnoteReference w:id="91"/>
      </w:r>
      <w:bookmarkStart w:id="8" w:name="_Hlk218346966"/>
      <w:r w:rsidR="0054603E" w:rsidRPr="006B6D34">
        <w:rPr>
          <w:rFonts w:cstheme="minorHAnsi"/>
          <w:lang w:val="en-GB"/>
        </w:rPr>
        <w:t xml:space="preserve"> </w:t>
      </w:r>
      <w:r w:rsidR="00FF392D" w:rsidRPr="006B6D34">
        <w:rPr>
          <w:rFonts w:cstheme="minorHAnsi"/>
          <w:bCs/>
          <w:bdr w:val="none" w:sz="0" w:space="0" w:color="auto" w:frame="1"/>
          <w:shd w:val="clear" w:color="auto" w:fill="FFFFFF"/>
          <w:lang w:val="en-GB"/>
        </w:rPr>
        <w:t>At the</w:t>
      </w:r>
      <w:r w:rsidR="0054603E" w:rsidRPr="006B6D34">
        <w:rPr>
          <w:rFonts w:cstheme="minorHAnsi"/>
          <w:bCs/>
          <w:bdr w:val="none" w:sz="0" w:space="0" w:color="auto" w:frame="1"/>
          <w:shd w:val="clear" w:color="auto" w:fill="FFFFFF"/>
          <w:lang w:val="en-GB"/>
        </w:rPr>
        <w:t xml:space="preserve"> </w:t>
      </w:r>
      <w:r w:rsidR="00FF392D" w:rsidRPr="006B6D34">
        <w:rPr>
          <w:rFonts w:cstheme="minorHAnsi"/>
          <w:bCs/>
          <w:bdr w:val="none" w:sz="0" w:space="0" w:color="auto" w:frame="1"/>
          <w:shd w:val="clear" w:color="auto" w:fill="FFFFFF"/>
          <w:lang w:val="en-GB"/>
        </w:rPr>
        <w:t>outset, when the monastery in Guggisberg was founded</w:t>
      </w:r>
      <w:r w:rsidR="0054603E" w:rsidRPr="006B6D34">
        <w:rPr>
          <w:rFonts w:cstheme="minorHAnsi"/>
          <w:bCs/>
          <w:bdr w:val="none" w:sz="0" w:space="0" w:color="auto" w:frame="1"/>
          <w:shd w:val="clear" w:color="auto" w:fill="FFFFFF"/>
          <w:lang w:val="en-GB"/>
        </w:rPr>
        <w:t>,</w:t>
      </w:r>
      <w:r w:rsidR="00FF392D" w:rsidRPr="006B6D34">
        <w:rPr>
          <w:rFonts w:cstheme="minorHAnsi"/>
          <w:bCs/>
          <w:bdr w:val="none" w:sz="0" w:space="0" w:color="auto" w:frame="1"/>
          <w:shd w:val="clear" w:color="auto" w:fill="FFFFFF"/>
          <w:lang w:val="en-GB"/>
        </w:rPr>
        <w:t xml:space="preserve"> Venus did not yet pose a threat to the Catholic Church. </w:t>
      </w:r>
    </w:p>
    <w:p w14:paraId="7D86DD55" w14:textId="77777777" w:rsidR="00FF392D" w:rsidRPr="006B6D34" w:rsidRDefault="00FF392D" w:rsidP="00BC773B">
      <w:pPr>
        <w:rPr>
          <w:rFonts w:cstheme="minorHAnsi"/>
          <w:bCs/>
          <w:bdr w:val="none" w:sz="0" w:space="0" w:color="auto" w:frame="1"/>
          <w:shd w:val="clear" w:color="auto" w:fill="FFFFFF"/>
          <w:lang w:val="en-GB"/>
        </w:rPr>
      </w:pPr>
    </w:p>
    <w:bookmarkEnd w:id="7"/>
    <w:bookmarkEnd w:id="8"/>
    <w:p w14:paraId="5061CCE5" w14:textId="48F6440D" w:rsidR="00EF4B67" w:rsidRPr="006B6D34" w:rsidRDefault="00B670EA" w:rsidP="00246D7A">
      <w:pPr>
        <w:rPr>
          <w:rFonts w:cstheme="minorHAnsi"/>
          <w:b/>
          <w:bdr w:val="none" w:sz="0" w:space="0" w:color="auto" w:frame="1"/>
          <w:shd w:val="clear" w:color="auto" w:fill="FFFFFF"/>
          <w:lang w:val="en-GB"/>
        </w:rPr>
      </w:pPr>
      <w:r w:rsidRPr="006B6D34">
        <w:rPr>
          <w:rFonts w:cstheme="minorHAnsi"/>
          <w:b/>
          <w:bdr w:val="none" w:sz="0" w:space="0" w:color="auto" w:frame="1"/>
          <w:shd w:val="clear" w:color="auto" w:fill="FFFFFF"/>
          <w:lang w:val="en-GB"/>
        </w:rPr>
        <w:t>Conclusion</w:t>
      </w:r>
    </w:p>
    <w:p w14:paraId="7D3498B5" w14:textId="53227C64" w:rsidR="00BD47FE" w:rsidRPr="006B6D34" w:rsidRDefault="00BD47FE" w:rsidP="00393100">
      <w:pPr>
        <w:rPr>
          <w:rFonts w:cstheme="minorHAnsi"/>
          <w:bCs/>
          <w:bdr w:val="none" w:sz="0" w:space="0" w:color="auto" w:frame="1"/>
          <w:shd w:val="clear" w:color="auto" w:fill="FFFFFF"/>
          <w:lang w:val="en-GB"/>
        </w:rPr>
      </w:pPr>
      <w:r w:rsidRPr="006B6D34">
        <w:rPr>
          <w:rFonts w:cstheme="minorHAnsi"/>
          <w:bCs/>
          <w:bdr w:val="none" w:sz="0" w:space="0" w:color="auto" w:frame="1"/>
          <w:shd w:val="clear" w:color="auto" w:fill="FFFFFF"/>
          <w:lang w:val="en-GB"/>
        </w:rPr>
        <w:t>This essay examine</w:t>
      </w:r>
      <w:r w:rsidR="00545034" w:rsidRPr="006B6D34">
        <w:rPr>
          <w:rFonts w:cstheme="minorHAnsi"/>
          <w:bCs/>
          <w:bdr w:val="none" w:sz="0" w:space="0" w:color="auto" w:frame="1"/>
          <w:shd w:val="clear" w:color="auto" w:fill="FFFFFF"/>
          <w:lang w:val="en-GB"/>
        </w:rPr>
        <w:t>d</w:t>
      </w:r>
      <w:r w:rsidRPr="006B6D34">
        <w:rPr>
          <w:rFonts w:cstheme="minorHAnsi"/>
          <w:bCs/>
          <w:bdr w:val="none" w:sz="0" w:space="0" w:color="auto" w:frame="1"/>
          <w:shd w:val="clear" w:color="auto" w:fill="FFFFFF"/>
          <w:lang w:val="en-GB"/>
        </w:rPr>
        <w:t xml:space="preserve"> the sacredness of the rock-and-hill </w:t>
      </w:r>
      <w:r w:rsidR="00545034" w:rsidRPr="006B6D34">
        <w:rPr>
          <w:rFonts w:cstheme="minorHAnsi"/>
          <w:bCs/>
          <w:bdr w:val="none" w:sz="0" w:space="0" w:color="auto" w:frame="1"/>
          <w:shd w:val="clear" w:color="auto" w:fill="FFFFFF"/>
          <w:lang w:val="en-GB"/>
        </w:rPr>
        <w:t>formation</w:t>
      </w:r>
      <w:r w:rsidRPr="006B6D34">
        <w:rPr>
          <w:rFonts w:cstheme="minorHAnsi"/>
          <w:bCs/>
          <w:bdr w:val="none" w:sz="0" w:space="0" w:color="auto" w:frame="1"/>
          <w:shd w:val="clear" w:color="auto" w:fill="FFFFFF"/>
          <w:lang w:val="en-GB"/>
        </w:rPr>
        <w:t xml:space="preserve"> </w:t>
      </w:r>
      <w:r w:rsidR="00545034" w:rsidRPr="006B6D34">
        <w:rPr>
          <w:rFonts w:cstheme="minorHAnsi"/>
          <w:bCs/>
          <w:bdr w:val="none" w:sz="0" w:space="0" w:color="auto" w:frame="1"/>
          <w:shd w:val="clear" w:color="auto" w:fill="FFFFFF"/>
          <w:lang w:val="en-GB"/>
        </w:rPr>
        <w:t>in</w:t>
      </w:r>
      <w:r w:rsidRPr="006B6D34">
        <w:rPr>
          <w:rFonts w:cstheme="minorHAnsi"/>
          <w:bCs/>
          <w:bdr w:val="none" w:sz="0" w:space="0" w:color="auto" w:frame="1"/>
          <w:shd w:val="clear" w:color="auto" w:fill="FFFFFF"/>
          <w:lang w:val="en-GB"/>
        </w:rPr>
        <w:t xml:space="preserve"> Guggisberg</w:t>
      </w:r>
      <w:r w:rsidR="00545034" w:rsidRPr="006B6D34">
        <w:rPr>
          <w:rFonts w:cstheme="minorHAnsi"/>
          <w:bCs/>
          <w:bdr w:val="none" w:sz="0" w:space="0" w:color="auto" w:frame="1"/>
          <w:shd w:val="clear" w:color="auto" w:fill="FFFFFF"/>
          <w:lang w:val="en-GB"/>
        </w:rPr>
        <w:t xml:space="preserve"> </w:t>
      </w:r>
      <w:r w:rsidRPr="006B6D34">
        <w:rPr>
          <w:rFonts w:cstheme="minorHAnsi"/>
          <w:bCs/>
          <w:bdr w:val="none" w:sz="0" w:space="0" w:color="auto" w:frame="1"/>
          <w:shd w:val="clear" w:color="auto" w:fill="FFFFFF"/>
          <w:lang w:val="en-GB"/>
        </w:rPr>
        <w:t>between Bern and Fribourg, Switzerland</w:t>
      </w:r>
      <w:r w:rsidR="00545034" w:rsidRPr="006B6D34">
        <w:rPr>
          <w:rFonts w:cstheme="minorHAnsi"/>
          <w:bCs/>
          <w:bdr w:val="none" w:sz="0" w:space="0" w:color="auto" w:frame="1"/>
          <w:shd w:val="clear" w:color="auto" w:fill="FFFFFF"/>
          <w:lang w:val="en-GB"/>
        </w:rPr>
        <w:t>.</w:t>
      </w:r>
      <w:r w:rsidRPr="006B6D34">
        <w:rPr>
          <w:rFonts w:cstheme="minorHAnsi"/>
          <w:bCs/>
          <w:bdr w:val="none" w:sz="0" w:space="0" w:color="auto" w:frame="1"/>
          <w:shd w:val="clear" w:color="auto" w:fill="FFFFFF"/>
          <w:lang w:val="en-GB"/>
        </w:rPr>
        <w:t xml:space="preserve"> </w:t>
      </w:r>
      <w:r w:rsidR="00D32930" w:rsidRPr="006B6D34">
        <w:rPr>
          <w:rFonts w:cstheme="minorHAnsi"/>
          <w:bCs/>
          <w:bdr w:val="none" w:sz="0" w:space="0" w:color="auto" w:frame="1"/>
          <w:shd w:val="clear" w:color="auto" w:fill="FFFFFF"/>
          <w:lang w:val="en-GB"/>
        </w:rPr>
        <w:t xml:space="preserve">Based on the ancient folksong known as the Guggisberg song, it is associated with Venus and the medieval concept of a Venusberg. Since the formation resembles a pregnant woman, it has, however, also been associated with a local landscape goddess or a fairy. </w:t>
      </w:r>
      <w:r w:rsidR="006406A8" w:rsidRPr="006B6D34">
        <w:rPr>
          <w:rFonts w:cstheme="minorHAnsi"/>
          <w:bCs/>
          <w:bdr w:val="none" w:sz="0" w:space="0" w:color="auto" w:frame="1"/>
          <w:shd w:val="clear" w:color="auto" w:fill="FFFFFF"/>
          <w:lang w:val="en-GB"/>
        </w:rPr>
        <w:t xml:space="preserve">My examination concludes that </w:t>
      </w:r>
      <w:r w:rsidR="00D32930" w:rsidRPr="006B6D34">
        <w:rPr>
          <w:rFonts w:cstheme="minorHAnsi"/>
          <w:bCs/>
          <w:bdr w:val="none" w:sz="0" w:space="0" w:color="auto" w:frame="1"/>
          <w:shd w:val="clear" w:color="auto" w:fill="FFFFFF"/>
          <w:lang w:val="en-GB"/>
        </w:rPr>
        <w:t>the rock-and-hill formation in Guggisberg</w:t>
      </w:r>
      <w:r w:rsidR="006406A8" w:rsidRPr="006B6D34">
        <w:rPr>
          <w:rFonts w:cstheme="minorHAnsi"/>
          <w:bCs/>
          <w:bdr w:val="none" w:sz="0" w:space="0" w:color="auto" w:frame="1"/>
          <w:shd w:val="clear" w:color="auto" w:fill="FFFFFF"/>
          <w:lang w:val="en-GB"/>
        </w:rPr>
        <w:t xml:space="preserve"> may</w:t>
      </w:r>
      <w:r w:rsidR="00D32930" w:rsidRPr="006B6D34">
        <w:rPr>
          <w:rFonts w:cstheme="minorHAnsi"/>
          <w:bCs/>
          <w:bdr w:val="none" w:sz="0" w:space="0" w:color="auto" w:frame="1"/>
          <w:shd w:val="clear" w:color="auto" w:fill="FFFFFF"/>
          <w:lang w:val="en-GB"/>
        </w:rPr>
        <w:t xml:space="preserve"> very</w:t>
      </w:r>
      <w:r w:rsidR="006406A8" w:rsidRPr="006B6D34">
        <w:rPr>
          <w:rFonts w:cstheme="minorHAnsi"/>
          <w:bCs/>
          <w:bdr w:val="none" w:sz="0" w:space="0" w:color="auto" w:frame="1"/>
          <w:shd w:val="clear" w:color="auto" w:fill="FFFFFF"/>
          <w:lang w:val="en-GB"/>
        </w:rPr>
        <w:t xml:space="preserve"> well have been considered a Venusberg</w:t>
      </w:r>
      <w:r w:rsidR="00D32930" w:rsidRPr="006B6D34">
        <w:rPr>
          <w:rFonts w:cstheme="minorHAnsi"/>
          <w:bCs/>
          <w:bdr w:val="none" w:sz="0" w:space="0" w:color="auto" w:frame="1"/>
          <w:shd w:val="clear" w:color="auto" w:fill="FFFFFF"/>
          <w:lang w:val="en-GB"/>
        </w:rPr>
        <w:t xml:space="preserve"> at one point in history. </w:t>
      </w:r>
      <w:r w:rsidR="007A7C0C" w:rsidRPr="006B6D34">
        <w:rPr>
          <w:rFonts w:cstheme="minorHAnsi"/>
          <w:bCs/>
          <w:bdr w:val="none" w:sz="0" w:space="0" w:color="auto" w:frame="1"/>
          <w:shd w:val="clear" w:color="auto" w:fill="FFFFFF"/>
          <w:lang w:val="en-GB"/>
        </w:rPr>
        <w:t xml:space="preserve">Initially, it posed no issue for the Catholic Church or locals. Over time, as it became a romantic Venusberg, its reputation not only declined but also came to be regarded as </w:t>
      </w:r>
      <w:r w:rsidR="007A7C0C" w:rsidRPr="006B6D34">
        <w:rPr>
          <w:rFonts w:cstheme="minorHAnsi"/>
          <w:lang w:val="en-GB"/>
        </w:rPr>
        <w:t xml:space="preserve">a danger to the human soul. </w:t>
      </w:r>
      <w:r w:rsidR="0031775C" w:rsidRPr="006B6D34">
        <w:rPr>
          <w:rFonts w:cstheme="minorHAnsi"/>
          <w:lang w:val="en-GB"/>
        </w:rPr>
        <w:t>O</w:t>
      </w:r>
      <w:r w:rsidR="0031775C" w:rsidRPr="006B6D34">
        <w:rPr>
          <w:rFonts w:cstheme="minorHAnsi"/>
          <w:bCs/>
          <w:bdr w:val="none" w:sz="0" w:space="0" w:color="auto" w:frame="1"/>
          <w:shd w:val="clear" w:color="auto" w:fill="FFFFFF"/>
          <w:lang w:val="en-GB"/>
        </w:rPr>
        <w:t xml:space="preserve">ver the centuries, amid changing religious beliefs and political rule, what was once called a Venusberg held the entire region together and united the locals, regardless of which language they spoke, under which political rule or belief system they lived. </w:t>
      </w:r>
      <w:r w:rsidR="0085518A" w:rsidRPr="006B6D34">
        <w:rPr>
          <w:rFonts w:cstheme="minorHAnsi"/>
          <w:bCs/>
          <w:bdr w:val="none" w:sz="0" w:space="0" w:color="auto" w:frame="1"/>
          <w:shd w:val="clear" w:color="auto" w:fill="FFFFFF"/>
          <w:lang w:val="en-GB"/>
        </w:rPr>
        <w:t>The song's text and melody</w:t>
      </w:r>
      <w:r w:rsidR="0031775C" w:rsidRPr="006B6D34">
        <w:rPr>
          <w:rFonts w:cstheme="minorHAnsi"/>
          <w:bCs/>
          <w:bdr w:val="none" w:sz="0" w:space="0" w:color="auto" w:frame="1"/>
          <w:shd w:val="clear" w:color="auto" w:fill="FFFFFF"/>
          <w:lang w:val="en-GB"/>
        </w:rPr>
        <w:t xml:space="preserve"> </w:t>
      </w:r>
      <w:r w:rsidR="00D32930" w:rsidRPr="006B6D34">
        <w:rPr>
          <w:rFonts w:cstheme="minorHAnsi"/>
          <w:bCs/>
          <w:bdr w:val="none" w:sz="0" w:space="0" w:color="auto" w:frame="1"/>
          <w:shd w:val="clear" w:color="auto" w:fill="FFFFFF"/>
          <w:lang w:val="en-GB"/>
        </w:rPr>
        <w:t xml:space="preserve">reflect very old beliefs that extend </w:t>
      </w:r>
      <w:r w:rsidR="0031775C" w:rsidRPr="006B6D34">
        <w:rPr>
          <w:rFonts w:cstheme="minorHAnsi"/>
          <w:bCs/>
          <w:bdr w:val="none" w:sz="0" w:space="0" w:color="auto" w:frame="1"/>
          <w:shd w:val="clear" w:color="auto" w:fill="FFFFFF"/>
          <w:lang w:val="en-GB"/>
        </w:rPr>
        <w:t xml:space="preserve">far </w:t>
      </w:r>
      <w:r w:rsidR="00D32930" w:rsidRPr="006B6D34">
        <w:rPr>
          <w:rFonts w:cstheme="minorHAnsi"/>
          <w:bCs/>
          <w:bdr w:val="none" w:sz="0" w:space="0" w:color="auto" w:frame="1"/>
          <w:shd w:val="clear" w:color="auto" w:fill="FFFFFF"/>
          <w:lang w:val="en-GB"/>
        </w:rPr>
        <w:t xml:space="preserve">beyond </w:t>
      </w:r>
      <w:r w:rsidR="0031775C" w:rsidRPr="006B6D34">
        <w:rPr>
          <w:rFonts w:cstheme="minorHAnsi"/>
          <w:bCs/>
          <w:bdr w:val="none" w:sz="0" w:space="0" w:color="auto" w:frame="1"/>
          <w:shd w:val="clear" w:color="auto" w:fill="FFFFFF"/>
          <w:lang w:val="en-GB"/>
        </w:rPr>
        <w:t>all the political and clerical</w:t>
      </w:r>
      <w:r w:rsidR="00D32930" w:rsidRPr="006B6D34">
        <w:rPr>
          <w:rFonts w:cstheme="minorHAnsi"/>
          <w:bCs/>
          <w:bdr w:val="none" w:sz="0" w:space="0" w:color="auto" w:frame="1"/>
          <w:shd w:val="clear" w:color="auto" w:fill="FFFFFF"/>
          <w:lang w:val="en-GB"/>
        </w:rPr>
        <w:t xml:space="preserve"> disruptions.</w:t>
      </w:r>
      <w:r w:rsidR="0085518A" w:rsidRPr="006B6D34">
        <w:rPr>
          <w:rFonts w:cstheme="minorHAnsi"/>
          <w:bCs/>
          <w:bdr w:val="none" w:sz="0" w:space="0" w:color="auto" w:frame="1"/>
          <w:shd w:val="clear" w:color="auto" w:fill="FFFFFF"/>
          <w:lang w:val="en-GB"/>
        </w:rPr>
        <w:t xml:space="preserve"> </w:t>
      </w:r>
      <w:r w:rsidR="0031775C" w:rsidRPr="006B6D34">
        <w:rPr>
          <w:rFonts w:cstheme="minorHAnsi"/>
          <w:bCs/>
          <w:bdr w:val="none" w:sz="0" w:space="0" w:color="auto" w:frame="1"/>
          <w:shd w:val="clear" w:color="auto" w:fill="FFFFFF"/>
          <w:lang w:val="en-GB"/>
        </w:rPr>
        <w:t>The sacred is not consistently distinct from the profane in</w:t>
      </w:r>
      <w:r w:rsidR="00B105E0" w:rsidRPr="006B6D34">
        <w:rPr>
          <w:rFonts w:cstheme="minorHAnsi"/>
          <w:bCs/>
          <w:bdr w:val="none" w:sz="0" w:space="0" w:color="auto" w:frame="1"/>
          <w:shd w:val="clear" w:color="auto" w:fill="FFFFFF"/>
          <w:lang w:val="en-GB"/>
        </w:rPr>
        <w:t xml:space="preserve"> local</w:t>
      </w:r>
      <w:r w:rsidR="0031775C" w:rsidRPr="006B6D34">
        <w:rPr>
          <w:rFonts w:cstheme="minorHAnsi"/>
          <w:bCs/>
          <w:bdr w:val="none" w:sz="0" w:space="0" w:color="auto" w:frame="1"/>
          <w:shd w:val="clear" w:color="auto" w:fill="FFFFFF"/>
          <w:lang w:val="en-GB"/>
        </w:rPr>
        <w:t xml:space="preserve"> people’s awareness, as Durkheim argued</w:t>
      </w:r>
      <w:r w:rsidR="00B105E0" w:rsidRPr="006B6D34">
        <w:rPr>
          <w:rFonts w:cstheme="minorHAnsi"/>
          <w:bCs/>
          <w:bdr w:val="none" w:sz="0" w:space="0" w:color="auto" w:frame="1"/>
          <w:shd w:val="clear" w:color="auto" w:fill="FFFFFF"/>
          <w:lang w:val="en-GB"/>
        </w:rPr>
        <w:t>.</w:t>
      </w:r>
      <w:r w:rsidR="00B105E0" w:rsidRPr="006B6D34">
        <w:rPr>
          <w:rStyle w:val="Funotenzeichen"/>
          <w:rFonts w:cstheme="minorHAnsi"/>
          <w:bCs/>
          <w:bdr w:val="none" w:sz="0" w:space="0" w:color="auto" w:frame="1"/>
          <w:shd w:val="clear" w:color="auto" w:fill="FFFFFF"/>
          <w:lang w:val="en-GB"/>
        </w:rPr>
        <w:footnoteReference w:id="92"/>
      </w:r>
      <w:r w:rsidR="00B105E0" w:rsidRPr="006B6D34">
        <w:rPr>
          <w:rFonts w:cstheme="minorHAnsi"/>
          <w:bCs/>
          <w:bdr w:val="none" w:sz="0" w:space="0" w:color="auto" w:frame="1"/>
          <w:shd w:val="clear" w:color="auto" w:fill="FFFFFF"/>
          <w:lang w:val="en-GB"/>
        </w:rPr>
        <w:t xml:space="preserve"> R</w:t>
      </w:r>
      <w:r w:rsidR="0031775C" w:rsidRPr="006B6D34">
        <w:rPr>
          <w:rFonts w:cstheme="minorHAnsi"/>
          <w:bCs/>
          <w:bdr w:val="none" w:sz="0" w:space="0" w:color="auto" w:frame="1"/>
          <w:shd w:val="clear" w:color="auto" w:fill="FFFFFF"/>
          <w:lang w:val="en-GB"/>
        </w:rPr>
        <w:t>ather, it has subtly worked its magic</w:t>
      </w:r>
      <w:r w:rsidR="00B105E0" w:rsidRPr="006B6D34">
        <w:rPr>
          <w:rFonts w:cstheme="minorHAnsi"/>
          <w:bCs/>
          <w:bdr w:val="none" w:sz="0" w:space="0" w:color="auto" w:frame="1"/>
          <w:shd w:val="clear" w:color="auto" w:fill="FFFFFF"/>
          <w:lang w:val="en-GB"/>
        </w:rPr>
        <w:t xml:space="preserve"> in how Eliade described it, as a hierophany, a ‘manifestation of something of a wholly different order, a reality that does not belong to our world’.</w:t>
      </w:r>
      <w:r w:rsidR="00B105E0" w:rsidRPr="006B6D34">
        <w:rPr>
          <w:rStyle w:val="Funotenzeichen"/>
          <w:rFonts w:cstheme="minorHAnsi"/>
          <w:bCs/>
          <w:bdr w:val="none" w:sz="0" w:space="0" w:color="auto" w:frame="1"/>
          <w:shd w:val="clear" w:color="auto" w:fill="FFFFFF"/>
          <w:lang w:val="en-GB"/>
        </w:rPr>
        <w:footnoteReference w:id="93"/>
      </w:r>
      <w:r w:rsidR="00B105E0" w:rsidRPr="006B6D34">
        <w:rPr>
          <w:rFonts w:cstheme="minorHAnsi"/>
          <w:bCs/>
          <w:bdr w:val="none" w:sz="0" w:space="0" w:color="auto" w:frame="1"/>
          <w:shd w:val="clear" w:color="auto" w:fill="FFFFFF"/>
          <w:lang w:val="en-GB"/>
        </w:rPr>
        <w:t xml:space="preserve"> The place still has its distinct voice, as Brady described it.</w:t>
      </w:r>
      <w:r w:rsidR="00B105E0" w:rsidRPr="006B6D34">
        <w:rPr>
          <w:rStyle w:val="Funotenzeichen"/>
          <w:rFonts w:cstheme="minorHAnsi"/>
          <w:bCs/>
          <w:bdr w:val="none" w:sz="0" w:space="0" w:color="auto" w:frame="1"/>
          <w:shd w:val="clear" w:color="auto" w:fill="FFFFFF"/>
          <w:lang w:val="en-GB"/>
        </w:rPr>
        <w:footnoteReference w:id="94"/>
      </w:r>
      <w:r w:rsidR="00B105E0" w:rsidRPr="006B6D34">
        <w:rPr>
          <w:rFonts w:cstheme="minorHAnsi"/>
          <w:bCs/>
          <w:bdr w:val="none" w:sz="0" w:space="0" w:color="auto" w:frame="1"/>
          <w:shd w:val="clear" w:color="auto" w:fill="FFFFFF"/>
          <w:lang w:val="en-GB"/>
        </w:rPr>
        <w:t xml:space="preserve"> While the local tourist activity programme may seem somewhat superficial and fails to capture the </w:t>
      </w:r>
      <w:r w:rsidR="00393100" w:rsidRPr="006B6D34">
        <w:rPr>
          <w:rFonts w:cstheme="minorHAnsi"/>
          <w:bCs/>
          <w:bdr w:val="none" w:sz="0" w:space="0" w:color="auto" w:frame="1"/>
          <w:shd w:val="clear" w:color="auto" w:fill="FFFFFF"/>
          <w:lang w:val="en-GB"/>
        </w:rPr>
        <w:t>essence in full</w:t>
      </w:r>
      <w:r w:rsidR="00B105E0" w:rsidRPr="006B6D34">
        <w:rPr>
          <w:rFonts w:cstheme="minorHAnsi"/>
          <w:bCs/>
          <w:bdr w:val="none" w:sz="0" w:space="0" w:color="auto" w:frame="1"/>
          <w:shd w:val="clear" w:color="auto" w:fill="FFFFFF"/>
          <w:lang w:val="en-GB"/>
        </w:rPr>
        <w:t xml:space="preserve">, it still provides an opportunity to hear the song and listen to the voice of the rock-and-hill, engage with its love story, and sense </w:t>
      </w:r>
      <w:r w:rsidR="00393100" w:rsidRPr="006B6D34">
        <w:rPr>
          <w:rFonts w:cstheme="minorHAnsi"/>
          <w:bCs/>
          <w:bdr w:val="none" w:sz="0" w:space="0" w:color="auto" w:frame="1"/>
          <w:shd w:val="clear" w:color="auto" w:fill="FFFFFF"/>
          <w:lang w:val="en-GB"/>
        </w:rPr>
        <w:t>the</w:t>
      </w:r>
      <w:r w:rsidR="00B105E0" w:rsidRPr="006B6D34">
        <w:rPr>
          <w:rFonts w:cstheme="minorHAnsi"/>
          <w:bCs/>
          <w:bdr w:val="none" w:sz="0" w:space="0" w:color="auto" w:frame="1"/>
          <w:shd w:val="clear" w:color="auto" w:fill="FFFFFF"/>
          <w:lang w:val="en-GB"/>
        </w:rPr>
        <w:t xml:space="preserve"> sacredness</w:t>
      </w:r>
      <w:r w:rsidR="00393100" w:rsidRPr="006B6D34">
        <w:rPr>
          <w:rFonts w:cstheme="minorHAnsi"/>
          <w:bCs/>
          <w:bdr w:val="none" w:sz="0" w:space="0" w:color="auto" w:frame="1"/>
          <w:shd w:val="clear" w:color="auto" w:fill="FFFFFF"/>
          <w:lang w:val="en-GB"/>
        </w:rPr>
        <w:t xml:space="preserve"> it exudes over the entire region</w:t>
      </w:r>
      <w:r w:rsidR="00B105E0" w:rsidRPr="006B6D34">
        <w:rPr>
          <w:rFonts w:cstheme="minorHAnsi"/>
          <w:bCs/>
          <w:bdr w:val="none" w:sz="0" w:space="0" w:color="auto" w:frame="1"/>
          <w:shd w:val="clear" w:color="auto" w:fill="FFFFFF"/>
          <w:lang w:val="en-GB"/>
        </w:rPr>
        <w:t xml:space="preserve">. </w:t>
      </w:r>
    </w:p>
    <w:p w14:paraId="4FA0B579" w14:textId="77777777" w:rsidR="006B6D34" w:rsidRPr="006B6D34" w:rsidRDefault="006B6D34" w:rsidP="00393100">
      <w:pPr>
        <w:rPr>
          <w:rFonts w:cstheme="minorHAnsi"/>
          <w:bCs/>
          <w:bdr w:val="none" w:sz="0" w:space="0" w:color="auto" w:frame="1"/>
          <w:shd w:val="clear" w:color="auto" w:fill="FFFFFF"/>
          <w:lang w:val="en-GB"/>
        </w:rPr>
      </w:pPr>
    </w:p>
    <w:p w14:paraId="431C1FB0" w14:textId="41AAF8FE" w:rsidR="006B6D34" w:rsidRPr="006B6D34" w:rsidRDefault="006B6D34" w:rsidP="00393100">
      <w:pPr>
        <w:rPr>
          <w:rFonts w:cstheme="minorHAnsi"/>
          <w:bCs/>
          <w:bdr w:val="none" w:sz="0" w:space="0" w:color="auto" w:frame="1"/>
          <w:shd w:val="clear" w:color="auto" w:fill="FFFFFF"/>
          <w:lang w:val="en-GB"/>
        </w:rPr>
      </w:pPr>
      <w:r w:rsidRPr="006B6D34">
        <w:rPr>
          <w:rFonts w:cstheme="minorHAnsi"/>
          <w:bCs/>
          <w:bdr w:val="none" w:sz="0" w:space="0" w:color="auto" w:frame="1"/>
          <w:shd w:val="clear" w:color="auto" w:fill="FFFFFF"/>
          <w:lang w:val="en-GB"/>
        </w:rPr>
        <w:t>Bibliography</w:t>
      </w:r>
    </w:p>
    <w:p w14:paraId="18AF4F77" w14:textId="77777777" w:rsidR="006B6D34" w:rsidRDefault="006B6D34" w:rsidP="006B6D34">
      <w:pPr>
        <w:pStyle w:val="Funotentext"/>
        <w:rPr>
          <w:sz w:val="22"/>
          <w:szCs w:val="22"/>
          <w:lang w:val="en-GB"/>
        </w:rPr>
      </w:pPr>
      <w:r w:rsidRPr="00C85976">
        <w:rPr>
          <w:sz w:val="22"/>
          <w:szCs w:val="22"/>
          <w:lang w:val="en-GB"/>
        </w:rPr>
        <w:t>Brady,</w:t>
      </w:r>
      <w:r w:rsidRPr="00C85976">
        <w:rPr>
          <w:rStyle w:val="Funotenzeichen"/>
          <w:sz w:val="22"/>
          <w:szCs w:val="22"/>
          <w:lang w:val="en-GB"/>
        </w:rPr>
        <w:t xml:space="preserve"> </w:t>
      </w:r>
      <w:r w:rsidRPr="00C85976">
        <w:rPr>
          <w:sz w:val="22"/>
          <w:szCs w:val="22"/>
          <w:lang w:val="en-GB"/>
        </w:rPr>
        <w:t>Bernadette</w:t>
      </w:r>
      <w:r>
        <w:rPr>
          <w:sz w:val="22"/>
          <w:szCs w:val="22"/>
          <w:lang w:val="en-GB"/>
        </w:rPr>
        <w:t>,</w:t>
      </w:r>
      <w:r w:rsidRPr="00C85976">
        <w:rPr>
          <w:sz w:val="22"/>
          <w:szCs w:val="22"/>
          <w:lang w:val="en-GB"/>
        </w:rPr>
        <w:t xml:space="preserve"> ‘Introduction Part I’, </w:t>
      </w:r>
      <w:r w:rsidRPr="00C85976">
        <w:rPr>
          <w:i/>
          <w:iCs/>
          <w:sz w:val="22"/>
          <w:szCs w:val="22"/>
          <w:lang w:val="en-GB"/>
        </w:rPr>
        <w:t xml:space="preserve">Sacred Geography: Conversations </w:t>
      </w:r>
      <w:proofErr w:type="gramStart"/>
      <w:r w:rsidRPr="00C85976">
        <w:rPr>
          <w:i/>
          <w:iCs/>
          <w:sz w:val="22"/>
          <w:szCs w:val="22"/>
          <w:lang w:val="en-GB"/>
        </w:rPr>
        <w:t>With</w:t>
      </w:r>
      <w:proofErr w:type="gramEnd"/>
      <w:r w:rsidRPr="00C85976">
        <w:rPr>
          <w:i/>
          <w:iCs/>
          <w:sz w:val="22"/>
          <w:szCs w:val="22"/>
          <w:lang w:val="en-GB"/>
        </w:rPr>
        <w:t xml:space="preserve"> </w:t>
      </w:r>
      <w:proofErr w:type="gramStart"/>
      <w:r w:rsidRPr="00C85976">
        <w:rPr>
          <w:i/>
          <w:iCs/>
          <w:sz w:val="22"/>
          <w:szCs w:val="22"/>
          <w:lang w:val="en-GB"/>
        </w:rPr>
        <w:t>The</w:t>
      </w:r>
      <w:proofErr w:type="gramEnd"/>
      <w:r w:rsidRPr="00C85976">
        <w:rPr>
          <w:i/>
          <w:iCs/>
          <w:sz w:val="22"/>
          <w:szCs w:val="22"/>
          <w:lang w:val="en-GB"/>
        </w:rPr>
        <w:t xml:space="preserve"> Other</w:t>
      </w:r>
      <w:r w:rsidRPr="00C85976">
        <w:rPr>
          <w:sz w:val="22"/>
          <w:szCs w:val="22"/>
          <w:lang w:val="en-GB"/>
        </w:rPr>
        <w:t xml:space="preserve">, (Ceredigion, Wales: Sophia </w:t>
      </w:r>
      <w:proofErr w:type="spellStart"/>
      <w:r w:rsidRPr="00C85976">
        <w:rPr>
          <w:sz w:val="22"/>
          <w:szCs w:val="22"/>
          <w:lang w:val="en-GB"/>
        </w:rPr>
        <w:t>Center</w:t>
      </w:r>
      <w:proofErr w:type="spellEnd"/>
      <w:r w:rsidRPr="00C85976">
        <w:rPr>
          <w:sz w:val="22"/>
          <w:szCs w:val="22"/>
          <w:lang w:val="en-GB"/>
        </w:rPr>
        <w:t xml:space="preserve"> Press, 2024)</w:t>
      </w:r>
      <w:r>
        <w:rPr>
          <w:sz w:val="22"/>
          <w:szCs w:val="22"/>
          <w:lang w:val="en-GB"/>
        </w:rPr>
        <w:t>.</w:t>
      </w:r>
    </w:p>
    <w:p w14:paraId="18885928" w14:textId="77777777" w:rsidR="006B6D34" w:rsidRDefault="006B6D34" w:rsidP="006B6D34">
      <w:pPr>
        <w:pStyle w:val="Funotentext"/>
        <w:rPr>
          <w:sz w:val="22"/>
          <w:szCs w:val="22"/>
          <w:lang w:val="en-GB"/>
        </w:rPr>
      </w:pPr>
    </w:p>
    <w:p w14:paraId="41D10D9A" w14:textId="77777777" w:rsidR="006B6D34" w:rsidRDefault="006B6D34" w:rsidP="006B6D34">
      <w:pPr>
        <w:pStyle w:val="Funotentext"/>
        <w:rPr>
          <w:sz w:val="22"/>
          <w:szCs w:val="22"/>
          <w:lang w:val="en-GB"/>
        </w:rPr>
      </w:pPr>
      <w:r w:rsidRPr="00C951FA">
        <w:rPr>
          <w:sz w:val="22"/>
          <w:szCs w:val="22"/>
          <w:lang w:val="en-GB"/>
        </w:rPr>
        <w:t xml:space="preserve">Durkheim, Émile, </w:t>
      </w:r>
      <w:r w:rsidRPr="00C951FA">
        <w:rPr>
          <w:i/>
          <w:iCs/>
          <w:sz w:val="22"/>
          <w:szCs w:val="22"/>
          <w:lang w:val="en-GB"/>
        </w:rPr>
        <w:t xml:space="preserve">The Elementary Forms of Religious Life </w:t>
      </w:r>
      <w:r w:rsidRPr="00C951FA">
        <w:rPr>
          <w:sz w:val="22"/>
          <w:szCs w:val="22"/>
          <w:lang w:val="en-GB"/>
        </w:rPr>
        <w:t>(New York: The Free Press, 1995).</w:t>
      </w:r>
    </w:p>
    <w:p w14:paraId="0C039E05" w14:textId="77777777" w:rsidR="006B6D34" w:rsidRPr="00C951FA" w:rsidRDefault="006B6D34" w:rsidP="006B6D34">
      <w:pPr>
        <w:pStyle w:val="Funotentext"/>
        <w:rPr>
          <w:sz w:val="22"/>
          <w:szCs w:val="22"/>
          <w:lang w:val="en-GB"/>
        </w:rPr>
      </w:pPr>
    </w:p>
    <w:p w14:paraId="01D1EDD4" w14:textId="77777777" w:rsidR="006B6D34" w:rsidRDefault="006B6D34" w:rsidP="006B6D34">
      <w:pPr>
        <w:pStyle w:val="Funotentext"/>
        <w:rPr>
          <w:sz w:val="22"/>
          <w:szCs w:val="22"/>
          <w:lang w:val="en-GB"/>
        </w:rPr>
      </w:pPr>
      <w:r w:rsidRPr="00BD6B4E">
        <w:rPr>
          <w:sz w:val="22"/>
          <w:szCs w:val="22"/>
          <w:lang w:val="en-GB"/>
        </w:rPr>
        <w:t>Eliade</w:t>
      </w:r>
      <w:r>
        <w:rPr>
          <w:sz w:val="22"/>
          <w:szCs w:val="22"/>
          <w:lang w:val="en-GB"/>
        </w:rPr>
        <w:t xml:space="preserve">, </w:t>
      </w:r>
      <w:r w:rsidRPr="00BD6B4E">
        <w:rPr>
          <w:sz w:val="22"/>
          <w:szCs w:val="22"/>
          <w:lang w:val="en-GB"/>
        </w:rPr>
        <w:t xml:space="preserve">Mircea, </w:t>
      </w:r>
      <w:r w:rsidRPr="00BD6B4E">
        <w:rPr>
          <w:i/>
          <w:iCs/>
          <w:sz w:val="22"/>
          <w:szCs w:val="22"/>
          <w:lang w:val="en-GB"/>
        </w:rPr>
        <w:t>The Sacred and the Profane: The Nature of Religion</w:t>
      </w:r>
      <w:r w:rsidRPr="00BD6B4E">
        <w:rPr>
          <w:sz w:val="22"/>
          <w:szCs w:val="22"/>
          <w:lang w:val="en-GB"/>
        </w:rPr>
        <w:t xml:space="preserve"> (New York: Harcourt, Inc., 1987)</w:t>
      </w:r>
      <w:r>
        <w:rPr>
          <w:sz w:val="22"/>
          <w:szCs w:val="22"/>
          <w:lang w:val="en-GB"/>
        </w:rPr>
        <w:t>.</w:t>
      </w:r>
    </w:p>
    <w:p w14:paraId="5E0248CA" w14:textId="77777777" w:rsidR="006B6D34" w:rsidRDefault="006B6D34" w:rsidP="00393100">
      <w:pPr>
        <w:rPr>
          <w:rFonts w:ascii="Arial" w:hAnsi="Arial" w:cs="Arial"/>
          <w:bCs/>
          <w:bdr w:val="none" w:sz="0" w:space="0" w:color="auto" w:frame="1"/>
          <w:shd w:val="clear" w:color="auto" w:fill="FFFFFF"/>
          <w:lang w:val="en-GB"/>
        </w:rPr>
      </w:pPr>
    </w:p>
    <w:p w14:paraId="5CE9D9B5" w14:textId="77777777" w:rsidR="00A20D05" w:rsidRDefault="00A20D05" w:rsidP="00A20D05">
      <w:pPr>
        <w:pStyle w:val="Funotentext"/>
        <w:rPr>
          <w:sz w:val="22"/>
          <w:szCs w:val="22"/>
          <w:lang w:val="en-GB"/>
        </w:rPr>
      </w:pPr>
      <w:r w:rsidRPr="00C85976">
        <w:rPr>
          <w:sz w:val="22"/>
          <w:szCs w:val="22"/>
          <w:lang w:val="en-GB"/>
        </w:rPr>
        <w:t xml:space="preserve">Lane, Beldon C., </w:t>
      </w:r>
      <w:r w:rsidRPr="00C85976">
        <w:rPr>
          <w:i/>
          <w:iCs/>
          <w:sz w:val="22"/>
          <w:szCs w:val="22"/>
          <w:lang w:val="en-GB"/>
        </w:rPr>
        <w:t>Landscapes of the Sacred: Geography and Narrative in American Spirituality</w:t>
      </w:r>
      <w:r w:rsidRPr="00C85976">
        <w:rPr>
          <w:sz w:val="22"/>
          <w:szCs w:val="22"/>
          <w:lang w:val="en-GB"/>
        </w:rPr>
        <w:t xml:space="preserve"> (Baltimore: The John Hopkins University Press, 2001).</w:t>
      </w:r>
    </w:p>
    <w:p w14:paraId="7C40DCB3" w14:textId="77777777" w:rsidR="00A20D05" w:rsidRPr="00BD6B4E" w:rsidRDefault="00A20D05" w:rsidP="00A20D05">
      <w:pPr>
        <w:pStyle w:val="Funotentext"/>
        <w:rPr>
          <w:sz w:val="22"/>
          <w:szCs w:val="22"/>
          <w:lang w:val="en-GB"/>
        </w:rPr>
      </w:pPr>
    </w:p>
    <w:p w14:paraId="5F5FCC57" w14:textId="77777777" w:rsidR="00A20D05" w:rsidRDefault="00A20D05" w:rsidP="00A20D05">
      <w:pPr>
        <w:pStyle w:val="Funotentext"/>
        <w:rPr>
          <w:sz w:val="22"/>
          <w:szCs w:val="22"/>
          <w:lang w:val="en-GB"/>
        </w:rPr>
      </w:pPr>
      <w:r w:rsidRPr="00C85976">
        <w:rPr>
          <w:sz w:val="22"/>
          <w:szCs w:val="22"/>
          <w:lang w:val="en-GB"/>
        </w:rPr>
        <w:t>Thorley</w:t>
      </w:r>
      <w:r>
        <w:rPr>
          <w:sz w:val="22"/>
          <w:szCs w:val="22"/>
          <w:lang w:val="en-GB"/>
        </w:rPr>
        <w:t>,</w:t>
      </w:r>
      <w:r w:rsidRPr="00C85976">
        <w:rPr>
          <w:sz w:val="22"/>
          <w:szCs w:val="22"/>
          <w:lang w:val="en-GB"/>
        </w:rPr>
        <w:t xml:space="preserve"> Anthony and Gunn, Celia M</w:t>
      </w:r>
      <w:r>
        <w:rPr>
          <w:sz w:val="22"/>
          <w:szCs w:val="22"/>
          <w:lang w:val="en-GB"/>
        </w:rPr>
        <w:t>.,</w:t>
      </w:r>
      <w:r w:rsidRPr="00C85976">
        <w:rPr>
          <w:sz w:val="22"/>
          <w:szCs w:val="22"/>
          <w:lang w:val="en-GB"/>
        </w:rPr>
        <w:t xml:space="preserve"> ‘Sacred Sites: An Overview’, </w:t>
      </w:r>
      <w:r w:rsidRPr="00C85976">
        <w:rPr>
          <w:i/>
          <w:iCs/>
          <w:sz w:val="22"/>
          <w:szCs w:val="22"/>
          <w:lang w:val="en-GB"/>
        </w:rPr>
        <w:t>A Report for The Gaia Foundation</w:t>
      </w:r>
      <w:r w:rsidRPr="00C85976">
        <w:rPr>
          <w:sz w:val="22"/>
          <w:szCs w:val="22"/>
          <w:lang w:val="en-GB"/>
        </w:rPr>
        <w:t>, 2008 &lt;https://www.academia.edu/103607950/Sacred_Sites_An_Overview</w:t>
      </w:r>
      <w:proofErr w:type="gramStart"/>
      <w:r w:rsidRPr="00C85976">
        <w:rPr>
          <w:sz w:val="22"/>
          <w:szCs w:val="22"/>
          <w:lang w:val="en-GB"/>
        </w:rPr>
        <w:t>&gt;  [</w:t>
      </w:r>
      <w:proofErr w:type="gramEnd"/>
      <w:r w:rsidRPr="00C85976">
        <w:rPr>
          <w:sz w:val="22"/>
          <w:szCs w:val="22"/>
          <w:lang w:val="en-GB"/>
        </w:rPr>
        <w:t>accessed 7 October 2025]</w:t>
      </w:r>
    </w:p>
    <w:p w14:paraId="46B9B1E1" w14:textId="77777777" w:rsidR="00A20D05" w:rsidRPr="0014642A" w:rsidRDefault="00A20D05" w:rsidP="00393100">
      <w:pPr>
        <w:rPr>
          <w:rFonts w:ascii="Arial" w:hAnsi="Arial" w:cs="Arial"/>
          <w:bCs/>
          <w:bdr w:val="none" w:sz="0" w:space="0" w:color="auto" w:frame="1"/>
          <w:shd w:val="clear" w:color="auto" w:fill="FFFFFF"/>
          <w:lang w:val="en-GB"/>
        </w:rPr>
      </w:pPr>
    </w:p>
    <w:sectPr w:rsidR="00A20D05" w:rsidRPr="0014642A">
      <w:head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39DC1" w14:textId="77777777" w:rsidR="00C420E7" w:rsidRDefault="00C420E7" w:rsidP="00550A02">
      <w:pPr>
        <w:spacing w:after="0" w:line="240" w:lineRule="auto"/>
      </w:pPr>
      <w:r>
        <w:separator/>
      </w:r>
    </w:p>
  </w:endnote>
  <w:endnote w:type="continuationSeparator" w:id="0">
    <w:p w14:paraId="7B1D5556" w14:textId="77777777" w:rsidR="00C420E7" w:rsidRDefault="00C420E7" w:rsidP="00550A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4E8AB" w14:textId="77777777" w:rsidR="00C420E7" w:rsidRDefault="00C420E7" w:rsidP="00550A02">
      <w:pPr>
        <w:spacing w:after="0" w:line="240" w:lineRule="auto"/>
      </w:pPr>
      <w:r>
        <w:separator/>
      </w:r>
    </w:p>
  </w:footnote>
  <w:footnote w:type="continuationSeparator" w:id="0">
    <w:p w14:paraId="6C60C28E" w14:textId="77777777" w:rsidR="00C420E7" w:rsidRDefault="00C420E7" w:rsidP="00550A02">
      <w:pPr>
        <w:spacing w:after="0" w:line="240" w:lineRule="auto"/>
      </w:pPr>
      <w:r>
        <w:continuationSeparator/>
      </w:r>
    </w:p>
  </w:footnote>
  <w:footnote w:id="1">
    <w:p w14:paraId="1E8D8971" w14:textId="77777777" w:rsidR="00A833ED" w:rsidRPr="003D23AD" w:rsidRDefault="00A833ED" w:rsidP="00A833ED">
      <w:pPr>
        <w:pStyle w:val="Funotentext"/>
      </w:pPr>
      <w:r>
        <w:rPr>
          <w:rStyle w:val="Funotenzeichen"/>
        </w:rPr>
        <w:footnoteRef/>
      </w:r>
      <w:r w:rsidRPr="003D23AD">
        <w:t xml:space="preserve"> </w:t>
      </w:r>
      <w:r w:rsidRPr="006B6D34">
        <w:t>Otto von Greyerz</w:t>
      </w:r>
      <w:r>
        <w:t>, ‘</w:t>
      </w:r>
      <w:r w:rsidRPr="006B6D34">
        <w:t xml:space="preserve">Das Alte </w:t>
      </w:r>
      <w:proofErr w:type="spellStart"/>
      <w:r w:rsidRPr="006B6D34">
        <w:t>Guggisberger</w:t>
      </w:r>
      <w:proofErr w:type="spellEnd"/>
      <w:r w:rsidRPr="006B6D34">
        <w:t xml:space="preserve"> Lied</w:t>
      </w:r>
      <w:r>
        <w:t xml:space="preserve">’ in </w:t>
      </w:r>
      <w:r w:rsidRPr="006B6D34">
        <w:rPr>
          <w:i/>
          <w:iCs/>
        </w:rPr>
        <w:t>Schweizerisches Archiv für Volkskunde</w:t>
      </w:r>
      <w:r w:rsidRPr="006B6D34">
        <w:t xml:space="preserve"> Schweizerische Gesellschaft für Volkskunde</w:t>
      </w:r>
      <w:r>
        <w:t xml:space="preserve">, </w:t>
      </w:r>
      <w:r w:rsidRPr="006B6D34">
        <w:t>16 (1912)</w:t>
      </w:r>
      <w:r>
        <w:t>, pp. 193-212.</w:t>
      </w:r>
    </w:p>
  </w:footnote>
  <w:footnote w:id="2">
    <w:p w14:paraId="30BC8727" w14:textId="77777777" w:rsidR="005256F3" w:rsidRDefault="005256F3" w:rsidP="005256F3">
      <w:pPr>
        <w:pStyle w:val="Funotentext"/>
      </w:pPr>
      <w:r>
        <w:rPr>
          <w:rStyle w:val="Funotenzeichen"/>
        </w:rPr>
        <w:footnoteRef/>
      </w:r>
      <w:r>
        <w:t xml:space="preserve"> Kurt Derungs, </w:t>
      </w:r>
      <w:r w:rsidRPr="00E51667">
        <w:rPr>
          <w:i/>
          <w:iCs/>
        </w:rPr>
        <w:t xml:space="preserve">Geheimnisvolles Bern: Sakrale Stätten an der Aare </w:t>
      </w:r>
      <w:r>
        <w:t>(Grenchen: Amalia Books, 2016), p.212.</w:t>
      </w:r>
    </w:p>
  </w:footnote>
  <w:footnote w:id="3">
    <w:p w14:paraId="7F86B5A2" w14:textId="77777777" w:rsidR="001B414A" w:rsidRPr="00550A02" w:rsidRDefault="001B414A" w:rsidP="001B414A">
      <w:pPr>
        <w:pStyle w:val="Funotentext"/>
        <w:rPr>
          <w:lang w:val="en-GB"/>
        </w:rPr>
      </w:pPr>
      <w:r>
        <w:rPr>
          <w:rStyle w:val="Funotenzeichen"/>
        </w:rPr>
        <w:footnoteRef/>
      </w:r>
      <w:r w:rsidRPr="00550A02">
        <w:rPr>
          <w:lang w:val="en-GB"/>
        </w:rPr>
        <w:t xml:space="preserve"> Darrelyn Gunzburg and Bernadette Brady</w:t>
      </w:r>
      <w:r w:rsidRPr="00550A02">
        <w:rPr>
          <w:i/>
          <w:iCs/>
          <w:lang w:val="en-GB"/>
        </w:rPr>
        <w:t xml:space="preserve">, Space, Place and Religious Landscapes: Living Mountains </w:t>
      </w:r>
      <w:r w:rsidRPr="00E51667">
        <w:rPr>
          <w:lang w:val="en-GB"/>
        </w:rPr>
        <w:t>(London, New York, Oxford, New Delhi, Sydney: Bloomsbury Academic, 2021),</w:t>
      </w:r>
      <w:r w:rsidRPr="00550A02">
        <w:rPr>
          <w:i/>
          <w:iCs/>
          <w:lang w:val="en-GB"/>
        </w:rPr>
        <w:t xml:space="preserve"> </w:t>
      </w:r>
      <w:r w:rsidRPr="00550A02">
        <w:rPr>
          <w:lang w:val="en-GB"/>
        </w:rPr>
        <w:t>p. 1.</w:t>
      </w:r>
    </w:p>
  </w:footnote>
  <w:footnote w:id="4">
    <w:p w14:paraId="60E9C75E" w14:textId="739418F6" w:rsidR="006B6D34" w:rsidRDefault="00703B1B" w:rsidP="006B6D34">
      <w:pPr>
        <w:pStyle w:val="Funotentext"/>
      </w:pPr>
      <w:r>
        <w:rPr>
          <w:rStyle w:val="Funotenzeichen"/>
        </w:rPr>
        <w:footnoteRef/>
      </w:r>
      <w:r w:rsidRPr="006B6D34">
        <w:t xml:space="preserve"> </w:t>
      </w:r>
      <w:r w:rsidR="003D23AD">
        <w:t>V</w:t>
      </w:r>
      <w:r w:rsidRPr="006B6D34">
        <w:t>on Greyerz</w:t>
      </w:r>
      <w:r w:rsidR="006B6D34">
        <w:t>, ‘</w:t>
      </w:r>
      <w:r w:rsidR="006B6D34" w:rsidRPr="006B6D34">
        <w:t xml:space="preserve">Das Alte </w:t>
      </w:r>
      <w:proofErr w:type="spellStart"/>
      <w:r w:rsidR="006B6D34" w:rsidRPr="006B6D34">
        <w:t>Guggisberger</w:t>
      </w:r>
      <w:proofErr w:type="spellEnd"/>
      <w:r w:rsidR="006B6D34" w:rsidRPr="006B6D34">
        <w:t xml:space="preserve"> Lied</w:t>
      </w:r>
      <w:r w:rsidR="006B6D34">
        <w:t>’</w:t>
      </w:r>
      <w:r w:rsidR="003D23AD">
        <w:t xml:space="preserve">, </w:t>
      </w:r>
      <w:r w:rsidR="006B6D34">
        <w:t xml:space="preserve">p. 195. </w:t>
      </w:r>
    </w:p>
    <w:p w14:paraId="63C15125" w14:textId="79344710" w:rsidR="00703B1B" w:rsidRPr="006B6D34" w:rsidRDefault="006B6D34" w:rsidP="006B6D34">
      <w:pPr>
        <w:pStyle w:val="Funotentext"/>
        <w:rPr>
          <w:lang w:val="en-GB"/>
        </w:rPr>
      </w:pPr>
      <w:r w:rsidRPr="000D2305">
        <w:rPr>
          <w:lang w:val="en-GB"/>
        </w:rPr>
        <w:t>&lt;https://doi.org/10.5169/seals-111443&gt;</w:t>
      </w:r>
    </w:p>
  </w:footnote>
  <w:footnote w:id="5">
    <w:p w14:paraId="3AD4217C" w14:textId="20EA0709" w:rsidR="00B37AA1" w:rsidRPr="00F61B06" w:rsidRDefault="00B37AA1" w:rsidP="00B37AA1">
      <w:pPr>
        <w:pStyle w:val="Funotentext"/>
        <w:rPr>
          <w:lang w:val="en-GB"/>
        </w:rPr>
      </w:pPr>
      <w:r>
        <w:rPr>
          <w:rStyle w:val="Funotenzeichen"/>
        </w:rPr>
        <w:footnoteRef/>
      </w:r>
      <w:r w:rsidRPr="00F61B06">
        <w:rPr>
          <w:lang w:val="en-GB"/>
        </w:rPr>
        <w:t xml:space="preserve"> </w:t>
      </w:r>
      <w:bookmarkStart w:id="0" w:name="_Hlk218491077"/>
      <w:r w:rsidR="006B6D34" w:rsidRPr="000D2305">
        <w:rPr>
          <w:lang w:val="en-GB"/>
        </w:rPr>
        <w:t xml:space="preserve">Ronald </w:t>
      </w:r>
      <w:r w:rsidRPr="000D2305">
        <w:rPr>
          <w:lang w:val="en-GB"/>
        </w:rPr>
        <w:t xml:space="preserve">Hutton, </w:t>
      </w:r>
      <w:r w:rsidRPr="000D2305">
        <w:rPr>
          <w:i/>
          <w:iCs/>
          <w:lang w:val="en-GB"/>
        </w:rPr>
        <w:t xml:space="preserve">Queens </w:t>
      </w:r>
      <w:proofErr w:type="gramStart"/>
      <w:r w:rsidR="006B6D34" w:rsidRPr="000D2305">
        <w:rPr>
          <w:i/>
          <w:iCs/>
          <w:lang w:val="en-GB"/>
        </w:rPr>
        <w:t>Of</w:t>
      </w:r>
      <w:proofErr w:type="gramEnd"/>
      <w:r w:rsidR="006B6D34" w:rsidRPr="000D2305">
        <w:rPr>
          <w:i/>
          <w:iCs/>
          <w:lang w:val="en-GB"/>
        </w:rPr>
        <w:t xml:space="preserve"> </w:t>
      </w:r>
      <w:proofErr w:type="gramStart"/>
      <w:r w:rsidR="006B6D34" w:rsidRPr="000D2305">
        <w:rPr>
          <w:i/>
          <w:iCs/>
          <w:lang w:val="en-GB"/>
        </w:rPr>
        <w:t>The</w:t>
      </w:r>
      <w:proofErr w:type="gramEnd"/>
      <w:r w:rsidR="006B6D34" w:rsidRPr="000D2305">
        <w:rPr>
          <w:i/>
          <w:iCs/>
          <w:lang w:val="en-GB"/>
        </w:rPr>
        <w:t xml:space="preserve"> </w:t>
      </w:r>
      <w:r w:rsidRPr="000D2305">
        <w:rPr>
          <w:i/>
          <w:iCs/>
          <w:lang w:val="en-GB"/>
        </w:rPr>
        <w:t>Wild</w:t>
      </w:r>
      <w:r w:rsidR="006B6D34" w:rsidRPr="000D2305">
        <w:rPr>
          <w:i/>
          <w:iCs/>
          <w:lang w:val="en-GB"/>
        </w:rPr>
        <w:t xml:space="preserve">: </w:t>
      </w:r>
      <w:r w:rsidRPr="000D2305">
        <w:rPr>
          <w:i/>
          <w:iCs/>
          <w:lang w:val="en-GB"/>
        </w:rPr>
        <w:t xml:space="preserve">Pagan Goddesses </w:t>
      </w:r>
      <w:proofErr w:type="gramStart"/>
      <w:r w:rsidR="006B6D34" w:rsidRPr="000D2305">
        <w:rPr>
          <w:i/>
          <w:iCs/>
          <w:lang w:val="en-GB"/>
        </w:rPr>
        <w:t>In</w:t>
      </w:r>
      <w:proofErr w:type="gramEnd"/>
      <w:r w:rsidR="006B6D34" w:rsidRPr="000D2305">
        <w:rPr>
          <w:i/>
          <w:iCs/>
          <w:lang w:val="en-GB"/>
        </w:rPr>
        <w:t xml:space="preserve"> </w:t>
      </w:r>
      <w:r w:rsidRPr="000D2305">
        <w:rPr>
          <w:i/>
          <w:iCs/>
          <w:lang w:val="en-GB"/>
        </w:rPr>
        <w:t>Christian Europe</w:t>
      </w:r>
      <w:r w:rsidR="006B6D34" w:rsidRPr="000D2305">
        <w:rPr>
          <w:i/>
          <w:iCs/>
          <w:lang w:val="en-GB"/>
        </w:rPr>
        <w:t xml:space="preserve">: </w:t>
      </w:r>
      <w:r w:rsidRPr="000D2305">
        <w:rPr>
          <w:i/>
          <w:iCs/>
          <w:lang w:val="en-GB"/>
        </w:rPr>
        <w:t>An Investigation</w:t>
      </w:r>
      <w:r w:rsidRPr="000D2305">
        <w:rPr>
          <w:lang w:val="en-GB"/>
        </w:rPr>
        <w:t>,</w:t>
      </w:r>
      <w:r w:rsidR="000D2305">
        <w:rPr>
          <w:lang w:val="en-GB"/>
        </w:rPr>
        <w:t xml:space="preserve"> </w:t>
      </w:r>
      <w:r w:rsidR="000D2305">
        <w:rPr>
          <w:lang w:val="en-GB"/>
        </w:rPr>
        <w:t>(New Haven and London: Yale University Press, 2023)</w:t>
      </w:r>
      <w:r w:rsidR="000D2305">
        <w:rPr>
          <w:lang w:val="en-GB"/>
        </w:rPr>
        <w:t>,</w:t>
      </w:r>
      <w:r w:rsidRPr="000D2305">
        <w:rPr>
          <w:lang w:val="en-GB"/>
        </w:rPr>
        <w:t xml:space="preserve"> p. 126.</w:t>
      </w:r>
      <w:bookmarkEnd w:id="0"/>
    </w:p>
  </w:footnote>
  <w:footnote w:id="6">
    <w:p w14:paraId="35463EEA" w14:textId="7A41B8B0" w:rsidR="00A20D05" w:rsidRPr="00A20D05" w:rsidRDefault="00A20D05">
      <w:pPr>
        <w:pStyle w:val="Funotentext"/>
        <w:rPr>
          <w:lang w:val="en-GB"/>
        </w:rPr>
      </w:pPr>
      <w:r>
        <w:rPr>
          <w:rStyle w:val="Funotenzeichen"/>
        </w:rPr>
        <w:footnoteRef/>
      </w:r>
      <w:r w:rsidRPr="00A20D05">
        <w:rPr>
          <w:lang w:val="en-GB"/>
        </w:rPr>
        <w:t xml:space="preserve"> </w:t>
      </w:r>
      <w:r>
        <w:rPr>
          <w:lang w:val="en-GB"/>
        </w:rPr>
        <w:t xml:space="preserve">Mircea </w:t>
      </w:r>
      <w:r w:rsidRPr="00DA1D36">
        <w:rPr>
          <w:lang w:val="en-GB"/>
        </w:rPr>
        <w:t xml:space="preserve">Eliade, </w:t>
      </w:r>
      <w:r w:rsidRPr="007F2A73">
        <w:rPr>
          <w:i/>
          <w:iCs/>
          <w:lang w:val="en-GB"/>
        </w:rPr>
        <w:t xml:space="preserve">The Sacred </w:t>
      </w:r>
      <w:proofErr w:type="gramStart"/>
      <w:r w:rsidR="00F05B50">
        <w:rPr>
          <w:i/>
          <w:iCs/>
          <w:lang w:val="en-GB"/>
        </w:rPr>
        <w:t>A</w:t>
      </w:r>
      <w:r w:rsidRPr="007F2A73">
        <w:rPr>
          <w:i/>
          <w:iCs/>
          <w:lang w:val="en-GB"/>
        </w:rPr>
        <w:t>nd</w:t>
      </w:r>
      <w:proofErr w:type="gramEnd"/>
      <w:r w:rsidRPr="007F2A73">
        <w:rPr>
          <w:i/>
          <w:iCs/>
          <w:lang w:val="en-GB"/>
        </w:rPr>
        <w:t xml:space="preserve"> </w:t>
      </w:r>
      <w:proofErr w:type="gramStart"/>
      <w:r w:rsidR="00F05B50">
        <w:rPr>
          <w:i/>
          <w:iCs/>
          <w:lang w:val="en-GB"/>
        </w:rPr>
        <w:t>T</w:t>
      </w:r>
      <w:r w:rsidRPr="007F2A73">
        <w:rPr>
          <w:i/>
          <w:iCs/>
          <w:lang w:val="en-GB"/>
        </w:rPr>
        <w:t>he</w:t>
      </w:r>
      <w:proofErr w:type="gramEnd"/>
      <w:r w:rsidRPr="007F2A73">
        <w:rPr>
          <w:i/>
          <w:iCs/>
          <w:lang w:val="en-GB"/>
        </w:rPr>
        <w:t xml:space="preserve"> Profane: The Nature </w:t>
      </w:r>
      <w:proofErr w:type="gramStart"/>
      <w:r w:rsidR="00F05B50">
        <w:rPr>
          <w:i/>
          <w:iCs/>
          <w:lang w:val="en-GB"/>
        </w:rPr>
        <w:t>O</w:t>
      </w:r>
      <w:r w:rsidRPr="007F2A73">
        <w:rPr>
          <w:i/>
          <w:iCs/>
          <w:lang w:val="en-GB"/>
        </w:rPr>
        <w:t>f</w:t>
      </w:r>
      <w:proofErr w:type="gramEnd"/>
      <w:r w:rsidRPr="007F2A73">
        <w:rPr>
          <w:i/>
          <w:iCs/>
          <w:lang w:val="en-GB"/>
        </w:rPr>
        <w:t xml:space="preserve"> Religion</w:t>
      </w:r>
      <w:r>
        <w:rPr>
          <w:lang w:val="en-GB"/>
        </w:rPr>
        <w:t xml:space="preserve"> (New York: Harcourt, Inc., 1987), </w:t>
      </w:r>
    </w:p>
  </w:footnote>
  <w:footnote w:id="7">
    <w:p w14:paraId="436F2BD4" w14:textId="43FCAFC9" w:rsidR="00A20D05" w:rsidRPr="00A20D05" w:rsidRDefault="00A20D05" w:rsidP="00A20D05">
      <w:pPr>
        <w:pStyle w:val="Funotentext"/>
        <w:rPr>
          <w:lang w:val="en-GB"/>
        </w:rPr>
      </w:pPr>
      <w:r>
        <w:rPr>
          <w:rStyle w:val="Funotenzeichen"/>
        </w:rPr>
        <w:footnoteRef/>
      </w:r>
      <w:r w:rsidRPr="00A20D05">
        <w:rPr>
          <w:lang w:val="en-GB"/>
        </w:rPr>
        <w:t xml:space="preserve"> </w:t>
      </w:r>
      <w:r w:rsidRPr="008F5931">
        <w:rPr>
          <w:lang w:val="en-GB"/>
        </w:rPr>
        <w:t>Émile Durkheim</w:t>
      </w:r>
      <w:r>
        <w:rPr>
          <w:lang w:val="en-GB"/>
        </w:rPr>
        <w:t xml:space="preserve">, </w:t>
      </w:r>
      <w:r w:rsidRPr="008F5931">
        <w:rPr>
          <w:i/>
          <w:iCs/>
          <w:lang w:val="en-GB"/>
        </w:rPr>
        <w:t xml:space="preserve">The Elementary Forms </w:t>
      </w:r>
      <w:proofErr w:type="gramStart"/>
      <w:r w:rsidR="00F05B50">
        <w:rPr>
          <w:i/>
          <w:iCs/>
          <w:lang w:val="en-GB"/>
        </w:rPr>
        <w:t>O</w:t>
      </w:r>
      <w:r w:rsidRPr="008F5931">
        <w:rPr>
          <w:i/>
          <w:iCs/>
          <w:lang w:val="en-GB"/>
        </w:rPr>
        <w:t>f</w:t>
      </w:r>
      <w:proofErr w:type="gramEnd"/>
      <w:r w:rsidRPr="008F5931">
        <w:rPr>
          <w:i/>
          <w:iCs/>
          <w:lang w:val="en-GB"/>
        </w:rPr>
        <w:t xml:space="preserve"> Religious Life</w:t>
      </w:r>
      <w:r>
        <w:rPr>
          <w:i/>
          <w:iCs/>
          <w:lang w:val="en-GB"/>
        </w:rPr>
        <w:t xml:space="preserve"> </w:t>
      </w:r>
      <w:r w:rsidRPr="001A17E7">
        <w:rPr>
          <w:lang w:val="en-GB"/>
        </w:rPr>
        <w:t>(New York:</w:t>
      </w:r>
      <w:r>
        <w:rPr>
          <w:lang w:val="en-GB"/>
        </w:rPr>
        <w:t xml:space="preserve"> The Free Press, 1995).</w:t>
      </w:r>
    </w:p>
  </w:footnote>
  <w:footnote w:id="8">
    <w:p w14:paraId="58CA0FDC" w14:textId="4E269CE6" w:rsidR="00A20D05" w:rsidRPr="00A20D05" w:rsidRDefault="00A20D05">
      <w:pPr>
        <w:pStyle w:val="Funotentext"/>
        <w:rPr>
          <w:lang w:val="en-GB"/>
        </w:rPr>
      </w:pPr>
      <w:r>
        <w:rPr>
          <w:rStyle w:val="Funotenzeichen"/>
        </w:rPr>
        <w:footnoteRef/>
      </w:r>
      <w:r w:rsidRPr="00A20D05">
        <w:rPr>
          <w:lang w:val="en-GB"/>
        </w:rPr>
        <w:t xml:space="preserve"> </w:t>
      </w:r>
      <w:r w:rsidRPr="00E81D67">
        <w:rPr>
          <w:lang w:val="en-GB"/>
        </w:rPr>
        <w:t>Beldon C</w:t>
      </w:r>
      <w:r>
        <w:rPr>
          <w:lang w:val="en-GB"/>
        </w:rPr>
        <w:t xml:space="preserve">. Lane, </w:t>
      </w:r>
      <w:r w:rsidRPr="006E3C70">
        <w:rPr>
          <w:i/>
          <w:iCs/>
          <w:lang w:val="en-GB"/>
        </w:rPr>
        <w:t xml:space="preserve">Landscapes </w:t>
      </w:r>
      <w:proofErr w:type="gramStart"/>
      <w:r w:rsidR="00F05B50">
        <w:rPr>
          <w:i/>
          <w:iCs/>
          <w:lang w:val="en-GB"/>
        </w:rPr>
        <w:t>O</w:t>
      </w:r>
      <w:r w:rsidRPr="006E3C70">
        <w:rPr>
          <w:i/>
          <w:iCs/>
          <w:lang w:val="en-GB"/>
        </w:rPr>
        <w:t>f</w:t>
      </w:r>
      <w:proofErr w:type="gramEnd"/>
      <w:r w:rsidRPr="006E3C70">
        <w:rPr>
          <w:i/>
          <w:iCs/>
          <w:lang w:val="en-GB"/>
        </w:rPr>
        <w:t xml:space="preserve"> </w:t>
      </w:r>
      <w:proofErr w:type="gramStart"/>
      <w:r w:rsidR="00F05B50">
        <w:rPr>
          <w:i/>
          <w:iCs/>
          <w:lang w:val="en-GB"/>
        </w:rPr>
        <w:t>T</w:t>
      </w:r>
      <w:r w:rsidRPr="006E3C70">
        <w:rPr>
          <w:i/>
          <w:iCs/>
          <w:lang w:val="en-GB"/>
        </w:rPr>
        <w:t>he</w:t>
      </w:r>
      <w:proofErr w:type="gramEnd"/>
      <w:r w:rsidRPr="006E3C70">
        <w:rPr>
          <w:i/>
          <w:iCs/>
          <w:lang w:val="en-GB"/>
        </w:rPr>
        <w:t xml:space="preserve"> Sacred: Geography </w:t>
      </w:r>
      <w:proofErr w:type="gramStart"/>
      <w:r w:rsidR="00F05B50">
        <w:rPr>
          <w:i/>
          <w:iCs/>
          <w:lang w:val="en-GB"/>
        </w:rPr>
        <w:t>A</w:t>
      </w:r>
      <w:r w:rsidRPr="006E3C70">
        <w:rPr>
          <w:i/>
          <w:iCs/>
          <w:lang w:val="en-GB"/>
        </w:rPr>
        <w:t>nd</w:t>
      </w:r>
      <w:proofErr w:type="gramEnd"/>
      <w:r w:rsidRPr="006E3C70">
        <w:rPr>
          <w:i/>
          <w:iCs/>
          <w:lang w:val="en-GB"/>
        </w:rPr>
        <w:t xml:space="preserve"> Narrative </w:t>
      </w:r>
      <w:proofErr w:type="gramStart"/>
      <w:r w:rsidR="00F05B50">
        <w:rPr>
          <w:i/>
          <w:iCs/>
          <w:lang w:val="en-GB"/>
        </w:rPr>
        <w:t>I</w:t>
      </w:r>
      <w:r w:rsidRPr="006E3C70">
        <w:rPr>
          <w:i/>
          <w:iCs/>
          <w:lang w:val="en-GB"/>
        </w:rPr>
        <w:t>n</w:t>
      </w:r>
      <w:proofErr w:type="gramEnd"/>
      <w:r w:rsidRPr="006E3C70">
        <w:rPr>
          <w:i/>
          <w:iCs/>
          <w:lang w:val="en-GB"/>
        </w:rPr>
        <w:t xml:space="preserve"> American Spirituality</w:t>
      </w:r>
      <w:r>
        <w:rPr>
          <w:lang w:val="en-GB"/>
        </w:rPr>
        <w:t xml:space="preserve"> (Baltimore: The John Hopkins University Press, 2001).</w:t>
      </w:r>
    </w:p>
  </w:footnote>
  <w:footnote w:id="9">
    <w:p w14:paraId="255B957C" w14:textId="7C17AD06" w:rsidR="00A20D05" w:rsidRPr="00A20D05" w:rsidRDefault="00A20D05">
      <w:pPr>
        <w:pStyle w:val="Funotentext"/>
        <w:rPr>
          <w:lang w:val="en-GB"/>
        </w:rPr>
      </w:pPr>
      <w:r>
        <w:rPr>
          <w:rStyle w:val="Funotenzeichen"/>
        </w:rPr>
        <w:footnoteRef/>
      </w:r>
      <w:r w:rsidRPr="00A20D05">
        <w:rPr>
          <w:lang w:val="en-GB"/>
        </w:rPr>
        <w:t xml:space="preserve"> </w:t>
      </w:r>
      <w:r w:rsidR="00FF4435">
        <w:rPr>
          <w:lang w:val="en-GB"/>
        </w:rPr>
        <w:t xml:space="preserve">Tim Ingold, </w:t>
      </w:r>
      <w:r w:rsidR="00FF4435" w:rsidRPr="00FF4435">
        <w:rPr>
          <w:i/>
          <w:iCs/>
          <w:lang w:val="en-GB"/>
        </w:rPr>
        <w:t>Lines: A Brief History</w:t>
      </w:r>
      <w:r w:rsidR="00FF4435" w:rsidRPr="00FF4435">
        <w:rPr>
          <w:lang w:val="en-GB"/>
        </w:rPr>
        <w:t xml:space="preserve"> (London: Routledge, 2007).</w:t>
      </w:r>
    </w:p>
  </w:footnote>
  <w:footnote w:id="10">
    <w:p w14:paraId="45A1BA30" w14:textId="1B54A3F8" w:rsidR="00FF4435" w:rsidRPr="00FF4435" w:rsidRDefault="00FF4435">
      <w:pPr>
        <w:pStyle w:val="Funotentext"/>
        <w:rPr>
          <w:lang w:val="en-GB"/>
        </w:rPr>
      </w:pPr>
      <w:r>
        <w:rPr>
          <w:rStyle w:val="Funotenzeichen"/>
        </w:rPr>
        <w:footnoteRef/>
      </w:r>
      <w:r w:rsidRPr="00FF4435">
        <w:rPr>
          <w:lang w:val="en-GB"/>
        </w:rPr>
        <w:t xml:space="preserve"> Darrelyn Gunzburg</w:t>
      </w:r>
      <w:r>
        <w:rPr>
          <w:lang w:val="en-GB"/>
        </w:rPr>
        <w:t xml:space="preserve"> and </w:t>
      </w:r>
      <w:r w:rsidR="00F05B50" w:rsidRPr="00F05B50">
        <w:rPr>
          <w:lang w:val="en-GB"/>
        </w:rPr>
        <w:t xml:space="preserve">Bernadette </w:t>
      </w:r>
      <w:r w:rsidR="00F05B50" w:rsidRPr="000D2305">
        <w:rPr>
          <w:i/>
          <w:iCs/>
          <w:lang w:val="en-GB"/>
        </w:rPr>
        <w:t>Brady</w:t>
      </w:r>
      <w:r w:rsidR="000D2305" w:rsidRPr="000D2305">
        <w:rPr>
          <w:i/>
          <w:iCs/>
          <w:lang w:val="en-GB"/>
        </w:rPr>
        <w:t xml:space="preserve">, </w:t>
      </w:r>
      <w:r w:rsidR="00F05B50" w:rsidRPr="000D2305">
        <w:rPr>
          <w:i/>
          <w:iCs/>
          <w:lang w:val="en-GB"/>
        </w:rPr>
        <w:t>Space</w:t>
      </w:r>
      <w:r w:rsidR="000D2305" w:rsidRPr="000D2305">
        <w:rPr>
          <w:i/>
          <w:iCs/>
          <w:lang w:val="en-GB"/>
        </w:rPr>
        <w:t xml:space="preserve">, </w:t>
      </w:r>
      <w:r w:rsidR="00F05B50" w:rsidRPr="000D2305">
        <w:rPr>
          <w:i/>
          <w:iCs/>
          <w:lang w:val="en-GB"/>
        </w:rPr>
        <w:t xml:space="preserve">Place </w:t>
      </w:r>
      <w:proofErr w:type="gramStart"/>
      <w:r w:rsidR="000D2305" w:rsidRPr="000D2305">
        <w:rPr>
          <w:i/>
          <w:iCs/>
          <w:lang w:val="en-GB"/>
        </w:rPr>
        <w:t>And</w:t>
      </w:r>
      <w:proofErr w:type="gramEnd"/>
      <w:r w:rsidR="000D2305" w:rsidRPr="000D2305">
        <w:rPr>
          <w:i/>
          <w:iCs/>
          <w:lang w:val="en-GB"/>
        </w:rPr>
        <w:t xml:space="preserve"> </w:t>
      </w:r>
      <w:r w:rsidR="00F05B50" w:rsidRPr="000D2305">
        <w:rPr>
          <w:i/>
          <w:iCs/>
          <w:lang w:val="en-GB"/>
        </w:rPr>
        <w:t>Religious Landscapes</w:t>
      </w:r>
      <w:r w:rsidR="000D2305" w:rsidRPr="000D2305">
        <w:rPr>
          <w:i/>
          <w:iCs/>
          <w:lang w:val="en-GB"/>
        </w:rPr>
        <w:t xml:space="preserve">: </w:t>
      </w:r>
      <w:r w:rsidR="00F05B50" w:rsidRPr="000D2305">
        <w:rPr>
          <w:i/>
          <w:iCs/>
          <w:lang w:val="en-GB"/>
        </w:rPr>
        <w:t>Living Mountains</w:t>
      </w:r>
      <w:r w:rsidR="00F05B50" w:rsidRPr="00F05B50">
        <w:rPr>
          <w:lang w:val="en-GB"/>
        </w:rPr>
        <w:t xml:space="preserve"> (London, New York, Oxford, New Delhi, Sydney: Bloomsbury Academic, 2021)</w:t>
      </w:r>
      <w:r w:rsidR="00F05B50">
        <w:rPr>
          <w:lang w:val="en-GB"/>
        </w:rPr>
        <w:t>.</w:t>
      </w:r>
    </w:p>
  </w:footnote>
  <w:footnote w:id="11">
    <w:p w14:paraId="5F62BBF2" w14:textId="43F13824" w:rsidR="00E974CD" w:rsidRPr="00070485" w:rsidRDefault="00E974CD" w:rsidP="00070485">
      <w:pPr>
        <w:pStyle w:val="Funotentext"/>
        <w:rPr>
          <w:lang w:val="en-GB"/>
        </w:rPr>
      </w:pPr>
      <w:r>
        <w:rPr>
          <w:rStyle w:val="Funotenzeichen"/>
        </w:rPr>
        <w:footnoteRef/>
      </w:r>
      <w:r w:rsidRPr="00070485">
        <w:rPr>
          <w:lang w:val="en-GB"/>
        </w:rPr>
        <w:t xml:space="preserve"> Anna-Leena Siikala, </w:t>
      </w:r>
      <w:r w:rsidR="00070485" w:rsidRPr="00070485">
        <w:rPr>
          <w:i/>
          <w:iCs/>
          <w:lang w:val="en-GB"/>
        </w:rPr>
        <w:t xml:space="preserve">Myth </w:t>
      </w:r>
      <w:proofErr w:type="gramStart"/>
      <w:r w:rsidR="00070485" w:rsidRPr="00070485">
        <w:rPr>
          <w:i/>
          <w:iCs/>
          <w:lang w:val="en-GB"/>
        </w:rPr>
        <w:t>And</w:t>
      </w:r>
      <w:proofErr w:type="gramEnd"/>
      <w:r w:rsidR="00070485" w:rsidRPr="00070485">
        <w:rPr>
          <w:i/>
          <w:iCs/>
          <w:lang w:val="en-GB"/>
        </w:rPr>
        <w:t xml:space="preserve"> </w:t>
      </w:r>
      <w:r w:rsidR="00070485" w:rsidRPr="00070485">
        <w:rPr>
          <w:i/>
          <w:iCs/>
          <w:lang w:val="en-GB"/>
        </w:rPr>
        <w:t>Mentality</w:t>
      </w:r>
      <w:r w:rsidR="00070485" w:rsidRPr="00070485">
        <w:rPr>
          <w:i/>
          <w:iCs/>
          <w:lang w:val="en-GB"/>
        </w:rPr>
        <w:t xml:space="preserve"> </w:t>
      </w:r>
      <w:r w:rsidR="00070485" w:rsidRPr="00070485">
        <w:rPr>
          <w:i/>
          <w:iCs/>
          <w:lang w:val="en-GB"/>
        </w:rPr>
        <w:t xml:space="preserve">Studies </w:t>
      </w:r>
      <w:proofErr w:type="gramStart"/>
      <w:r w:rsidR="00070485" w:rsidRPr="00070485">
        <w:rPr>
          <w:i/>
          <w:iCs/>
          <w:lang w:val="en-GB"/>
        </w:rPr>
        <w:t>In</w:t>
      </w:r>
      <w:proofErr w:type="gramEnd"/>
      <w:r w:rsidR="00070485" w:rsidRPr="00070485">
        <w:rPr>
          <w:i/>
          <w:iCs/>
          <w:lang w:val="en-GB"/>
        </w:rPr>
        <w:t xml:space="preserve"> </w:t>
      </w:r>
      <w:r w:rsidR="00070485" w:rsidRPr="00070485">
        <w:rPr>
          <w:i/>
          <w:iCs/>
          <w:lang w:val="en-GB"/>
        </w:rPr>
        <w:t xml:space="preserve">Folklore </w:t>
      </w:r>
      <w:proofErr w:type="gramStart"/>
      <w:r w:rsidR="00070485" w:rsidRPr="00070485">
        <w:rPr>
          <w:i/>
          <w:iCs/>
          <w:lang w:val="en-GB"/>
        </w:rPr>
        <w:t>And</w:t>
      </w:r>
      <w:proofErr w:type="gramEnd"/>
      <w:r w:rsidR="00070485" w:rsidRPr="00070485">
        <w:rPr>
          <w:i/>
          <w:iCs/>
          <w:lang w:val="en-GB"/>
        </w:rPr>
        <w:t xml:space="preserve"> </w:t>
      </w:r>
      <w:r w:rsidR="00070485" w:rsidRPr="00070485">
        <w:rPr>
          <w:i/>
          <w:iCs/>
          <w:lang w:val="en-GB"/>
        </w:rPr>
        <w:t>Popular Thought</w:t>
      </w:r>
      <w:r w:rsidR="00070485">
        <w:rPr>
          <w:lang w:val="en-GB"/>
        </w:rPr>
        <w:t xml:space="preserve"> (Helsinki: </w:t>
      </w:r>
      <w:r w:rsidR="00070485" w:rsidRPr="00070485">
        <w:rPr>
          <w:lang w:val="en-GB"/>
        </w:rPr>
        <w:t xml:space="preserve">Studia </w:t>
      </w:r>
      <w:proofErr w:type="spellStart"/>
      <w:r w:rsidR="00070485" w:rsidRPr="00070485">
        <w:rPr>
          <w:lang w:val="en-GB"/>
        </w:rPr>
        <w:t>Fennica</w:t>
      </w:r>
      <w:proofErr w:type="spellEnd"/>
      <w:r w:rsidR="00070485" w:rsidRPr="00070485">
        <w:rPr>
          <w:lang w:val="en-GB"/>
        </w:rPr>
        <w:t xml:space="preserve"> </w:t>
      </w:r>
      <w:proofErr w:type="spellStart"/>
      <w:r w:rsidR="00070485" w:rsidRPr="00070485">
        <w:rPr>
          <w:lang w:val="en-GB"/>
        </w:rPr>
        <w:t>Folkloristica</w:t>
      </w:r>
      <w:proofErr w:type="spellEnd"/>
      <w:r w:rsidR="00070485" w:rsidRPr="00070485">
        <w:rPr>
          <w:lang w:val="en-GB"/>
        </w:rPr>
        <w:t xml:space="preserve">, </w:t>
      </w:r>
      <w:r w:rsidR="00070485">
        <w:rPr>
          <w:lang w:val="en-GB"/>
        </w:rPr>
        <w:t>2002).</w:t>
      </w:r>
    </w:p>
  </w:footnote>
  <w:footnote w:id="12">
    <w:p w14:paraId="3FCAB3AF" w14:textId="226C9605" w:rsidR="00FF4435" w:rsidRPr="00E974CD" w:rsidRDefault="00FF4435">
      <w:pPr>
        <w:pStyle w:val="Funotentext"/>
        <w:rPr>
          <w:lang w:val="en-GB"/>
        </w:rPr>
      </w:pPr>
      <w:r>
        <w:rPr>
          <w:rStyle w:val="Funotenzeichen"/>
        </w:rPr>
        <w:footnoteRef/>
      </w:r>
      <w:r w:rsidRPr="00E974CD">
        <w:rPr>
          <w:lang w:val="en-GB"/>
        </w:rPr>
        <w:t xml:space="preserve"> </w:t>
      </w:r>
      <w:r w:rsidR="00AD7A99" w:rsidRPr="00E974CD">
        <w:rPr>
          <w:lang w:val="en-GB"/>
        </w:rPr>
        <w:t xml:space="preserve">Bernadette </w:t>
      </w:r>
      <w:r w:rsidR="00AD7A99" w:rsidRPr="00F05B50">
        <w:rPr>
          <w:lang w:val="en-GB"/>
        </w:rPr>
        <w:t>Brady</w:t>
      </w:r>
      <w:r w:rsidR="00E974CD">
        <w:rPr>
          <w:lang w:val="en-GB"/>
        </w:rPr>
        <w:t xml:space="preserve"> and </w:t>
      </w:r>
      <w:r w:rsidR="00E974CD" w:rsidRPr="00550A02">
        <w:rPr>
          <w:lang w:val="en-GB"/>
        </w:rPr>
        <w:t>Darrelyn Gunzburg</w:t>
      </w:r>
      <w:r w:rsidR="00E974CD" w:rsidRPr="00550A02">
        <w:rPr>
          <w:i/>
          <w:iCs/>
          <w:lang w:val="en-GB"/>
        </w:rPr>
        <w:t xml:space="preserve">, Space, Place </w:t>
      </w:r>
      <w:proofErr w:type="gramStart"/>
      <w:r w:rsidR="00F05B50">
        <w:rPr>
          <w:i/>
          <w:iCs/>
          <w:lang w:val="en-GB"/>
        </w:rPr>
        <w:t>A</w:t>
      </w:r>
      <w:r w:rsidR="00E974CD" w:rsidRPr="00550A02">
        <w:rPr>
          <w:i/>
          <w:iCs/>
          <w:lang w:val="en-GB"/>
        </w:rPr>
        <w:t>nd</w:t>
      </w:r>
      <w:proofErr w:type="gramEnd"/>
      <w:r w:rsidR="00E974CD" w:rsidRPr="00550A02">
        <w:rPr>
          <w:i/>
          <w:iCs/>
          <w:lang w:val="en-GB"/>
        </w:rPr>
        <w:t xml:space="preserve"> Religious Landscapes: Living Mountains </w:t>
      </w:r>
      <w:r w:rsidR="00E974CD" w:rsidRPr="00E51667">
        <w:rPr>
          <w:lang w:val="en-GB"/>
        </w:rPr>
        <w:t>(London, New York, Oxford, New Delhi, Sydney: Bloomsbury Academic, 2021)</w:t>
      </w:r>
      <w:r w:rsidR="00E974CD">
        <w:rPr>
          <w:lang w:val="en-GB"/>
        </w:rPr>
        <w:t xml:space="preserve">, and </w:t>
      </w:r>
      <w:r w:rsidR="00F05B50" w:rsidRPr="00F05B50">
        <w:rPr>
          <w:lang w:val="en-GB"/>
        </w:rPr>
        <w:t xml:space="preserve">‘Introduction Part I’, Sacred Geography: Conversations </w:t>
      </w:r>
      <w:proofErr w:type="gramStart"/>
      <w:r w:rsidR="00F05B50" w:rsidRPr="00F05B50">
        <w:rPr>
          <w:lang w:val="en-GB"/>
        </w:rPr>
        <w:t>With</w:t>
      </w:r>
      <w:proofErr w:type="gramEnd"/>
      <w:r w:rsidR="00F05B50" w:rsidRPr="00F05B50">
        <w:rPr>
          <w:lang w:val="en-GB"/>
        </w:rPr>
        <w:t xml:space="preserve"> </w:t>
      </w:r>
      <w:proofErr w:type="gramStart"/>
      <w:r w:rsidR="00F05B50" w:rsidRPr="00F05B50">
        <w:rPr>
          <w:lang w:val="en-GB"/>
        </w:rPr>
        <w:t>The</w:t>
      </w:r>
      <w:proofErr w:type="gramEnd"/>
      <w:r w:rsidR="00F05B50" w:rsidRPr="00F05B50">
        <w:rPr>
          <w:lang w:val="en-GB"/>
        </w:rPr>
        <w:t xml:space="preserve"> Other, (Ceredigion, Wales: Sophia </w:t>
      </w:r>
      <w:proofErr w:type="spellStart"/>
      <w:r w:rsidR="00F05B50" w:rsidRPr="00F05B50">
        <w:rPr>
          <w:lang w:val="en-GB"/>
        </w:rPr>
        <w:t>Center</w:t>
      </w:r>
      <w:proofErr w:type="spellEnd"/>
      <w:r w:rsidR="00F05B50" w:rsidRPr="00F05B50">
        <w:rPr>
          <w:lang w:val="en-GB"/>
        </w:rPr>
        <w:t xml:space="preserve"> Press, 2024).</w:t>
      </w:r>
    </w:p>
  </w:footnote>
  <w:footnote w:id="13">
    <w:p w14:paraId="6369A98D" w14:textId="48824647" w:rsidR="00DB082E" w:rsidRPr="00703B1B" w:rsidRDefault="00DB082E" w:rsidP="00DB082E">
      <w:pPr>
        <w:pStyle w:val="Funotentext"/>
        <w:rPr>
          <w:lang w:val="en-GB"/>
        </w:rPr>
      </w:pPr>
      <w:r>
        <w:rPr>
          <w:rStyle w:val="Funotenzeichen"/>
        </w:rPr>
        <w:footnoteRef/>
      </w:r>
      <w:r w:rsidRPr="00703B1B">
        <w:rPr>
          <w:lang w:val="en-GB"/>
        </w:rPr>
        <w:t xml:space="preserve"> </w:t>
      </w:r>
      <w:r w:rsidR="006101D1" w:rsidRPr="00DA1D36">
        <w:rPr>
          <w:lang w:val="en-GB"/>
        </w:rPr>
        <w:t xml:space="preserve">Eliade, </w:t>
      </w:r>
      <w:r w:rsidR="006101D1" w:rsidRPr="007F2A73">
        <w:rPr>
          <w:i/>
          <w:iCs/>
          <w:lang w:val="en-GB"/>
        </w:rPr>
        <w:t>The Sacred and the Profane</w:t>
      </w:r>
      <w:r w:rsidR="006101D1">
        <w:rPr>
          <w:lang w:val="en-GB"/>
        </w:rPr>
        <w:t xml:space="preserve">, </w:t>
      </w:r>
      <w:r w:rsidRPr="00703B1B">
        <w:rPr>
          <w:lang w:val="en-GB"/>
        </w:rPr>
        <w:t>p. 63.</w:t>
      </w:r>
    </w:p>
  </w:footnote>
  <w:footnote w:id="14">
    <w:p w14:paraId="284892BA" w14:textId="5B0D8888" w:rsidR="00DB082E" w:rsidRPr="00374882" w:rsidRDefault="00DB082E" w:rsidP="00DB082E">
      <w:pPr>
        <w:pStyle w:val="Funotentext"/>
        <w:rPr>
          <w:lang w:val="en-GB"/>
        </w:rPr>
      </w:pPr>
      <w:r>
        <w:rPr>
          <w:rStyle w:val="Funotenzeichen"/>
        </w:rPr>
        <w:footnoteRef/>
      </w:r>
      <w:r w:rsidRPr="00374882">
        <w:rPr>
          <w:lang w:val="en-GB"/>
        </w:rPr>
        <w:t xml:space="preserve"> </w:t>
      </w:r>
      <w:r w:rsidR="006101D1" w:rsidRPr="008F5931">
        <w:rPr>
          <w:lang w:val="en-GB"/>
        </w:rPr>
        <w:t>Durkheim</w:t>
      </w:r>
      <w:r w:rsidR="006101D1">
        <w:rPr>
          <w:lang w:val="en-GB"/>
        </w:rPr>
        <w:t xml:space="preserve">, </w:t>
      </w:r>
      <w:bookmarkStart w:id="1" w:name="_Hlk213827194"/>
      <w:r w:rsidR="006101D1" w:rsidRPr="008F5931">
        <w:rPr>
          <w:i/>
          <w:iCs/>
          <w:lang w:val="en-GB"/>
        </w:rPr>
        <w:t>The Elementary Forms of Religious Life</w:t>
      </w:r>
      <w:r w:rsidR="006101D1">
        <w:rPr>
          <w:lang w:val="en-GB"/>
        </w:rPr>
        <w:t>,</w:t>
      </w:r>
      <w:r w:rsidR="006101D1" w:rsidRPr="001E7C31">
        <w:rPr>
          <w:lang w:val="en-GB"/>
        </w:rPr>
        <w:t xml:space="preserve"> p. 37</w:t>
      </w:r>
      <w:r w:rsidR="006101D1">
        <w:rPr>
          <w:lang w:val="en-GB"/>
        </w:rPr>
        <w:t>.</w:t>
      </w:r>
      <w:bookmarkEnd w:id="1"/>
    </w:p>
  </w:footnote>
  <w:footnote w:id="15">
    <w:p w14:paraId="1FAA18BE" w14:textId="560C4C14" w:rsidR="00DB082E" w:rsidRPr="00006B31" w:rsidRDefault="00DB082E" w:rsidP="00DB082E">
      <w:pPr>
        <w:pStyle w:val="Funotentext"/>
        <w:rPr>
          <w:lang w:val="en-GB"/>
        </w:rPr>
      </w:pPr>
      <w:r>
        <w:rPr>
          <w:rStyle w:val="Funotenzeichen"/>
        </w:rPr>
        <w:footnoteRef/>
      </w:r>
      <w:r w:rsidRPr="00006B31">
        <w:rPr>
          <w:lang w:val="en-GB"/>
        </w:rPr>
        <w:t xml:space="preserve"> </w:t>
      </w:r>
      <w:r w:rsidR="00DB6AE0">
        <w:rPr>
          <w:lang w:val="en-GB"/>
        </w:rPr>
        <w:t xml:space="preserve">Lane, </w:t>
      </w:r>
      <w:r w:rsidR="00DB6AE0" w:rsidRPr="006E3C70">
        <w:rPr>
          <w:i/>
          <w:iCs/>
          <w:lang w:val="en-GB"/>
        </w:rPr>
        <w:t>Landscapes of the Sacred</w:t>
      </w:r>
      <w:r w:rsidR="00DB6AE0" w:rsidRPr="00E81D67">
        <w:rPr>
          <w:lang w:val="en-GB"/>
        </w:rPr>
        <w:t>,</w:t>
      </w:r>
      <w:r w:rsidR="00DB6AE0">
        <w:rPr>
          <w:lang w:val="en-GB"/>
        </w:rPr>
        <w:t xml:space="preserve"> </w:t>
      </w:r>
      <w:r>
        <w:rPr>
          <w:lang w:val="en-GB"/>
        </w:rPr>
        <w:t>p. 39.</w:t>
      </w:r>
    </w:p>
  </w:footnote>
  <w:footnote w:id="16">
    <w:p w14:paraId="587F860B" w14:textId="43863169" w:rsidR="00337CE9" w:rsidRPr="00731C96" w:rsidRDefault="00337CE9" w:rsidP="00337CE9">
      <w:pPr>
        <w:pStyle w:val="Funotentext"/>
      </w:pPr>
      <w:r>
        <w:rPr>
          <w:rStyle w:val="Funotenzeichen"/>
        </w:rPr>
        <w:footnoteRef/>
      </w:r>
      <w:r w:rsidRPr="00B6595A">
        <w:rPr>
          <w:lang w:val="en-GB"/>
        </w:rPr>
        <w:t xml:space="preserve"> Peter M. Broadwell and Timothy R. Tangherlini</w:t>
      </w:r>
      <w:r>
        <w:rPr>
          <w:lang w:val="en-GB"/>
        </w:rPr>
        <w:t xml:space="preserve">, </w:t>
      </w:r>
      <w:r w:rsidR="008735AF">
        <w:rPr>
          <w:lang w:val="en-GB"/>
        </w:rPr>
        <w:t>‘</w:t>
      </w:r>
      <w:proofErr w:type="spellStart"/>
      <w:r w:rsidR="008735AF" w:rsidRPr="008735AF">
        <w:rPr>
          <w:lang w:val="en-GB"/>
        </w:rPr>
        <w:t>WitchHunter</w:t>
      </w:r>
      <w:proofErr w:type="spellEnd"/>
      <w:r w:rsidR="008735AF" w:rsidRPr="008735AF">
        <w:rPr>
          <w:lang w:val="en-GB"/>
        </w:rPr>
        <w:t xml:space="preserve">: Tools </w:t>
      </w:r>
      <w:proofErr w:type="gramStart"/>
      <w:r w:rsidR="00290584" w:rsidRPr="008735AF">
        <w:rPr>
          <w:lang w:val="en-GB"/>
        </w:rPr>
        <w:t>For</w:t>
      </w:r>
      <w:proofErr w:type="gramEnd"/>
      <w:r w:rsidR="00290584" w:rsidRPr="008735AF">
        <w:rPr>
          <w:lang w:val="en-GB"/>
        </w:rPr>
        <w:t xml:space="preserve"> </w:t>
      </w:r>
      <w:proofErr w:type="gramStart"/>
      <w:r w:rsidR="00290584" w:rsidRPr="008735AF">
        <w:rPr>
          <w:lang w:val="en-GB"/>
        </w:rPr>
        <w:t>The</w:t>
      </w:r>
      <w:proofErr w:type="gramEnd"/>
      <w:r w:rsidR="00290584" w:rsidRPr="008735AF">
        <w:rPr>
          <w:lang w:val="en-GB"/>
        </w:rPr>
        <w:t xml:space="preserve"> </w:t>
      </w:r>
      <w:r w:rsidR="008735AF" w:rsidRPr="008735AF">
        <w:rPr>
          <w:lang w:val="en-GB"/>
        </w:rPr>
        <w:t>Geo</w:t>
      </w:r>
      <w:r w:rsidR="00290584" w:rsidRPr="008735AF">
        <w:rPr>
          <w:lang w:val="en-GB"/>
        </w:rPr>
        <w:t>-</w:t>
      </w:r>
      <w:r w:rsidR="008735AF" w:rsidRPr="008735AF">
        <w:rPr>
          <w:lang w:val="en-GB"/>
        </w:rPr>
        <w:t xml:space="preserve">Semantic Exploration </w:t>
      </w:r>
      <w:proofErr w:type="gramStart"/>
      <w:r w:rsidR="00290584" w:rsidRPr="008735AF">
        <w:rPr>
          <w:lang w:val="en-GB"/>
        </w:rPr>
        <w:t>Of</w:t>
      </w:r>
      <w:proofErr w:type="gramEnd"/>
      <w:r w:rsidR="00290584" w:rsidRPr="008735AF">
        <w:rPr>
          <w:lang w:val="en-GB"/>
        </w:rPr>
        <w:t xml:space="preserve"> </w:t>
      </w:r>
      <w:proofErr w:type="gramStart"/>
      <w:r w:rsidR="00290584" w:rsidRPr="008735AF">
        <w:rPr>
          <w:lang w:val="en-GB"/>
        </w:rPr>
        <w:t>A</w:t>
      </w:r>
      <w:proofErr w:type="gramEnd"/>
      <w:r w:rsidR="00290584" w:rsidRPr="008735AF">
        <w:rPr>
          <w:lang w:val="en-GB"/>
        </w:rPr>
        <w:t xml:space="preserve"> </w:t>
      </w:r>
      <w:r w:rsidR="008735AF" w:rsidRPr="008735AF">
        <w:rPr>
          <w:lang w:val="en-GB"/>
        </w:rPr>
        <w:t>Danish Folklore Corpus</w:t>
      </w:r>
      <w:r w:rsidR="008735AF">
        <w:rPr>
          <w:lang w:val="en-GB"/>
        </w:rPr>
        <w:t>’</w:t>
      </w:r>
      <w:r w:rsidR="008735AF" w:rsidRPr="008735AF">
        <w:rPr>
          <w:lang w:val="en-GB"/>
        </w:rPr>
        <w:t xml:space="preserve"> </w:t>
      </w:r>
      <w:r w:rsidR="008735AF">
        <w:rPr>
          <w:lang w:val="en-GB"/>
        </w:rPr>
        <w:t xml:space="preserve">in </w:t>
      </w:r>
      <w:r w:rsidR="008735AF" w:rsidRPr="008735AF">
        <w:rPr>
          <w:i/>
          <w:iCs/>
          <w:lang w:val="en-GB"/>
        </w:rPr>
        <w:t>The Journal of American Folklore</w:t>
      </w:r>
      <w:r w:rsidR="008735AF" w:rsidRPr="008735AF">
        <w:rPr>
          <w:lang w:val="en-GB"/>
        </w:rPr>
        <w:t>, 129</w:t>
      </w:r>
      <w:r w:rsidR="008735AF">
        <w:rPr>
          <w:lang w:val="en-GB"/>
        </w:rPr>
        <w:t>.</w:t>
      </w:r>
      <w:r w:rsidR="008735AF" w:rsidRPr="008735AF">
        <w:rPr>
          <w:lang w:val="en-GB"/>
        </w:rPr>
        <w:t xml:space="preserve"> </w:t>
      </w:r>
      <w:r w:rsidR="008735AF" w:rsidRPr="00731C96">
        <w:t xml:space="preserve">511 (Winter 2016), pp. 14-42 (p.15).   </w:t>
      </w:r>
    </w:p>
  </w:footnote>
  <w:footnote w:id="17">
    <w:p w14:paraId="2A05D424" w14:textId="49986DFF" w:rsidR="00AD7A99" w:rsidRDefault="00AD7A99">
      <w:pPr>
        <w:pStyle w:val="Funotentext"/>
      </w:pPr>
      <w:r>
        <w:rPr>
          <w:rStyle w:val="Funotenzeichen"/>
        </w:rPr>
        <w:footnoteRef/>
      </w:r>
      <w:r>
        <w:t xml:space="preserve"> </w:t>
      </w:r>
      <w:r w:rsidRPr="00AD7A99">
        <w:t xml:space="preserve">Albert Zahn, </w:t>
      </w:r>
      <w:r w:rsidRPr="00467533">
        <w:rPr>
          <w:i/>
          <w:iCs/>
        </w:rPr>
        <w:t>Chronik des Kantons Bern</w:t>
      </w:r>
      <w:r w:rsidRPr="00AD7A99">
        <w:t xml:space="preserve"> (Bern: </w:t>
      </w:r>
      <w:proofErr w:type="spellStart"/>
      <w:r w:rsidRPr="00AD7A99">
        <w:t>Stämpflische</w:t>
      </w:r>
      <w:proofErr w:type="spellEnd"/>
      <w:r w:rsidRPr="00AD7A99">
        <w:t xml:space="preserve"> Verlagshandlung, 1857).</w:t>
      </w:r>
      <w:r>
        <w:t xml:space="preserve"> </w:t>
      </w:r>
    </w:p>
  </w:footnote>
  <w:footnote w:id="18">
    <w:p w14:paraId="011EB667" w14:textId="6EAE3693" w:rsidR="00467533" w:rsidRDefault="00467533" w:rsidP="00467533">
      <w:pPr>
        <w:pStyle w:val="Funotentext"/>
      </w:pPr>
      <w:r>
        <w:rPr>
          <w:rStyle w:val="Funotenzeichen"/>
        </w:rPr>
        <w:footnoteRef/>
      </w:r>
      <w:r>
        <w:t xml:space="preserve"> Franz Wäger, ‘</w:t>
      </w:r>
      <w:r w:rsidRPr="001B13C0">
        <w:t xml:space="preserve">Die Gründung </w:t>
      </w:r>
      <w:r w:rsidR="00290584" w:rsidRPr="001B13C0">
        <w:t xml:space="preserve">Des </w:t>
      </w:r>
      <w:r w:rsidRPr="001B13C0">
        <w:t>Priorates Rüeggisberg</w:t>
      </w:r>
      <w:r w:rsidR="00290584">
        <w:t xml:space="preserve">, </w:t>
      </w:r>
      <w:r>
        <w:t xml:space="preserve">Geschichte </w:t>
      </w:r>
      <w:r w:rsidR="00290584">
        <w:t xml:space="preserve">Des </w:t>
      </w:r>
      <w:r>
        <w:t xml:space="preserve">Kluniazenser-Priorates’ in </w:t>
      </w:r>
      <w:r w:rsidRPr="00467533">
        <w:rPr>
          <w:i/>
          <w:iCs/>
        </w:rPr>
        <w:t>Freiburger Geschichtsblätter</w:t>
      </w:r>
      <w:r>
        <w:t>, Deutscher Geschichtsforschender Verein des Kantons Freiburg, 22 (1915). &lt;https://doi.org/10.5169/seals-334144&gt;</w:t>
      </w:r>
    </w:p>
  </w:footnote>
  <w:footnote w:id="19">
    <w:p w14:paraId="7852A351" w14:textId="5F3C0331" w:rsidR="00467533" w:rsidRDefault="00467533">
      <w:pPr>
        <w:pStyle w:val="Funotentext"/>
      </w:pPr>
      <w:r>
        <w:rPr>
          <w:rStyle w:val="Funotenzeichen"/>
        </w:rPr>
        <w:footnoteRef/>
      </w:r>
      <w:r>
        <w:t xml:space="preserve"> </w:t>
      </w:r>
      <w:r w:rsidRPr="0048623B">
        <w:t xml:space="preserve">Volksliederarchiv </w:t>
      </w:r>
      <w:r>
        <w:t>&lt;</w:t>
      </w:r>
      <w:r w:rsidRPr="0048623B">
        <w:t>https://www.volksliederarchiv.de/s-isch-aeben-e-moensch-uf-aerde/</w:t>
      </w:r>
      <w:proofErr w:type="gramStart"/>
      <w:r>
        <w:t>&gt;  [</w:t>
      </w:r>
      <w:proofErr w:type="spellStart"/>
      <w:proofErr w:type="gramEnd"/>
      <w:r>
        <w:t>accessed</w:t>
      </w:r>
      <w:proofErr w:type="spellEnd"/>
      <w:r>
        <w:t xml:space="preserve"> 18 </w:t>
      </w:r>
      <w:proofErr w:type="spellStart"/>
      <w:r>
        <w:t>December</w:t>
      </w:r>
      <w:proofErr w:type="spellEnd"/>
      <w:r>
        <w:t xml:space="preserve"> 2025]</w:t>
      </w:r>
    </w:p>
  </w:footnote>
  <w:footnote w:id="20">
    <w:p w14:paraId="34F408E0" w14:textId="79BE9195" w:rsidR="000F41AE" w:rsidRPr="00836427" w:rsidRDefault="000F41AE">
      <w:pPr>
        <w:pStyle w:val="Funotentext"/>
      </w:pPr>
      <w:r>
        <w:rPr>
          <w:rStyle w:val="Funotenzeichen"/>
        </w:rPr>
        <w:footnoteRef/>
      </w:r>
      <w:r w:rsidRPr="00836427">
        <w:t xml:space="preserve"> </w:t>
      </w:r>
      <w:r w:rsidR="00307656" w:rsidRPr="006B6D34">
        <w:t>Otto von Greyerz</w:t>
      </w:r>
      <w:r w:rsidR="00307656">
        <w:t>, ‘</w:t>
      </w:r>
      <w:r w:rsidR="00307656" w:rsidRPr="006B6D34">
        <w:t xml:space="preserve">Das Alte </w:t>
      </w:r>
      <w:proofErr w:type="spellStart"/>
      <w:r w:rsidR="00307656" w:rsidRPr="006B6D34">
        <w:t>Guggisberger</w:t>
      </w:r>
      <w:proofErr w:type="spellEnd"/>
      <w:r w:rsidR="00307656" w:rsidRPr="006B6D34">
        <w:t xml:space="preserve"> Lied</w:t>
      </w:r>
      <w:r w:rsidR="00307656">
        <w:t xml:space="preserve">’ in </w:t>
      </w:r>
      <w:r w:rsidR="00307656" w:rsidRPr="006B6D34">
        <w:rPr>
          <w:i/>
          <w:iCs/>
        </w:rPr>
        <w:t>Schweizerisches Archiv für Volkskunde</w:t>
      </w:r>
      <w:r w:rsidR="00307656" w:rsidRPr="006B6D34">
        <w:t xml:space="preserve"> Schweizerische Gesellschaft für Volkskunde</w:t>
      </w:r>
      <w:r w:rsidR="00307656">
        <w:t xml:space="preserve">, </w:t>
      </w:r>
      <w:r w:rsidR="00307656" w:rsidRPr="006B6D34">
        <w:t>16 (1912)</w:t>
      </w:r>
      <w:r w:rsidR="00307656">
        <w:t>, pp. 193-212.</w:t>
      </w:r>
    </w:p>
  </w:footnote>
  <w:footnote w:id="21">
    <w:p w14:paraId="301F2EAB" w14:textId="263410D0" w:rsidR="00307656" w:rsidRPr="00307656" w:rsidRDefault="00307656">
      <w:pPr>
        <w:pStyle w:val="Funotentext"/>
        <w:rPr>
          <w:lang w:val="en-GB"/>
        </w:rPr>
      </w:pPr>
      <w:r>
        <w:rPr>
          <w:rStyle w:val="Funotenzeichen"/>
        </w:rPr>
        <w:footnoteRef/>
      </w:r>
      <w:r w:rsidRPr="00307656">
        <w:rPr>
          <w:lang w:val="en-GB"/>
        </w:rPr>
        <w:t xml:space="preserve"> </w:t>
      </w:r>
      <w:r w:rsidRPr="000F41AE">
        <w:rPr>
          <w:lang w:val="en-GB"/>
        </w:rPr>
        <w:t xml:space="preserve">Wilhelm and Jacob Grimm, </w:t>
      </w:r>
      <w:r w:rsidR="00C32D5E">
        <w:rPr>
          <w:lang w:val="en-GB"/>
        </w:rPr>
        <w:t>KHM 142</w:t>
      </w:r>
      <w:r w:rsidR="00C32D5E">
        <w:rPr>
          <w:lang w:val="en-GB"/>
        </w:rPr>
        <w:t xml:space="preserve"> ‘</w:t>
      </w:r>
      <w:proofErr w:type="spellStart"/>
      <w:r w:rsidR="00C32D5E">
        <w:rPr>
          <w:lang w:val="en-GB"/>
        </w:rPr>
        <w:t>Simeli</w:t>
      </w:r>
      <w:proofErr w:type="spellEnd"/>
      <w:r w:rsidR="00C32D5E">
        <w:rPr>
          <w:lang w:val="en-GB"/>
        </w:rPr>
        <w:t xml:space="preserve"> Mountain’, </w:t>
      </w:r>
      <w:r w:rsidRPr="00C32D5E">
        <w:rPr>
          <w:i/>
          <w:iCs/>
          <w:lang w:val="en-GB"/>
        </w:rPr>
        <w:t>The Complete Illustrated Works of The Brothers Grimm</w:t>
      </w:r>
      <w:r w:rsidR="000D2305">
        <w:rPr>
          <w:lang w:val="en-GB"/>
        </w:rPr>
        <w:t xml:space="preserve"> (London: Octopus Publishing Group Ltd., 2006).</w:t>
      </w:r>
    </w:p>
  </w:footnote>
  <w:footnote w:id="22">
    <w:p w14:paraId="6D4D8CF0" w14:textId="0671B912" w:rsidR="00C32D5E" w:rsidRPr="00C32D5E" w:rsidRDefault="00C32D5E">
      <w:pPr>
        <w:pStyle w:val="Funotentext"/>
      </w:pPr>
      <w:r>
        <w:rPr>
          <w:rStyle w:val="Funotenzeichen"/>
        </w:rPr>
        <w:footnoteRef/>
      </w:r>
      <w:r w:rsidRPr="00C32D5E">
        <w:t xml:space="preserve"> </w:t>
      </w:r>
      <w:r w:rsidRPr="00C32D5E">
        <w:t>Hans Nydegger</w:t>
      </w:r>
      <w:r>
        <w:t>, ‘Die Wilde Jagd Am S</w:t>
      </w:r>
      <w:proofErr w:type="spellStart"/>
      <w:r>
        <w:t>chwendelberg</w:t>
      </w:r>
      <w:proofErr w:type="spellEnd"/>
      <w:r>
        <w:t xml:space="preserve">’, </w:t>
      </w:r>
      <w:r w:rsidRPr="00C32D5E">
        <w:t xml:space="preserve">in </w:t>
      </w:r>
      <w:proofErr w:type="spellStart"/>
      <w:r w:rsidRPr="00C32D5E">
        <w:rPr>
          <w:i/>
          <w:iCs/>
        </w:rPr>
        <w:t>Heimathkunde</w:t>
      </w:r>
      <w:proofErr w:type="spellEnd"/>
      <w:r w:rsidRPr="00C32D5E">
        <w:rPr>
          <w:i/>
          <w:iCs/>
        </w:rPr>
        <w:t xml:space="preserve"> des Amtes </w:t>
      </w:r>
      <w:proofErr w:type="spellStart"/>
      <w:r w:rsidRPr="00C32D5E">
        <w:rPr>
          <w:i/>
          <w:iCs/>
        </w:rPr>
        <w:t>Schwarzenburg</w:t>
      </w:r>
      <w:proofErr w:type="spellEnd"/>
      <w:r w:rsidRPr="00C32D5E">
        <w:t xml:space="preserve">, Bern, </w:t>
      </w:r>
      <w:r>
        <w:t>(</w:t>
      </w:r>
      <w:r w:rsidRPr="00C32D5E">
        <w:t>1869</w:t>
      </w:r>
      <w:r>
        <w:t>)</w:t>
      </w:r>
      <w:r w:rsidRPr="00C32D5E">
        <w:t>.</w:t>
      </w:r>
    </w:p>
  </w:footnote>
  <w:footnote w:id="23">
    <w:p w14:paraId="5DFB0882" w14:textId="5C30FAE5" w:rsidR="00E974CD" w:rsidRPr="00E974CD" w:rsidRDefault="00E974CD" w:rsidP="00E974CD">
      <w:pPr>
        <w:pStyle w:val="Funotentext"/>
        <w:rPr>
          <w:lang w:val="en-GB"/>
        </w:rPr>
      </w:pPr>
      <w:r>
        <w:rPr>
          <w:rStyle w:val="Funotenzeichen"/>
        </w:rPr>
        <w:footnoteRef/>
      </w:r>
      <w:r w:rsidRPr="00E974CD">
        <w:rPr>
          <w:lang w:val="en-GB"/>
        </w:rPr>
        <w:t xml:space="preserve"> </w:t>
      </w:r>
      <w:r>
        <w:rPr>
          <w:lang w:val="en-GB"/>
        </w:rPr>
        <w:t>Ronald Hu</w:t>
      </w:r>
      <w:r w:rsidRPr="000D2305">
        <w:rPr>
          <w:lang w:val="en-GB"/>
        </w:rPr>
        <w:t>tton</w:t>
      </w:r>
      <w:r>
        <w:rPr>
          <w:lang w:val="en-GB"/>
        </w:rPr>
        <w:t>, ‘</w:t>
      </w:r>
      <w:r w:rsidRPr="00E974CD">
        <w:rPr>
          <w:lang w:val="en-GB"/>
        </w:rPr>
        <w:t>The Wild Hunt and the Witches' Sabbath</w:t>
      </w:r>
      <w:r>
        <w:rPr>
          <w:lang w:val="en-GB"/>
        </w:rPr>
        <w:t xml:space="preserve">’ in </w:t>
      </w:r>
      <w:r w:rsidRPr="00E974CD">
        <w:rPr>
          <w:i/>
          <w:iCs/>
          <w:lang w:val="en-GB"/>
        </w:rPr>
        <w:t>Folklore,</w:t>
      </w:r>
      <w:r w:rsidRPr="00E974CD">
        <w:rPr>
          <w:lang w:val="en-GB"/>
        </w:rPr>
        <w:t xml:space="preserve"> 125</w:t>
      </w:r>
      <w:r>
        <w:rPr>
          <w:lang w:val="en-GB"/>
        </w:rPr>
        <w:t>.</w:t>
      </w:r>
      <w:r w:rsidRPr="00E974CD">
        <w:rPr>
          <w:lang w:val="en-GB"/>
        </w:rPr>
        <w:t xml:space="preserve"> 2 </w:t>
      </w:r>
      <w:r>
        <w:rPr>
          <w:lang w:val="en-GB"/>
        </w:rPr>
        <w:t>(</w:t>
      </w:r>
      <w:r w:rsidRPr="00E974CD">
        <w:rPr>
          <w:lang w:val="en-GB"/>
        </w:rPr>
        <w:t>August 2014</w:t>
      </w:r>
      <w:r>
        <w:rPr>
          <w:lang w:val="en-GB"/>
        </w:rPr>
        <w:t>)</w:t>
      </w:r>
      <w:r w:rsidRPr="00E974CD">
        <w:rPr>
          <w:lang w:val="en-GB"/>
        </w:rPr>
        <w:t>, pp. 161-178</w:t>
      </w:r>
      <w:r>
        <w:rPr>
          <w:lang w:val="en-GB"/>
        </w:rPr>
        <w:t xml:space="preserve">. </w:t>
      </w:r>
      <w:r w:rsidR="000D2305">
        <w:rPr>
          <w:lang w:val="en-GB"/>
        </w:rPr>
        <w:t xml:space="preserve">Ronald Hutton, </w:t>
      </w:r>
      <w:r w:rsidR="000D2305" w:rsidRPr="000D2305">
        <w:rPr>
          <w:i/>
          <w:iCs/>
          <w:lang w:val="en-GB"/>
        </w:rPr>
        <w:t xml:space="preserve">Queens </w:t>
      </w:r>
      <w:proofErr w:type="gramStart"/>
      <w:r w:rsidR="000D2305" w:rsidRPr="000D2305">
        <w:rPr>
          <w:i/>
          <w:iCs/>
          <w:lang w:val="en-GB"/>
        </w:rPr>
        <w:t>Of</w:t>
      </w:r>
      <w:proofErr w:type="gramEnd"/>
      <w:r w:rsidR="000D2305" w:rsidRPr="000D2305">
        <w:rPr>
          <w:i/>
          <w:iCs/>
          <w:lang w:val="en-GB"/>
        </w:rPr>
        <w:t xml:space="preserve"> </w:t>
      </w:r>
      <w:proofErr w:type="gramStart"/>
      <w:r w:rsidR="000D2305" w:rsidRPr="000D2305">
        <w:rPr>
          <w:i/>
          <w:iCs/>
          <w:lang w:val="en-GB"/>
        </w:rPr>
        <w:t>The</w:t>
      </w:r>
      <w:proofErr w:type="gramEnd"/>
      <w:r w:rsidR="000D2305" w:rsidRPr="000D2305">
        <w:rPr>
          <w:i/>
          <w:iCs/>
          <w:lang w:val="en-GB"/>
        </w:rPr>
        <w:t xml:space="preserve"> Wild: Pagan Goddesses </w:t>
      </w:r>
      <w:proofErr w:type="gramStart"/>
      <w:r w:rsidR="000D2305" w:rsidRPr="000D2305">
        <w:rPr>
          <w:i/>
          <w:iCs/>
          <w:lang w:val="en-GB"/>
        </w:rPr>
        <w:t>In</w:t>
      </w:r>
      <w:proofErr w:type="gramEnd"/>
      <w:r w:rsidR="000D2305" w:rsidRPr="000D2305">
        <w:rPr>
          <w:i/>
          <w:iCs/>
          <w:lang w:val="en-GB"/>
        </w:rPr>
        <w:t xml:space="preserve"> Christian Europe: An Investigation</w:t>
      </w:r>
      <w:r w:rsidR="000D2305" w:rsidRPr="000D2305">
        <w:rPr>
          <w:lang w:val="en-GB"/>
        </w:rPr>
        <w:t>,</w:t>
      </w:r>
      <w:r w:rsidR="000D2305">
        <w:rPr>
          <w:lang w:val="en-GB"/>
        </w:rPr>
        <w:t xml:space="preserve"> (New Haven and London: Yale University Press, 2023)</w:t>
      </w:r>
      <w:r w:rsidR="000D2305">
        <w:rPr>
          <w:lang w:val="en-GB"/>
        </w:rPr>
        <w:t>.</w:t>
      </w:r>
    </w:p>
  </w:footnote>
  <w:footnote w:id="24">
    <w:p w14:paraId="5E816060" w14:textId="1F83684D" w:rsidR="00AD7A99" w:rsidRPr="00AD7A99" w:rsidRDefault="00AD7A99" w:rsidP="00AD7A99">
      <w:pPr>
        <w:pStyle w:val="Funotentext"/>
        <w:rPr>
          <w:lang w:val="en-GB"/>
        </w:rPr>
      </w:pPr>
      <w:r>
        <w:rPr>
          <w:rStyle w:val="Funotenzeichen"/>
        </w:rPr>
        <w:footnoteRef/>
      </w:r>
      <w:r w:rsidRPr="00AD7A99">
        <w:rPr>
          <w:lang w:val="en-GB"/>
        </w:rPr>
        <w:t xml:space="preserve"> Claude Lecouteux, </w:t>
      </w:r>
      <w:r w:rsidRPr="00AD7A99">
        <w:rPr>
          <w:i/>
          <w:iCs/>
          <w:lang w:val="en-GB"/>
        </w:rPr>
        <w:t>Phantom Armies of the Night: The Wild Hunt and the Ghostly Processions of the Undead</w:t>
      </w:r>
      <w:r>
        <w:rPr>
          <w:i/>
          <w:iCs/>
          <w:lang w:val="en-GB"/>
        </w:rPr>
        <w:t>,</w:t>
      </w:r>
      <w:r w:rsidRPr="00AD7A99">
        <w:rPr>
          <w:lang w:val="en-GB"/>
        </w:rPr>
        <w:t xml:space="preserve"> (Rochester and Toronto: Inner Traditions, 2011).</w:t>
      </w:r>
    </w:p>
  </w:footnote>
  <w:footnote w:id="25">
    <w:p w14:paraId="096EF9D5" w14:textId="681F19DD" w:rsidR="00FF4435" w:rsidRPr="00FF4435" w:rsidRDefault="00FF4435">
      <w:pPr>
        <w:pStyle w:val="Funotentext"/>
        <w:rPr>
          <w:lang w:val="en-GB"/>
        </w:rPr>
      </w:pPr>
      <w:r>
        <w:rPr>
          <w:rStyle w:val="Funotenzeichen"/>
        </w:rPr>
        <w:footnoteRef/>
      </w:r>
      <w:r w:rsidRPr="00FF4435">
        <w:rPr>
          <w:lang w:val="en-GB"/>
        </w:rPr>
        <w:t xml:space="preserve"> Leah Garrett, ‘The Original Tannhäuser Ballad’,</w:t>
      </w:r>
      <w:r>
        <w:rPr>
          <w:lang w:val="en-GB"/>
        </w:rPr>
        <w:t xml:space="preserve"> in</w:t>
      </w:r>
      <w:r w:rsidRPr="00FF4435">
        <w:rPr>
          <w:lang w:val="en-GB"/>
        </w:rPr>
        <w:t xml:space="preserve"> </w:t>
      </w:r>
      <w:r w:rsidRPr="00FF4435">
        <w:rPr>
          <w:i/>
          <w:iCs/>
          <w:lang w:val="en-GB"/>
        </w:rPr>
        <w:t xml:space="preserve">A Knight </w:t>
      </w:r>
      <w:proofErr w:type="gramStart"/>
      <w:r w:rsidRPr="00FF4435">
        <w:rPr>
          <w:i/>
          <w:iCs/>
          <w:lang w:val="en-GB"/>
        </w:rPr>
        <w:t>At</w:t>
      </w:r>
      <w:proofErr w:type="gramEnd"/>
      <w:r w:rsidRPr="00FF4435">
        <w:rPr>
          <w:i/>
          <w:iCs/>
          <w:lang w:val="en-GB"/>
        </w:rPr>
        <w:t xml:space="preserve"> </w:t>
      </w:r>
      <w:proofErr w:type="gramStart"/>
      <w:r w:rsidRPr="00FF4435">
        <w:rPr>
          <w:i/>
          <w:iCs/>
          <w:lang w:val="en-GB"/>
        </w:rPr>
        <w:t>The</w:t>
      </w:r>
      <w:proofErr w:type="gramEnd"/>
      <w:r w:rsidRPr="00FF4435">
        <w:rPr>
          <w:i/>
          <w:iCs/>
          <w:lang w:val="en-GB"/>
        </w:rPr>
        <w:t xml:space="preserve"> Opera, Heine, Wagner, Herzl, Peretz, And </w:t>
      </w:r>
      <w:proofErr w:type="gramStart"/>
      <w:r w:rsidRPr="00FF4435">
        <w:rPr>
          <w:i/>
          <w:iCs/>
          <w:lang w:val="en-GB"/>
        </w:rPr>
        <w:t>The</w:t>
      </w:r>
      <w:proofErr w:type="gramEnd"/>
      <w:r w:rsidRPr="00FF4435">
        <w:rPr>
          <w:i/>
          <w:iCs/>
          <w:lang w:val="en-GB"/>
        </w:rPr>
        <w:t xml:space="preserve"> Legacy Of </w:t>
      </w:r>
      <w:proofErr w:type="gramStart"/>
      <w:r w:rsidRPr="00FF4435">
        <w:rPr>
          <w:i/>
          <w:iCs/>
          <w:lang w:val="en-GB"/>
        </w:rPr>
        <w:t>Der</w:t>
      </w:r>
      <w:proofErr w:type="gramEnd"/>
      <w:r w:rsidRPr="00FF4435">
        <w:rPr>
          <w:i/>
          <w:iCs/>
          <w:lang w:val="en-GB"/>
        </w:rPr>
        <w:t xml:space="preserve"> Tannhäuser</w:t>
      </w:r>
      <w:r w:rsidRPr="00FF4435">
        <w:rPr>
          <w:lang w:val="en-GB"/>
        </w:rPr>
        <w:t xml:space="preserve"> (Purdue University Press, 2011)</w:t>
      </w:r>
    </w:p>
  </w:footnote>
  <w:footnote w:id="26">
    <w:p w14:paraId="03AEF7AC" w14:textId="30C8DC0F" w:rsidR="005E4BBE" w:rsidRPr="001D5F7C" w:rsidRDefault="005E4BBE">
      <w:pPr>
        <w:pStyle w:val="Funotentext"/>
        <w:rPr>
          <w:lang w:val="en-GB"/>
        </w:rPr>
      </w:pPr>
      <w:r>
        <w:rPr>
          <w:rStyle w:val="Funotenzeichen"/>
        </w:rPr>
        <w:footnoteRef/>
      </w:r>
      <w:r w:rsidRPr="001D5F7C">
        <w:rPr>
          <w:lang w:val="en-GB"/>
        </w:rPr>
        <w:t xml:space="preserve"> </w:t>
      </w:r>
      <w:r w:rsidR="00FF4435" w:rsidRPr="00FF4435">
        <w:rPr>
          <w:lang w:val="en-GB"/>
        </w:rPr>
        <w:t>Gary K. Waite, ‘Talking animals, preserved corpses and Venusberg: the sixteenth century magical world view and popular conceptions of the spiritualist David Joris (c. I5OI-56)’</w:t>
      </w:r>
      <w:r w:rsidR="00FF4435">
        <w:rPr>
          <w:lang w:val="en-GB"/>
        </w:rPr>
        <w:t xml:space="preserve"> in </w:t>
      </w:r>
      <w:r w:rsidR="00FF4435" w:rsidRPr="00FF4435">
        <w:rPr>
          <w:i/>
          <w:iCs/>
          <w:lang w:val="en-GB"/>
        </w:rPr>
        <w:t>Social History</w:t>
      </w:r>
      <w:r w:rsidR="00FF4435" w:rsidRPr="00FF4435">
        <w:rPr>
          <w:lang w:val="en-GB"/>
        </w:rPr>
        <w:t>, 20</w:t>
      </w:r>
      <w:r w:rsidR="00FF4435">
        <w:rPr>
          <w:lang w:val="en-GB"/>
        </w:rPr>
        <w:t>.</w:t>
      </w:r>
      <w:r w:rsidR="00FF4435" w:rsidRPr="00FF4435">
        <w:rPr>
          <w:lang w:val="en-GB"/>
        </w:rPr>
        <w:t xml:space="preserve"> 2</w:t>
      </w:r>
      <w:r w:rsidR="00FF4435">
        <w:rPr>
          <w:lang w:val="en-GB"/>
        </w:rPr>
        <w:t xml:space="preserve"> (</w:t>
      </w:r>
      <w:r w:rsidR="00FF4435" w:rsidRPr="00FF4435">
        <w:rPr>
          <w:lang w:val="en-GB"/>
        </w:rPr>
        <w:t>May 1995</w:t>
      </w:r>
      <w:r w:rsidR="00FF4435">
        <w:rPr>
          <w:lang w:val="en-GB"/>
        </w:rPr>
        <w:t>)</w:t>
      </w:r>
      <w:r w:rsidR="00FF4435" w:rsidRPr="00FF4435">
        <w:rPr>
          <w:lang w:val="en-GB"/>
        </w:rPr>
        <w:t>, (Taylor &amp; Francis) pp. 137-156.</w:t>
      </w:r>
    </w:p>
  </w:footnote>
  <w:footnote w:id="27">
    <w:p w14:paraId="28737553" w14:textId="52055865" w:rsidR="00307656" w:rsidRPr="00307656" w:rsidRDefault="00307656">
      <w:pPr>
        <w:pStyle w:val="Funotentext"/>
        <w:rPr>
          <w:lang w:val="en-GB"/>
        </w:rPr>
      </w:pPr>
      <w:r>
        <w:rPr>
          <w:rStyle w:val="Funotenzeichen"/>
        </w:rPr>
        <w:footnoteRef/>
      </w:r>
      <w:r w:rsidRPr="00307656">
        <w:rPr>
          <w:lang w:val="en-GB"/>
        </w:rPr>
        <w:t xml:space="preserve"> Ivan Sprajc, ‘Alignments upon Venus (and Other Planets)- Identification and Analysis</w:t>
      </w:r>
      <w:r>
        <w:rPr>
          <w:lang w:val="en-GB"/>
        </w:rPr>
        <w:t>’</w:t>
      </w:r>
      <w:r w:rsidRPr="00307656">
        <w:rPr>
          <w:i/>
          <w:iCs/>
          <w:lang w:val="en-GB"/>
        </w:rPr>
        <w:t xml:space="preserve">, Handbook of </w:t>
      </w:r>
      <w:proofErr w:type="spellStart"/>
      <w:r w:rsidRPr="00307656">
        <w:rPr>
          <w:i/>
          <w:iCs/>
          <w:lang w:val="en-GB"/>
        </w:rPr>
        <w:t>Archaeoastronomy</w:t>
      </w:r>
      <w:proofErr w:type="spellEnd"/>
      <w:r w:rsidRPr="00307656">
        <w:rPr>
          <w:i/>
          <w:iCs/>
          <w:lang w:val="en-GB"/>
        </w:rPr>
        <w:t xml:space="preserve"> and Ethnoastronomy,</w:t>
      </w:r>
      <w:r w:rsidRPr="00307656">
        <w:rPr>
          <w:lang w:val="en-GB"/>
        </w:rPr>
        <w:t xml:space="preserve"> C.L.N. Ruggles (ed.), (New York: Springer Science + Business Media, 2015) </w:t>
      </w:r>
      <w:r>
        <w:rPr>
          <w:lang w:val="en-GB"/>
        </w:rPr>
        <w:t>pp. 507-516.</w:t>
      </w:r>
    </w:p>
  </w:footnote>
  <w:footnote w:id="28">
    <w:p w14:paraId="58A66DEA" w14:textId="54AD8D21" w:rsidR="005E4BBE" w:rsidRPr="001D5F7C" w:rsidRDefault="005E4BBE">
      <w:pPr>
        <w:pStyle w:val="Funotentext"/>
        <w:rPr>
          <w:lang w:val="en-GB"/>
        </w:rPr>
      </w:pPr>
      <w:r>
        <w:rPr>
          <w:rStyle w:val="Funotenzeichen"/>
        </w:rPr>
        <w:footnoteRef/>
      </w:r>
      <w:r w:rsidRPr="001D5F7C">
        <w:rPr>
          <w:lang w:val="en-GB"/>
        </w:rPr>
        <w:t xml:space="preserve"> </w:t>
      </w:r>
      <w:r w:rsidR="00AD7A99" w:rsidRPr="00BB3231">
        <w:rPr>
          <w:lang w:val="en-GB"/>
        </w:rPr>
        <w:t>Nicholas</w:t>
      </w:r>
      <w:r w:rsidR="00AD7A99">
        <w:rPr>
          <w:lang w:val="en-GB"/>
        </w:rPr>
        <w:t xml:space="preserve"> </w:t>
      </w:r>
      <w:r w:rsidR="00AD7A99" w:rsidRPr="00BB3231">
        <w:rPr>
          <w:lang w:val="en-GB"/>
        </w:rPr>
        <w:t xml:space="preserve">Campion, </w:t>
      </w:r>
      <w:r w:rsidR="00AD7A99" w:rsidRPr="00BB3231">
        <w:rPr>
          <w:i/>
          <w:iCs/>
          <w:lang w:val="en-GB"/>
        </w:rPr>
        <w:t>Astrology and Cosmology in the World’s Religions</w:t>
      </w:r>
      <w:r w:rsidR="00AD7A99">
        <w:rPr>
          <w:i/>
          <w:iCs/>
          <w:lang w:val="en-GB"/>
        </w:rPr>
        <w:t xml:space="preserve"> </w:t>
      </w:r>
      <w:r w:rsidR="00AD7A99" w:rsidRPr="00BB3231">
        <w:rPr>
          <w:lang w:val="en-GB"/>
        </w:rPr>
        <w:t>(New York and London: N</w:t>
      </w:r>
      <w:r w:rsidR="00AD7A99">
        <w:rPr>
          <w:lang w:val="en-GB"/>
        </w:rPr>
        <w:t xml:space="preserve">ew York University </w:t>
      </w:r>
      <w:r w:rsidR="00AD7A99" w:rsidRPr="00BB3231">
        <w:rPr>
          <w:lang w:val="en-GB"/>
        </w:rPr>
        <w:t>Press</w:t>
      </w:r>
      <w:r w:rsidR="00AD7A99">
        <w:rPr>
          <w:lang w:val="en-GB"/>
        </w:rPr>
        <w:t>, 2012</w:t>
      </w:r>
      <w:r w:rsidR="00AD7A99" w:rsidRPr="00BB3231">
        <w:rPr>
          <w:lang w:val="en-GB"/>
        </w:rPr>
        <w:t>)</w:t>
      </w:r>
      <w:r w:rsidR="00AD7A99">
        <w:rPr>
          <w:lang w:val="en-GB"/>
        </w:rPr>
        <w:t>.</w:t>
      </w:r>
    </w:p>
  </w:footnote>
  <w:footnote w:id="29">
    <w:p w14:paraId="25834AE4" w14:textId="2218918C" w:rsidR="00AD7A99" w:rsidRPr="00AD7A99" w:rsidRDefault="00AD7A99" w:rsidP="00AD7A99">
      <w:pPr>
        <w:pStyle w:val="Funotentext"/>
        <w:rPr>
          <w:lang w:val="en-GB"/>
        </w:rPr>
      </w:pPr>
      <w:r>
        <w:rPr>
          <w:rStyle w:val="Funotenzeichen"/>
        </w:rPr>
        <w:footnoteRef/>
      </w:r>
      <w:r w:rsidRPr="00AD7A99">
        <w:rPr>
          <w:lang w:val="en-GB"/>
        </w:rPr>
        <w:t xml:space="preserve"> Mary W. Helms</w:t>
      </w:r>
      <w:r>
        <w:rPr>
          <w:lang w:val="en-GB"/>
        </w:rPr>
        <w:t>, ‘</w:t>
      </w:r>
      <w:r w:rsidRPr="00AD7A99">
        <w:rPr>
          <w:lang w:val="en-GB"/>
        </w:rPr>
        <w:t>Before the Dawn. Monks and the Night in Late Antiquity and Early Medieval Europe</w:t>
      </w:r>
      <w:r>
        <w:rPr>
          <w:lang w:val="en-GB"/>
        </w:rPr>
        <w:t xml:space="preserve">’ in </w:t>
      </w:r>
    </w:p>
    <w:p w14:paraId="667DDB09" w14:textId="0C66270C" w:rsidR="00AD7A99" w:rsidRPr="00731C96" w:rsidRDefault="00AD7A99" w:rsidP="00AD7A99">
      <w:pPr>
        <w:pStyle w:val="Funotentext"/>
        <w:rPr>
          <w:lang w:val="en-GB"/>
        </w:rPr>
      </w:pPr>
      <w:r w:rsidRPr="00731C96">
        <w:rPr>
          <w:i/>
          <w:iCs/>
          <w:lang w:val="en-GB"/>
        </w:rPr>
        <w:t>Anthropos,</w:t>
      </w:r>
      <w:r w:rsidRPr="00731C96">
        <w:rPr>
          <w:lang w:val="en-GB"/>
        </w:rPr>
        <w:t xml:space="preserve"> 99. 1. (2004), pp. 177-191.</w:t>
      </w:r>
    </w:p>
  </w:footnote>
  <w:footnote w:id="30">
    <w:p w14:paraId="4336D20C" w14:textId="78D7A5BF" w:rsidR="005E4BBE" w:rsidRPr="00731C96" w:rsidRDefault="005E4BBE">
      <w:pPr>
        <w:pStyle w:val="Funotentext"/>
        <w:rPr>
          <w:lang w:val="en-GB"/>
        </w:rPr>
      </w:pPr>
      <w:r>
        <w:rPr>
          <w:rStyle w:val="Funotenzeichen"/>
        </w:rPr>
        <w:footnoteRef/>
      </w:r>
      <w:r w:rsidRPr="00731C96">
        <w:rPr>
          <w:lang w:val="en-GB"/>
        </w:rPr>
        <w:t xml:space="preserve"> </w:t>
      </w:r>
      <w:r w:rsidR="00290584" w:rsidRPr="00731C96">
        <w:rPr>
          <w:lang w:val="en-GB"/>
        </w:rPr>
        <w:t xml:space="preserve">Roger </w:t>
      </w:r>
      <w:r w:rsidR="00290584" w:rsidRPr="000D2305">
        <w:rPr>
          <w:lang w:val="en-GB"/>
        </w:rPr>
        <w:t>Beck</w:t>
      </w:r>
      <w:r w:rsidR="000D2305" w:rsidRPr="000D2305">
        <w:rPr>
          <w:lang w:val="en-GB"/>
        </w:rPr>
        <w:t>,</w:t>
      </w:r>
      <w:r w:rsidR="000D2305">
        <w:rPr>
          <w:lang w:val="en-GB"/>
        </w:rPr>
        <w:t xml:space="preserve"> ‘</w:t>
      </w:r>
      <w:r w:rsidR="000D2305" w:rsidRPr="000D2305">
        <w:rPr>
          <w:lang w:val="en-GB"/>
        </w:rPr>
        <w:t xml:space="preserve">Imagery </w:t>
      </w:r>
      <w:proofErr w:type="gramStart"/>
      <w:r w:rsidR="000D2305" w:rsidRPr="000D2305">
        <w:rPr>
          <w:lang w:val="en-GB"/>
        </w:rPr>
        <w:t>And</w:t>
      </w:r>
      <w:proofErr w:type="gramEnd"/>
      <w:r w:rsidR="000D2305" w:rsidRPr="000D2305">
        <w:rPr>
          <w:lang w:val="en-GB"/>
        </w:rPr>
        <w:t xml:space="preserve"> Narrative </w:t>
      </w:r>
      <w:proofErr w:type="gramStart"/>
      <w:r w:rsidR="000D2305" w:rsidRPr="000D2305">
        <w:rPr>
          <w:lang w:val="en-GB"/>
        </w:rPr>
        <w:t>In</w:t>
      </w:r>
      <w:proofErr w:type="gramEnd"/>
      <w:r w:rsidR="000D2305" w:rsidRPr="000D2305">
        <w:rPr>
          <w:lang w:val="en-GB"/>
        </w:rPr>
        <w:t xml:space="preserve"> </w:t>
      </w:r>
      <w:proofErr w:type="gramStart"/>
      <w:r w:rsidR="000D2305" w:rsidRPr="000D2305">
        <w:rPr>
          <w:lang w:val="en-GB"/>
        </w:rPr>
        <w:t>An</w:t>
      </w:r>
      <w:proofErr w:type="gramEnd"/>
      <w:r w:rsidR="000D2305" w:rsidRPr="000D2305">
        <w:rPr>
          <w:lang w:val="en-GB"/>
        </w:rPr>
        <w:t xml:space="preserve"> Ancient Horoscope: P. Lond. 130 (Greek Horoscopes No. 81)’ In </w:t>
      </w:r>
      <w:proofErr w:type="gramStart"/>
      <w:r w:rsidR="000D2305" w:rsidRPr="000D2305">
        <w:rPr>
          <w:i/>
          <w:iCs/>
          <w:lang w:val="en-GB"/>
        </w:rPr>
        <w:t>The</w:t>
      </w:r>
      <w:proofErr w:type="gramEnd"/>
      <w:r w:rsidR="000D2305" w:rsidRPr="000D2305">
        <w:rPr>
          <w:i/>
          <w:iCs/>
          <w:lang w:val="en-GB"/>
        </w:rPr>
        <w:t xml:space="preserve"> Imagined Sky</w:t>
      </w:r>
      <w:r w:rsidR="000D2305" w:rsidRPr="000D2305">
        <w:rPr>
          <w:i/>
          <w:iCs/>
          <w:lang w:val="en-GB"/>
        </w:rPr>
        <w:t>: Cultural Perspectives</w:t>
      </w:r>
      <w:r w:rsidR="000D2305" w:rsidRPr="000D2305">
        <w:rPr>
          <w:lang w:val="en-GB"/>
        </w:rPr>
        <w:t>,</w:t>
      </w:r>
      <w:r w:rsidR="000D2305" w:rsidRPr="00FF4435">
        <w:rPr>
          <w:lang w:val="en-GB"/>
        </w:rPr>
        <w:t xml:space="preserve"> </w:t>
      </w:r>
      <w:r w:rsidR="000D2305">
        <w:rPr>
          <w:lang w:val="en-GB"/>
        </w:rPr>
        <w:t>ed. by Darrelyn Gunzburg (Bristol: Equinox Publishing Ltd, 2016)</w:t>
      </w:r>
    </w:p>
  </w:footnote>
  <w:footnote w:id="31">
    <w:p w14:paraId="08C99BF7" w14:textId="3AC3968B" w:rsidR="00E974CD" w:rsidRPr="00815AEC" w:rsidRDefault="00E974CD" w:rsidP="008E0BB6">
      <w:pPr>
        <w:pStyle w:val="Funotentext"/>
        <w:rPr>
          <w:lang w:val="en-GB"/>
        </w:rPr>
      </w:pPr>
      <w:r>
        <w:rPr>
          <w:rStyle w:val="Funotenzeichen"/>
        </w:rPr>
        <w:footnoteRef/>
      </w:r>
      <w:r w:rsidRPr="00815AEC">
        <w:rPr>
          <w:lang w:val="en-GB"/>
        </w:rPr>
        <w:t xml:space="preserve"> </w:t>
      </w:r>
      <w:r w:rsidR="00815AEC" w:rsidRPr="00815AEC">
        <w:rPr>
          <w:lang w:val="en-GB"/>
        </w:rPr>
        <w:t>Bernadette Brady</w:t>
      </w:r>
      <w:r w:rsidR="00815AEC">
        <w:rPr>
          <w:lang w:val="en-GB"/>
        </w:rPr>
        <w:t>, ‘</w:t>
      </w:r>
      <w:r w:rsidR="00815AEC" w:rsidRPr="00815AEC">
        <w:rPr>
          <w:lang w:val="en-GB"/>
        </w:rPr>
        <w:t>The Sacred Geography papers and their methodologies</w:t>
      </w:r>
      <w:r w:rsidR="00815AEC">
        <w:rPr>
          <w:lang w:val="en-GB"/>
        </w:rPr>
        <w:t xml:space="preserve">’ in </w:t>
      </w:r>
      <w:r w:rsidR="008E0BB6" w:rsidRPr="008E0BB6">
        <w:rPr>
          <w:i/>
          <w:iCs/>
          <w:lang w:val="en-GB"/>
        </w:rPr>
        <w:t>Spica</w:t>
      </w:r>
      <w:r w:rsidR="008E0BB6" w:rsidRPr="008E0BB6">
        <w:rPr>
          <w:i/>
          <w:iCs/>
          <w:lang w:val="en-GB"/>
        </w:rPr>
        <w:t xml:space="preserve">, </w:t>
      </w:r>
      <w:r w:rsidR="008E0BB6" w:rsidRPr="008E0BB6">
        <w:rPr>
          <w:i/>
          <w:iCs/>
          <w:lang w:val="en-GB"/>
        </w:rPr>
        <w:t>Postgraduate Journal for Cosmology in Culture</w:t>
      </w:r>
      <w:r w:rsidR="008E0BB6">
        <w:rPr>
          <w:i/>
          <w:iCs/>
          <w:lang w:val="en-GB"/>
        </w:rPr>
        <w:t xml:space="preserve">, 4.2 (Autumn 2016), </w:t>
      </w:r>
      <w:r w:rsidR="008E0BB6" w:rsidRPr="008E0BB6">
        <w:rPr>
          <w:lang w:val="en-GB"/>
        </w:rPr>
        <w:t>pp. 9-11 (p. 11).</w:t>
      </w:r>
    </w:p>
  </w:footnote>
  <w:footnote w:id="32">
    <w:p w14:paraId="5C03BD83" w14:textId="31FACBC6" w:rsidR="00234E6A" w:rsidRPr="000E7182" w:rsidRDefault="00234E6A">
      <w:pPr>
        <w:pStyle w:val="Funotentext"/>
        <w:rPr>
          <w:lang w:val="en-GB"/>
        </w:rPr>
      </w:pPr>
      <w:r>
        <w:rPr>
          <w:rStyle w:val="Funotenzeichen"/>
        </w:rPr>
        <w:footnoteRef/>
      </w:r>
      <w:r w:rsidRPr="000E7182">
        <w:rPr>
          <w:lang w:val="en-GB"/>
        </w:rPr>
        <w:t xml:space="preserve"> </w:t>
      </w:r>
      <w:r w:rsidR="000E7182">
        <w:rPr>
          <w:lang w:val="en-GB"/>
        </w:rPr>
        <w:t>Guggisberg Vreneli Museum and trail &lt;</w:t>
      </w:r>
      <w:r w:rsidR="000E7182" w:rsidRPr="000E7182">
        <w:rPr>
          <w:lang w:val="en-GB"/>
        </w:rPr>
        <w:t>https://www.vreneli-museum.ch/</w:t>
      </w:r>
      <w:r w:rsidR="000E7182">
        <w:rPr>
          <w:lang w:val="en-GB"/>
        </w:rPr>
        <w:t>&gt;</w:t>
      </w:r>
    </w:p>
  </w:footnote>
  <w:footnote w:id="33">
    <w:p w14:paraId="658FD624" w14:textId="002560DE" w:rsidR="0030036D" w:rsidRPr="001C2D42" w:rsidRDefault="0030036D" w:rsidP="0030036D">
      <w:pPr>
        <w:pStyle w:val="Funotentext"/>
        <w:rPr>
          <w:lang w:val="en-GB"/>
        </w:rPr>
      </w:pPr>
      <w:r>
        <w:rPr>
          <w:rStyle w:val="Funotenzeichen"/>
        </w:rPr>
        <w:footnoteRef/>
      </w:r>
      <w:r w:rsidRPr="001C2D42">
        <w:rPr>
          <w:lang w:val="en-GB"/>
        </w:rPr>
        <w:t xml:space="preserve"> </w:t>
      </w:r>
      <w:r>
        <w:rPr>
          <w:lang w:val="en-GB"/>
        </w:rPr>
        <w:t>Eva Kingsepp, G</w:t>
      </w:r>
      <w:r w:rsidR="00290584">
        <w:rPr>
          <w:lang w:val="en-GB"/>
        </w:rPr>
        <w:t>h</w:t>
      </w:r>
      <w:r>
        <w:rPr>
          <w:lang w:val="en-GB"/>
        </w:rPr>
        <w:t xml:space="preserve">osts, Extraterrestrials, and (Re-)enchantment, in </w:t>
      </w:r>
      <w:r w:rsidRPr="001C2D42">
        <w:rPr>
          <w:lang w:val="en-GB"/>
        </w:rPr>
        <w:t>Jack Hunter and Rachael Ironside, Folklore, People, and Place: International Perspectives on Tourism and Tradition in Storied Places (London and New York: Routledge Taylor &amp; Francis Group, 2023) pp 186-198 (p. 192).</w:t>
      </w:r>
    </w:p>
  </w:footnote>
  <w:footnote w:id="34">
    <w:p w14:paraId="1F90FD66" w14:textId="4F39E2D1" w:rsidR="0092203B" w:rsidRPr="00550DCC" w:rsidRDefault="0092203B" w:rsidP="0092203B">
      <w:pPr>
        <w:pStyle w:val="Funotentext"/>
        <w:rPr>
          <w:lang w:val="en-GB"/>
        </w:rPr>
      </w:pPr>
      <w:r>
        <w:rPr>
          <w:rStyle w:val="Funotenzeichen"/>
        </w:rPr>
        <w:footnoteRef/>
      </w:r>
      <w:r w:rsidRPr="00550DCC">
        <w:rPr>
          <w:lang w:val="en-GB"/>
        </w:rPr>
        <w:t xml:space="preserve"> R</w:t>
      </w:r>
      <w:r>
        <w:rPr>
          <w:lang w:val="en-GB"/>
        </w:rPr>
        <w:t xml:space="preserve">onald Hutton, </w:t>
      </w:r>
      <w:r w:rsidR="00E974CD">
        <w:rPr>
          <w:lang w:val="en-GB"/>
        </w:rPr>
        <w:t>‘</w:t>
      </w:r>
      <w:r>
        <w:rPr>
          <w:lang w:val="en-GB"/>
        </w:rPr>
        <w:t>The Wild Hunt and the Witches’ Sabath</w:t>
      </w:r>
      <w:r w:rsidR="00E974CD">
        <w:rPr>
          <w:lang w:val="en-GB"/>
        </w:rPr>
        <w:t>’</w:t>
      </w:r>
      <w:r>
        <w:rPr>
          <w:lang w:val="en-GB"/>
        </w:rPr>
        <w:t>, p. 163.</w:t>
      </w:r>
    </w:p>
  </w:footnote>
  <w:footnote w:id="35">
    <w:p w14:paraId="78A4F245" w14:textId="77777777" w:rsidR="0074233F" w:rsidRPr="0074233F" w:rsidRDefault="0074233F" w:rsidP="0074233F">
      <w:pPr>
        <w:pStyle w:val="Funotentext"/>
        <w:rPr>
          <w:lang w:val="en-GB"/>
        </w:rPr>
      </w:pPr>
      <w:r>
        <w:rPr>
          <w:rStyle w:val="Funotenzeichen"/>
        </w:rPr>
        <w:footnoteRef/>
      </w:r>
      <w:r w:rsidRPr="0074233F">
        <w:rPr>
          <w:lang w:val="en-GB"/>
        </w:rPr>
        <w:t xml:space="preserve"> Hiking map of Guggisberg Tourismus: file:///C:/Users/andre/Documents/Sophia%20Center%20University%20of%20Wales/Sacred%20Geography/Sacred%20Geography_Assignment%202/Fotos%20Guggisberg/wandervorschlaege_guggisberg.pdf</w:t>
      </w:r>
    </w:p>
  </w:footnote>
  <w:footnote w:id="36">
    <w:p w14:paraId="7B36A46A" w14:textId="77777777" w:rsidR="00E0186A" w:rsidRPr="00006B31" w:rsidRDefault="00E0186A" w:rsidP="00E0186A">
      <w:pPr>
        <w:pStyle w:val="Funotentext"/>
        <w:rPr>
          <w:lang w:val="en-GB"/>
        </w:rPr>
      </w:pPr>
      <w:r>
        <w:rPr>
          <w:rStyle w:val="Funotenzeichen"/>
        </w:rPr>
        <w:footnoteRef/>
      </w:r>
      <w:r w:rsidRPr="00006B31">
        <w:rPr>
          <w:lang w:val="en-GB"/>
        </w:rPr>
        <w:t xml:space="preserve"> </w:t>
      </w:r>
      <w:r>
        <w:rPr>
          <w:lang w:val="en-GB"/>
        </w:rPr>
        <w:t xml:space="preserve">Lane, </w:t>
      </w:r>
      <w:r w:rsidRPr="00006B31">
        <w:rPr>
          <w:i/>
          <w:iCs/>
          <w:lang w:val="en-GB"/>
        </w:rPr>
        <w:t>Landscapes of the Sacred,</w:t>
      </w:r>
      <w:r>
        <w:rPr>
          <w:lang w:val="en-GB"/>
        </w:rPr>
        <w:t xml:space="preserve"> p. 39.</w:t>
      </w:r>
    </w:p>
  </w:footnote>
  <w:footnote w:id="37">
    <w:p w14:paraId="7FC05ABC" w14:textId="2B3F8F10" w:rsidR="00665732" w:rsidRDefault="00665732" w:rsidP="00665732">
      <w:pPr>
        <w:pStyle w:val="Funotentext"/>
      </w:pPr>
      <w:r>
        <w:rPr>
          <w:rStyle w:val="Funotenzeichen"/>
        </w:rPr>
        <w:footnoteRef/>
      </w:r>
      <w:r>
        <w:t xml:space="preserve"> </w:t>
      </w:r>
      <w:r w:rsidR="006A1684">
        <w:t>V</w:t>
      </w:r>
      <w:r w:rsidR="006A1684" w:rsidRPr="006B6D34">
        <w:t>on Greyerz</w:t>
      </w:r>
      <w:r w:rsidR="006A1684">
        <w:t>, ‘</w:t>
      </w:r>
      <w:r w:rsidR="006A1684" w:rsidRPr="006B6D34">
        <w:t xml:space="preserve">Das Alte </w:t>
      </w:r>
      <w:proofErr w:type="spellStart"/>
      <w:r w:rsidR="006A1684" w:rsidRPr="006B6D34">
        <w:t>Guggisberger</w:t>
      </w:r>
      <w:proofErr w:type="spellEnd"/>
      <w:r w:rsidR="006A1684" w:rsidRPr="006B6D34">
        <w:t xml:space="preserve"> Lied</w:t>
      </w:r>
      <w:r w:rsidR="006A1684">
        <w:t xml:space="preserve">’, </w:t>
      </w:r>
      <w:r>
        <w:t>p.</w:t>
      </w:r>
      <w:r w:rsidR="00E91C18">
        <w:t xml:space="preserve"> 195.</w:t>
      </w:r>
    </w:p>
  </w:footnote>
  <w:footnote w:id="38">
    <w:p w14:paraId="14F940E4" w14:textId="77777777" w:rsidR="00665732" w:rsidRDefault="00665732" w:rsidP="00665732">
      <w:pPr>
        <w:pStyle w:val="Funotentext"/>
      </w:pPr>
      <w:r>
        <w:rPr>
          <w:rStyle w:val="Funotenzeichen"/>
        </w:rPr>
        <w:footnoteRef/>
      </w:r>
      <w:r>
        <w:t xml:space="preserve"> &lt;</w:t>
      </w:r>
      <w:r w:rsidRPr="00665732">
        <w:t>https://www.guggisberg-tourismus.ch/vreneli-ab-em-guggischbaerg/</w:t>
      </w:r>
      <w:r>
        <w:t>&gt;</w:t>
      </w:r>
    </w:p>
  </w:footnote>
  <w:footnote w:id="39">
    <w:p w14:paraId="6EC4790F" w14:textId="7ABF4CCE" w:rsidR="008C6EBA" w:rsidRPr="001C2D42" w:rsidRDefault="008C6EBA" w:rsidP="008C6EBA">
      <w:pPr>
        <w:pStyle w:val="Funotentext"/>
        <w:rPr>
          <w:lang w:val="en-GB"/>
        </w:rPr>
      </w:pPr>
      <w:r>
        <w:rPr>
          <w:rStyle w:val="Funotenzeichen"/>
        </w:rPr>
        <w:footnoteRef/>
      </w:r>
      <w:r w:rsidRPr="001C2D42">
        <w:rPr>
          <w:lang w:val="en-GB"/>
        </w:rPr>
        <w:t xml:space="preserve"> </w:t>
      </w:r>
      <w:r>
        <w:rPr>
          <w:lang w:val="en-GB"/>
        </w:rPr>
        <w:t>Eva Kingsepp, G</w:t>
      </w:r>
      <w:r w:rsidR="00E974CD">
        <w:rPr>
          <w:lang w:val="en-GB"/>
        </w:rPr>
        <w:t>h</w:t>
      </w:r>
      <w:r>
        <w:rPr>
          <w:lang w:val="en-GB"/>
        </w:rPr>
        <w:t xml:space="preserve">osts, Extraterrestrials, and (Re-)enchantment, in </w:t>
      </w:r>
      <w:r w:rsidRPr="001C2D42">
        <w:rPr>
          <w:lang w:val="en-GB"/>
        </w:rPr>
        <w:t>Jack Hunter and Rachael Ironside, Folklore, People, and Place: International Perspectives on Tourism and Tradition in Storied Places (London and New York: Routledge Taylor &amp; Francis Group, 2023) pp 186-198 (p. 192).</w:t>
      </w:r>
    </w:p>
  </w:footnote>
  <w:footnote w:id="40">
    <w:p w14:paraId="67896D0F" w14:textId="220DA7D7" w:rsidR="003D2817" w:rsidRPr="003D2817" w:rsidRDefault="003D2817" w:rsidP="003D2817">
      <w:pPr>
        <w:pStyle w:val="Funotentext"/>
      </w:pPr>
      <w:r>
        <w:rPr>
          <w:rStyle w:val="Funotenzeichen"/>
        </w:rPr>
        <w:footnoteRef/>
      </w:r>
      <w:r>
        <w:t xml:space="preserve"> </w:t>
      </w:r>
      <w:r w:rsidRPr="003D2817">
        <w:t xml:space="preserve">Tim Ingold, </w:t>
      </w:r>
      <w:r w:rsidRPr="00290584">
        <w:rPr>
          <w:i/>
          <w:iCs/>
        </w:rPr>
        <w:t>Lines</w:t>
      </w:r>
      <w:r w:rsidRPr="00290584">
        <w:rPr>
          <w:b/>
          <w:bCs/>
          <w:i/>
          <w:iCs/>
        </w:rPr>
        <w:t>,</w:t>
      </w:r>
      <w:r>
        <w:rPr>
          <w:b/>
          <w:bCs/>
        </w:rPr>
        <w:t xml:space="preserve"> </w:t>
      </w:r>
      <w:r w:rsidRPr="003D2817">
        <w:t>p. 27.</w:t>
      </w:r>
    </w:p>
  </w:footnote>
  <w:footnote w:id="41">
    <w:p w14:paraId="66639E85" w14:textId="63C485DF" w:rsidR="00E91C18" w:rsidRDefault="00E91C18">
      <w:pPr>
        <w:pStyle w:val="Funotentext"/>
      </w:pPr>
      <w:r>
        <w:rPr>
          <w:rStyle w:val="Funotenzeichen"/>
        </w:rPr>
        <w:footnoteRef/>
      </w:r>
      <w:r>
        <w:t xml:space="preserve"> </w:t>
      </w:r>
      <w:r w:rsidR="006A1684">
        <w:t>V</w:t>
      </w:r>
      <w:r w:rsidR="006A1684" w:rsidRPr="006B6D34">
        <w:t>on Greyerz</w:t>
      </w:r>
      <w:r w:rsidR="006A1684">
        <w:t>, ‘</w:t>
      </w:r>
      <w:r w:rsidR="006A1684" w:rsidRPr="006B6D34">
        <w:t xml:space="preserve">Das Alte </w:t>
      </w:r>
      <w:proofErr w:type="spellStart"/>
      <w:r w:rsidR="006A1684" w:rsidRPr="006B6D34">
        <w:t>Guggisberger</w:t>
      </w:r>
      <w:proofErr w:type="spellEnd"/>
      <w:r w:rsidR="006A1684" w:rsidRPr="006B6D34">
        <w:t xml:space="preserve"> Lied</w:t>
      </w:r>
      <w:r w:rsidR="006A1684">
        <w:t>’</w:t>
      </w:r>
      <w:r>
        <w:t>, p. 211.</w:t>
      </w:r>
    </w:p>
  </w:footnote>
  <w:footnote w:id="42">
    <w:p w14:paraId="35A6E24E" w14:textId="77777777" w:rsidR="00731C96" w:rsidRPr="00A629F5" w:rsidRDefault="00731C96" w:rsidP="00731C96">
      <w:pPr>
        <w:pStyle w:val="Funotentext"/>
        <w:rPr>
          <w:lang w:val="en-GB"/>
        </w:rPr>
      </w:pPr>
      <w:r>
        <w:rPr>
          <w:rStyle w:val="Funotenzeichen"/>
        </w:rPr>
        <w:footnoteRef/>
      </w:r>
      <w:r w:rsidRPr="00A629F5">
        <w:rPr>
          <w:lang w:val="en-GB"/>
        </w:rPr>
        <w:t xml:space="preserve"> </w:t>
      </w:r>
      <w:r>
        <w:rPr>
          <w:lang w:val="en-GB"/>
        </w:rPr>
        <w:t>List of fairy tales around Guggisberg with fairy in mountain</w:t>
      </w:r>
    </w:p>
  </w:footnote>
  <w:footnote w:id="43">
    <w:p w14:paraId="5E449F9A" w14:textId="77777777" w:rsidR="00731C96" w:rsidRPr="0000792D" w:rsidRDefault="00731C96" w:rsidP="00731C96">
      <w:pPr>
        <w:pStyle w:val="Funotentext"/>
        <w:rPr>
          <w:lang w:val="en-GB"/>
        </w:rPr>
      </w:pPr>
      <w:r>
        <w:rPr>
          <w:rStyle w:val="Funotenzeichen"/>
        </w:rPr>
        <w:footnoteRef/>
      </w:r>
      <w:r w:rsidRPr="0000792D">
        <w:rPr>
          <w:lang w:val="en-GB"/>
        </w:rPr>
        <w:t xml:space="preserve"> E</w:t>
      </w:r>
      <w:r>
        <w:rPr>
          <w:lang w:val="en-GB"/>
        </w:rPr>
        <w:t>liade Sacred and Profane, p. 25.</w:t>
      </w:r>
    </w:p>
  </w:footnote>
  <w:footnote w:id="44">
    <w:p w14:paraId="09ABCBE9" w14:textId="77777777" w:rsidR="00731C96" w:rsidRPr="006101D1" w:rsidRDefault="00731C96" w:rsidP="00731C96">
      <w:pPr>
        <w:pStyle w:val="Funotentext"/>
        <w:rPr>
          <w:lang w:val="en-GB"/>
        </w:rPr>
      </w:pPr>
      <w:r>
        <w:rPr>
          <w:rStyle w:val="Funotenzeichen"/>
        </w:rPr>
        <w:footnoteRef/>
      </w:r>
      <w:r w:rsidRPr="006101D1">
        <w:rPr>
          <w:lang w:val="en-GB"/>
        </w:rPr>
        <w:t xml:space="preserve"> Eliade, The Sacred and the Profane, p. 63.</w:t>
      </w:r>
    </w:p>
  </w:footnote>
  <w:footnote w:id="45">
    <w:p w14:paraId="1EBA71E1" w14:textId="77777777" w:rsidR="00731C96" w:rsidRDefault="00731C96" w:rsidP="00731C96">
      <w:pPr>
        <w:pStyle w:val="Funotentext"/>
      </w:pPr>
      <w:r>
        <w:rPr>
          <w:rStyle w:val="Funotenzeichen"/>
        </w:rPr>
        <w:footnoteRef/>
      </w:r>
      <w:r>
        <w:t xml:space="preserve"> V</w:t>
      </w:r>
      <w:r w:rsidRPr="006B6D34">
        <w:t>on Greyerz</w:t>
      </w:r>
      <w:r>
        <w:t>, ‘</w:t>
      </w:r>
      <w:r w:rsidRPr="006B6D34">
        <w:t xml:space="preserve">Das Alte </w:t>
      </w:r>
      <w:proofErr w:type="spellStart"/>
      <w:r w:rsidRPr="006B6D34">
        <w:t>Guggisberger</w:t>
      </w:r>
      <w:proofErr w:type="spellEnd"/>
      <w:r w:rsidRPr="006B6D34">
        <w:t xml:space="preserve"> Lied</w:t>
      </w:r>
      <w:r>
        <w:t>’, p. 194.</w:t>
      </w:r>
    </w:p>
  </w:footnote>
  <w:footnote w:id="46">
    <w:p w14:paraId="71AF7C1C" w14:textId="77777777" w:rsidR="00731C96" w:rsidRPr="00B5119E" w:rsidRDefault="00731C96" w:rsidP="00731C96">
      <w:pPr>
        <w:pStyle w:val="Funotentext"/>
      </w:pPr>
      <w:r>
        <w:rPr>
          <w:rStyle w:val="Funotenzeichen"/>
        </w:rPr>
        <w:footnoteRef/>
      </w:r>
      <w:r w:rsidRPr="00B5119E">
        <w:t xml:space="preserve"> Derungs, Geheimnisvolles Bern, 213.</w:t>
      </w:r>
    </w:p>
  </w:footnote>
  <w:footnote w:id="47">
    <w:p w14:paraId="743920ED" w14:textId="77777777" w:rsidR="00731C96" w:rsidRPr="00FC04F3" w:rsidRDefault="00731C96" w:rsidP="00731C96">
      <w:pPr>
        <w:pStyle w:val="Funotentext"/>
        <w:rPr>
          <w:lang w:val="en-GB"/>
        </w:rPr>
      </w:pPr>
      <w:r>
        <w:rPr>
          <w:rStyle w:val="Funotenzeichen"/>
        </w:rPr>
        <w:footnoteRef/>
      </w:r>
      <w:r w:rsidRPr="00731C96">
        <w:t xml:space="preserve"> </w:t>
      </w:r>
      <w:r w:rsidRPr="000E7182">
        <w:t xml:space="preserve">Hutton, Ronald. </w:t>
      </w:r>
      <w:r w:rsidRPr="000E7182">
        <w:rPr>
          <w:lang w:val="en-GB"/>
        </w:rPr>
        <w:t>Queens of the Wild:</w:t>
      </w:r>
      <w:r w:rsidRPr="00FC04F3">
        <w:rPr>
          <w:lang w:val="en-GB"/>
        </w:rPr>
        <w:t xml:space="preserve"> Pagan</w:t>
      </w:r>
      <w:r w:rsidRPr="00B753B5">
        <w:rPr>
          <w:i/>
          <w:iCs/>
          <w:lang w:val="en-GB"/>
        </w:rPr>
        <w:t xml:space="preserve"> Goddesses in Christian Europe: An Investigation </w:t>
      </w:r>
      <w:r w:rsidRPr="00FC04F3">
        <w:rPr>
          <w:lang w:val="en-GB"/>
        </w:rPr>
        <w:t xml:space="preserve">(New Haven and London: Yale University Press,2022) p.126. </w:t>
      </w:r>
    </w:p>
  </w:footnote>
  <w:footnote w:id="48">
    <w:p w14:paraId="4EB10D85" w14:textId="77777777" w:rsidR="00731C96" w:rsidRPr="00731C96" w:rsidRDefault="00731C96" w:rsidP="00731C96">
      <w:pPr>
        <w:pStyle w:val="Funotentext"/>
        <w:rPr>
          <w:lang w:val="en-GB"/>
        </w:rPr>
      </w:pPr>
      <w:r>
        <w:rPr>
          <w:rStyle w:val="Funotenzeichen"/>
        </w:rPr>
        <w:footnoteRef/>
      </w:r>
      <w:r w:rsidRPr="00731C96">
        <w:rPr>
          <w:lang w:val="en-GB"/>
        </w:rPr>
        <w:t xml:space="preserve"> </w:t>
      </w:r>
      <w:proofErr w:type="spellStart"/>
      <w:r w:rsidRPr="00731C96">
        <w:rPr>
          <w:lang w:val="en-GB"/>
        </w:rPr>
        <w:t>Volksliederarchiv</w:t>
      </w:r>
      <w:proofErr w:type="spellEnd"/>
      <w:r w:rsidRPr="00731C96">
        <w:rPr>
          <w:lang w:val="en-GB"/>
        </w:rPr>
        <w:t xml:space="preserve"> &lt;https://www.volksliederarchiv.de/s-isch-aeben-e-moensch-uf-aerde/</w:t>
      </w:r>
      <w:proofErr w:type="gramStart"/>
      <w:r w:rsidRPr="00731C96">
        <w:rPr>
          <w:lang w:val="en-GB"/>
        </w:rPr>
        <w:t>&gt;  [</w:t>
      </w:r>
      <w:proofErr w:type="gramEnd"/>
      <w:r w:rsidRPr="00731C96">
        <w:rPr>
          <w:lang w:val="en-GB"/>
        </w:rPr>
        <w:t>accessed 18 December 2025]</w:t>
      </w:r>
    </w:p>
  </w:footnote>
  <w:footnote w:id="49">
    <w:p w14:paraId="79609708" w14:textId="1BAB2F29" w:rsidR="00731C96" w:rsidRPr="00731C96" w:rsidRDefault="00731C96" w:rsidP="00731C96">
      <w:pPr>
        <w:pStyle w:val="Funotentext"/>
        <w:rPr>
          <w:lang w:val="en-GB"/>
        </w:rPr>
      </w:pPr>
      <w:r>
        <w:rPr>
          <w:rStyle w:val="Funotenzeichen"/>
        </w:rPr>
        <w:footnoteRef/>
      </w:r>
      <w:r w:rsidR="000E7182">
        <w:rPr>
          <w:lang w:val="en-GB"/>
        </w:rPr>
        <w:t xml:space="preserve"> Grimm, </w:t>
      </w:r>
      <w:r w:rsidRPr="00731C96">
        <w:rPr>
          <w:lang w:val="en-GB"/>
        </w:rPr>
        <w:t>KMH 142</w:t>
      </w:r>
    </w:p>
  </w:footnote>
  <w:footnote w:id="50">
    <w:p w14:paraId="098F0772" w14:textId="77777777" w:rsidR="00731C96" w:rsidRPr="00731C96" w:rsidRDefault="00731C96" w:rsidP="00731C96">
      <w:pPr>
        <w:pStyle w:val="Funotentext"/>
        <w:rPr>
          <w:lang w:val="en-GB"/>
        </w:rPr>
      </w:pPr>
      <w:r>
        <w:rPr>
          <w:rStyle w:val="Funotenzeichen"/>
        </w:rPr>
        <w:footnoteRef/>
      </w:r>
      <w:r w:rsidRPr="00731C96">
        <w:rPr>
          <w:lang w:val="en-GB"/>
        </w:rPr>
        <w:t xml:space="preserve"> </w:t>
      </w:r>
      <w:proofErr w:type="spellStart"/>
      <w:r w:rsidRPr="00731C96">
        <w:rPr>
          <w:lang w:val="en-GB"/>
        </w:rPr>
        <w:t>Volksliederarchiv</w:t>
      </w:r>
      <w:proofErr w:type="spellEnd"/>
      <w:r w:rsidRPr="00731C96">
        <w:rPr>
          <w:lang w:val="en-GB"/>
        </w:rPr>
        <w:t xml:space="preserve"> &lt;https://www.volksliederarchiv.de/s-isch-aeben-e-moensch-uf-aerde/</w:t>
      </w:r>
      <w:proofErr w:type="gramStart"/>
      <w:r w:rsidRPr="00731C96">
        <w:rPr>
          <w:lang w:val="en-GB"/>
        </w:rPr>
        <w:t>&gt;  [</w:t>
      </w:r>
      <w:proofErr w:type="gramEnd"/>
      <w:r w:rsidRPr="00731C96">
        <w:rPr>
          <w:lang w:val="en-GB"/>
        </w:rPr>
        <w:t>accessed 18 December 2025]</w:t>
      </w:r>
    </w:p>
  </w:footnote>
  <w:footnote w:id="51">
    <w:p w14:paraId="4F1D4581" w14:textId="77777777" w:rsidR="00731C96" w:rsidRPr="00731C96" w:rsidRDefault="00731C96" w:rsidP="00731C96">
      <w:pPr>
        <w:pStyle w:val="Funotentext"/>
        <w:rPr>
          <w:lang w:val="en-GB"/>
        </w:rPr>
      </w:pPr>
      <w:r>
        <w:rPr>
          <w:rStyle w:val="Funotenzeichen"/>
        </w:rPr>
        <w:footnoteRef/>
      </w:r>
      <w:r w:rsidRPr="00663C48">
        <w:t xml:space="preserve"> </w:t>
      </w:r>
      <w:r>
        <w:t xml:space="preserve">Friedrich Staub and Ludwig Tober, Schweizerisches Idiotikon: Wörterbuch der Schweizerdeutschen Sprache, Antiquarische Gesellschaft Zürich, (Frauenfeld: Verlag J. Huber, 1901), </w:t>
      </w:r>
      <w:r w:rsidRPr="00663C48">
        <w:t xml:space="preserve">p. 1562. </w:t>
      </w:r>
      <w:r w:rsidRPr="00731C96">
        <w:rPr>
          <w:lang w:val="en-GB"/>
        </w:rPr>
        <w:t>&lt;https://digital.idiotikon.ch/idtkn/id4.htm#!page/41559/mode/2up&gt;, [accessed 15 December 2025]</w:t>
      </w:r>
    </w:p>
  </w:footnote>
  <w:footnote w:id="52">
    <w:p w14:paraId="31003C55" w14:textId="77777777" w:rsidR="00731C96" w:rsidRPr="00A62750" w:rsidRDefault="00731C96" w:rsidP="00731C96">
      <w:pPr>
        <w:pStyle w:val="Funotentext"/>
        <w:rPr>
          <w:lang w:val="en-GB"/>
        </w:rPr>
      </w:pPr>
      <w:r>
        <w:rPr>
          <w:rStyle w:val="Funotenzeichen"/>
        </w:rPr>
        <w:footnoteRef/>
      </w:r>
      <w:r w:rsidRPr="00A62750">
        <w:rPr>
          <w:lang w:val="en-GB"/>
        </w:rPr>
        <w:t xml:space="preserve"> Durkheim, </w:t>
      </w:r>
      <w:r w:rsidRPr="00A62750">
        <w:rPr>
          <w:i/>
          <w:iCs/>
          <w:lang w:val="en-GB"/>
        </w:rPr>
        <w:t xml:space="preserve">The Elementary Forms, </w:t>
      </w:r>
      <w:r w:rsidRPr="00A62750">
        <w:rPr>
          <w:lang w:val="en-GB"/>
        </w:rPr>
        <w:t>p. 82.</w:t>
      </w:r>
    </w:p>
  </w:footnote>
  <w:footnote w:id="53">
    <w:p w14:paraId="711753E1" w14:textId="77777777" w:rsidR="00731C96" w:rsidRPr="00A67ABE" w:rsidRDefault="00731C96" w:rsidP="00731C96">
      <w:pPr>
        <w:pStyle w:val="Funotentext"/>
        <w:rPr>
          <w:lang w:val="en-GB"/>
        </w:rPr>
      </w:pPr>
      <w:r>
        <w:rPr>
          <w:rStyle w:val="Funotenzeichen"/>
        </w:rPr>
        <w:footnoteRef/>
      </w:r>
      <w:r w:rsidRPr="00A67ABE">
        <w:rPr>
          <w:lang w:val="en-GB"/>
        </w:rPr>
        <w:t xml:space="preserve"> </w:t>
      </w:r>
      <w:r w:rsidRPr="00714551">
        <w:rPr>
          <w:lang w:val="en-GB"/>
        </w:rPr>
        <w:t xml:space="preserve">Durkheim, </w:t>
      </w:r>
      <w:r w:rsidRPr="00714551">
        <w:rPr>
          <w:i/>
          <w:iCs/>
          <w:lang w:val="en-GB"/>
        </w:rPr>
        <w:t>The Elementary Forms</w:t>
      </w:r>
      <w:r>
        <w:rPr>
          <w:lang w:val="en-GB"/>
        </w:rPr>
        <w:t>,</w:t>
      </w:r>
      <w:r w:rsidRPr="00C807ED">
        <w:rPr>
          <w:lang w:val="en-GB"/>
        </w:rPr>
        <w:t xml:space="preserve"> </w:t>
      </w:r>
      <w:r>
        <w:rPr>
          <w:lang w:val="en-GB"/>
        </w:rPr>
        <w:t>p. 38.</w:t>
      </w:r>
    </w:p>
  </w:footnote>
  <w:footnote w:id="54">
    <w:p w14:paraId="26F9D820" w14:textId="77777777" w:rsidR="00731C96" w:rsidRPr="00DA7D5B" w:rsidRDefault="00731C96" w:rsidP="00731C96">
      <w:pPr>
        <w:pStyle w:val="Funotentext"/>
        <w:rPr>
          <w:lang w:val="en-GB"/>
        </w:rPr>
      </w:pPr>
      <w:r>
        <w:rPr>
          <w:rStyle w:val="Funotenzeichen"/>
        </w:rPr>
        <w:footnoteRef/>
      </w:r>
      <w:r w:rsidRPr="00DA7D5B">
        <w:rPr>
          <w:lang w:val="en-GB"/>
        </w:rPr>
        <w:t xml:space="preserve"> </w:t>
      </w:r>
      <w:r>
        <w:rPr>
          <w:lang w:val="en-GB"/>
        </w:rPr>
        <w:t xml:space="preserve">Eliade, </w:t>
      </w:r>
      <w:r w:rsidRPr="00985732">
        <w:rPr>
          <w:i/>
          <w:iCs/>
          <w:lang w:val="en-GB"/>
        </w:rPr>
        <w:t>The Sacred and the Profane,</w:t>
      </w:r>
      <w:r>
        <w:rPr>
          <w:lang w:val="en-GB"/>
        </w:rPr>
        <w:t xml:space="preserve"> </w:t>
      </w:r>
      <w:r w:rsidRPr="00DA7D5B">
        <w:rPr>
          <w:lang w:val="en-GB"/>
        </w:rPr>
        <w:t>p. 25.</w:t>
      </w:r>
    </w:p>
  </w:footnote>
  <w:footnote w:id="55">
    <w:p w14:paraId="59E500FD" w14:textId="77777777" w:rsidR="00731C96" w:rsidRPr="00703B1B" w:rsidRDefault="00731C96" w:rsidP="00731C96">
      <w:pPr>
        <w:pStyle w:val="Funotentext"/>
        <w:rPr>
          <w:lang w:val="fr-CH"/>
        </w:rPr>
      </w:pPr>
      <w:r>
        <w:rPr>
          <w:rStyle w:val="Funotenzeichen"/>
        </w:rPr>
        <w:footnoteRef/>
      </w:r>
      <w:r w:rsidRPr="00703B1B">
        <w:rPr>
          <w:lang w:val="fr-CH"/>
        </w:rPr>
        <w:t xml:space="preserve"> Gary K. Waite, p. </w:t>
      </w:r>
      <w:proofErr w:type="gramStart"/>
      <w:r w:rsidRPr="00703B1B">
        <w:rPr>
          <w:lang w:val="fr-CH"/>
        </w:rPr>
        <w:t>152?</w:t>
      </w:r>
      <w:proofErr w:type="gramEnd"/>
    </w:p>
  </w:footnote>
  <w:footnote w:id="56">
    <w:p w14:paraId="4163E10C" w14:textId="77777777" w:rsidR="00731C96" w:rsidRPr="00703B1B" w:rsidRDefault="00731C96" w:rsidP="00731C96">
      <w:pPr>
        <w:pStyle w:val="Funotentext"/>
        <w:rPr>
          <w:lang w:val="fr-CH"/>
        </w:rPr>
      </w:pPr>
      <w:r>
        <w:rPr>
          <w:rStyle w:val="Funotenzeichen"/>
        </w:rPr>
        <w:footnoteRef/>
      </w:r>
      <w:r w:rsidRPr="00703B1B">
        <w:rPr>
          <w:lang w:val="fr-CH"/>
        </w:rPr>
        <w:t xml:space="preserve"> </w:t>
      </w:r>
      <w:proofErr w:type="spellStart"/>
      <w:r w:rsidRPr="00703B1B">
        <w:rPr>
          <w:lang w:val="fr-CH"/>
        </w:rPr>
        <w:t>Lecouteux</w:t>
      </w:r>
      <w:proofErr w:type="spellEnd"/>
      <w:r w:rsidRPr="00703B1B">
        <w:rPr>
          <w:lang w:val="fr-CH"/>
        </w:rPr>
        <w:t xml:space="preserve"> 2011, 2 and 199</w:t>
      </w:r>
    </w:p>
  </w:footnote>
  <w:footnote w:id="57">
    <w:p w14:paraId="2FBD5BDB" w14:textId="77777777" w:rsidR="00731C96" w:rsidRPr="00A03EE4" w:rsidRDefault="00731C96" w:rsidP="00731C96">
      <w:pPr>
        <w:pStyle w:val="Funotentext"/>
        <w:rPr>
          <w:lang w:val="en-GB"/>
        </w:rPr>
      </w:pPr>
      <w:r>
        <w:rPr>
          <w:rStyle w:val="Funotenzeichen"/>
        </w:rPr>
        <w:footnoteRef/>
      </w:r>
      <w:r w:rsidRPr="00A03EE4">
        <w:rPr>
          <w:lang w:val="en-GB"/>
        </w:rPr>
        <w:t xml:space="preserve"> </w:t>
      </w:r>
      <w:r>
        <w:rPr>
          <w:lang w:val="en-GB"/>
        </w:rPr>
        <w:t xml:space="preserve">Hutton, </w:t>
      </w:r>
      <w:r w:rsidRPr="000E7182">
        <w:rPr>
          <w:i/>
          <w:iCs/>
          <w:lang w:val="en-GB"/>
        </w:rPr>
        <w:t>Wild Hunt</w:t>
      </w:r>
      <w:r>
        <w:rPr>
          <w:lang w:val="en-GB"/>
        </w:rPr>
        <w:t>, p. 161.</w:t>
      </w:r>
    </w:p>
  </w:footnote>
  <w:footnote w:id="58">
    <w:p w14:paraId="0E79B9E0" w14:textId="77777777" w:rsidR="00731C96" w:rsidRPr="008515D1" w:rsidRDefault="00731C96" w:rsidP="00731C96">
      <w:pPr>
        <w:pStyle w:val="Funotentext"/>
        <w:rPr>
          <w:lang w:val="en-GB"/>
        </w:rPr>
      </w:pPr>
      <w:r>
        <w:rPr>
          <w:rStyle w:val="Funotenzeichen"/>
        </w:rPr>
        <w:footnoteRef/>
      </w:r>
      <w:r w:rsidRPr="008515D1">
        <w:rPr>
          <w:lang w:val="en-GB"/>
        </w:rPr>
        <w:t xml:space="preserve"> Claude Lecouteux, Phantom Armies of the Night: The Wild Hunt and the Ghostly Processions of the Undead (Rochester and Toronto: Inner Traditions, 2011)</w:t>
      </w:r>
      <w:r>
        <w:rPr>
          <w:lang w:val="en-GB"/>
        </w:rPr>
        <w:t>, p. 146.</w:t>
      </w:r>
    </w:p>
  </w:footnote>
  <w:footnote w:id="59">
    <w:p w14:paraId="6EDC8DA1" w14:textId="77777777" w:rsidR="00731C96" w:rsidRPr="00A4470A" w:rsidRDefault="00731C96" w:rsidP="00731C96">
      <w:pPr>
        <w:pStyle w:val="Funotentext"/>
        <w:rPr>
          <w:lang w:val="en-GB"/>
        </w:rPr>
      </w:pPr>
      <w:r>
        <w:rPr>
          <w:rStyle w:val="Funotenzeichen"/>
        </w:rPr>
        <w:footnoteRef/>
      </w:r>
      <w:r w:rsidRPr="00A4470A">
        <w:rPr>
          <w:lang w:val="en-GB"/>
        </w:rPr>
        <w:t xml:space="preserve"> </w:t>
      </w:r>
      <w:r w:rsidRPr="00316409">
        <w:rPr>
          <w:lang w:val="en-GB"/>
        </w:rPr>
        <w:t>Anthony Thorley and Celia M Gunn</w:t>
      </w:r>
      <w:r>
        <w:rPr>
          <w:lang w:val="en-GB"/>
        </w:rPr>
        <w:t>, ‘</w:t>
      </w:r>
      <w:r w:rsidRPr="00316409">
        <w:rPr>
          <w:lang w:val="en-GB"/>
        </w:rPr>
        <w:t>Sacred Sites: An Overview</w:t>
      </w:r>
      <w:r>
        <w:rPr>
          <w:lang w:val="en-GB"/>
        </w:rPr>
        <w:t xml:space="preserve">’, </w:t>
      </w:r>
      <w:r w:rsidRPr="00A41955">
        <w:rPr>
          <w:i/>
          <w:iCs/>
          <w:lang w:val="en-GB"/>
        </w:rPr>
        <w:t>A Report for The Gaia Foundation</w:t>
      </w:r>
      <w:r>
        <w:rPr>
          <w:lang w:val="en-GB"/>
        </w:rPr>
        <w:t>, 2008, p. 8. &lt;</w:t>
      </w:r>
      <w:r w:rsidRPr="00A41955">
        <w:rPr>
          <w:lang w:val="en-GB"/>
        </w:rPr>
        <w:t>https://www.academia.edu/103607950/Sacred_Sites_An_Overview</w:t>
      </w:r>
      <w:proofErr w:type="gramStart"/>
      <w:r>
        <w:rPr>
          <w:lang w:val="en-GB"/>
        </w:rPr>
        <w:t>&gt;  [</w:t>
      </w:r>
      <w:proofErr w:type="gramEnd"/>
      <w:r>
        <w:rPr>
          <w:lang w:val="en-GB"/>
        </w:rPr>
        <w:t>accessed 7 October 2025].</w:t>
      </w:r>
    </w:p>
  </w:footnote>
  <w:footnote w:id="60">
    <w:p w14:paraId="1E324FBA" w14:textId="77777777" w:rsidR="00731C96" w:rsidRPr="007B79E4" w:rsidRDefault="00731C96" w:rsidP="00731C96">
      <w:pPr>
        <w:pStyle w:val="Funotentext"/>
      </w:pPr>
      <w:r>
        <w:rPr>
          <w:rStyle w:val="Funotenzeichen"/>
        </w:rPr>
        <w:footnoteRef/>
      </w:r>
      <w:r>
        <w:t xml:space="preserve"> </w:t>
      </w:r>
      <w:r w:rsidRPr="00936C5D">
        <w:t>Nydegger, Hans</w:t>
      </w:r>
      <w:r>
        <w:t xml:space="preserve">, Die wilde Jagd am </w:t>
      </w:r>
      <w:proofErr w:type="spellStart"/>
      <w:r>
        <w:t>Schwendelberg</w:t>
      </w:r>
      <w:proofErr w:type="spellEnd"/>
      <w:r>
        <w:t xml:space="preserve">: </w:t>
      </w:r>
      <w:proofErr w:type="spellStart"/>
      <w:r>
        <w:t>Guggisberger</w:t>
      </w:r>
      <w:proofErr w:type="spellEnd"/>
      <w:r>
        <w:t xml:space="preserve"> Volkssage, 1895, in </w:t>
      </w:r>
      <w:proofErr w:type="spellStart"/>
      <w:proofErr w:type="gramStart"/>
      <w:r>
        <w:t>Schwyzerlüt</w:t>
      </w:r>
      <w:proofErr w:type="spellEnd"/>
      <w:r>
        <w:t xml:space="preserve"> :</w:t>
      </w:r>
      <w:proofErr w:type="gramEnd"/>
      <w:r>
        <w:t xml:space="preserve"> </w:t>
      </w:r>
      <w:proofErr w:type="spellStart"/>
      <w:r>
        <w:t>Zytschrift</w:t>
      </w:r>
      <w:proofErr w:type="spellEnd"/>
      <w:r>
        <w:t xml:space="preserve"> für </w:t>
      </w:r>
      <w:proofErr w:type="spellStart"/>
      <w:r>
        <w:t>üsi</w:t>
      </w:r>
      <w:proofErr w:type="spellEnd"/>
      <w:r>
        <w:t xml:space="preserve"> schwyzerische </w:t>
      </w:r>
      <w:proofErr w:type="spellStart"/>
      <w:r>
        <w:t>Mundarte</w:t>
      </w:r>
      <w:proofErr w:type="spellEnd"/>
      <w:r>
        <w:t>, 16 (1954), 3</w:t>
      </w:r>
    </w:p>
  </w:footnote>
  <w:footnote w:id="61">
    <w:p w14:paraId="0B295E54" w14:textId="77777777" w:rsidR="00731C96" w:rsidRPr="00703B1B" w:rsidRDefault="00731C96" w:rsidP="00731C96">
      <w:pPr>
        <w:pStyle w:val="Funotentext"/>
        <w:rPr>
          <w:lang w:val="en-GB"/>
        </w:rPr>
      </w:pPr>
      <w:r>
        <w:rPr>
          <w:rStyle w:val="Funotenzeichen"/>
        </w:rPr>
        <w:footnoteRef/>
      </w:r>
      <w:r w:rsidRPr="00703B1B">
        <w:rPr>
          <w:lang w:val="en-GB"/>
        </w:rPr>
        <w:t xml:space="preserve"> </w:t>
      </w:r>
      <w:proofErr w:type="spellStart"/>
      <w:r w:rsidRPr="00703B1B">
        <w:rPr>
          <w:lang w:val="en-GB"/>
        </w:rPr>
        <w:t>Lecouteux</w:t>
      </w:r>
      <w:proofErr w:type="spellEnd"/>
      <w:r w:rsidRPr="00703B1B">
        <w:rPr>
          <w:lang w:val="en-GB"/>
        </w:rPr>
        <w:t>, p. 82.</w:t>
      </w:r>
    </w:p>
  </w:footnote>
  <w:footnote w:id="62">
    <w:p w14:paraId="4D146221" w14:textId="77777777" w:rsidR="00731C96" w:rsidRPr="009022D5" w:rsidRDefault="00731C96" w:rsidP="00731C96">
      <w:pPr>
        <w:pStyle w:val="Funotentext"/>
        <w:rPr>
          <w:lang w:val="en-GB"/>
        </w:rPr>
      </w:pPr>
      <w:r>
        <w:rPr>
          <w:rStyle w:val="Funotenzeichen"/>
        </w:rPr>
        <w:footnoteRef/>
      </w:r>
      <w:r w:rsidRPr="009022D5">
        <w:rPr>
          <w:lang w:val="en-GB"/>
        </w:rPr>
        <w:t xml:space="preserve"> Hutton, Ronald. Queens of the Wild: Pagan Goddesses in Christian Europe, p. 126.</w:t>
      </w:r>
    </w:p>
  </w:footnote>
  <w:footnote w:id="63">
    <w:p w14:paraId="75CEE0D0" w14:textId="77777777" w:rsidR="00AA2C33" w:rsidRDefault="00AA2C33" w:rsidP="00AA2C33">
      <w:pPr>
        <w:pStyle w:val="Funotentext"/>
      </w:pPr>
      <w:r>
        <w:rPr>
          <w:rStyle w:val="Funotenzeichen"/>
        </w:rPr>
        <w:footnoteRef/>
      </w:r>
      <w:r>
        <w:t xml:space="preserve"> Kurt Derungs, </w:t>
      </w:r>
      <w:r w:rsidRPr="00E51667">
        <w:rPr>
          <w:i/>
          <w:iCs/>
        </w:rPr>
        <w:t xml:space="preserve">Geheimnisvolles Bern: Sakrale Stätten an der Aare </w:t>
      </w:r>
      <w:r>
        <w:t>(Grenchen: Amalia Books, 2016), p.212.</w:t>
      </w:r>
    </w:p>
  </w:footnote>
  <w:footnote w:id="64">
    <w:p w14:paraId="2164553C" w14:textId="77777777" w:rsidR="0063202F" w:rsidRPr="00550A02" w:rsidRDefault="0063202F" w:rsidP="0063202F">
      <w:pPr>
        <w:pStyle w:val="Funotentext"/>
        <w:rPr>
          <w:lang w:val="en-GB"/>
        </w:rPr>
      </w:pPr>
      <w:r>
        <w:rPr>
          <w:rStyle w:val="Funotenzeichen"/>
        </w:rPr>
        <w:footnoteRef/>
      </w:r>
      <w:r w:rsidRPr="00550A02">
        <w:rPr>
          <w:lang w:val="en-GB"/>
        </w:rPr>
        <w:t xml:space="preserve"> Darrelyn Gunzburg and Bernadette Brady</w:t>
      </w:r>
      <w:r w:rsidRPr="00550A02">
        <w:rPr>
          <w:i/>
          <w:iCs/>
          <w:lang w:val="en-GB"/>
        </w:rPr>
        <w:t xml:space="preserve">, Space, Place and Religious Landscapes: Living Mountains </w:t>
      </w:r>
      <w:r w:rsidRPr="00E51667">
        <w:rPr>
          <w:lang w:val="en-GB"/>
        </w:rPr>
        <w:t>(London, New York, Oxford, New Delhi, Sydney: Bloomsbury Academic, 2021),</w:t>
      </w:r>
      <w:r w:rsidRPr="00550A02">
        <w:rPr>
          <w:i/>
          <w:iCs/>
          <w:lang w:val="en-GB"/>
        </w:rPr>
        <w:t xml:space="preserve"> </w:t>
      </w:r>
      <w:r w:rsidRPr="00550A02">
        <w:rPr>
          <w:lang w:val="en-GB"/>
        </w:rPr>
        <w:t xml:space="preserve">p. </w:t>
      </w:r>
      <w:r>
        <w:rPr>
          <w:lang w:val="en-GB"/>
        </w:rPr>
        <w:t>2</w:t>
      </w:r>
      <w:r w:rsidRPr="00550A02">
        <w:rPr>
          <w:lang w:val="en-GB"/>
        </w:rPr>
        <w:t>.</w:t>
      </w:r>
    </w:p>
  </w:footnote>
  <w:footnote w:id="65">
    <w:p w14:paraId="2675506D" w14:textId="694FA718" w:rsidR="0031712C" w:rsidRPr="0032347C" w:rsidRDefault="0031712C" w:rsidP="0031712C">
      <w:pPr>
        <w:pStyle w:val="Funotentext"/>
      </w:pPr>
      <w:r>
        <w:rPr>
          <w:rStyle w:val="Funotenzeichen"/>
        </w:rPr>
        <w:footnoteRef/>
      </w:r>
      <w:r w:rsidRPr="0032347C">
        <w:t xml:space="preserve"> </w:t>
      </w:r>
      <w:r w:rsidR="00467533">
        <w:t xml:space="preserve">Zahn, </w:t>
      </w:r>
      <w:r w:rsidR="0032347C" w:rsidRPr="00467533">
        <w:rPr>
          <w:i/>
          <w:iCs/>
        </w:rPr>
        <w:t>Chronik des Kantons Bern,</w:t>
      </w:r>
      <w:r w:rsidR="0032347C" w:rsidRPr="0032347C">
        <w:t xml:space="preserve"> p</w:t>
      </w:r>
      <w:r w:rsidR="0032347C">
        <w:t xml:space="preserve">. </w:t>
      </w:r>
      <w:r w:rsidR="000F43A5">
        <w:t>632.</w:t>
      </w:r>
    </w:p>
  </w:footnote>
  <w:footnote w:id="66">
    <w:p w14:paraId="5857DD2D" w14:textId="77777777" w:rsidR="0063202F" w:rsidRPr="00550A02" w:rsidRDefault="0063202F" w:rsidP="0063202F">
      <w:pPr>
        <w:pStyle w:val="Funotentext"/>
        <w:rPr>
          <w:lang w:val="en-GB"/>
        </w:rPr>
      </w:pPr>
      <w:r>
        <w:rPr>
          <w:rStyle w:val="Funotenzeichen"/>
        </w:rPr>
        <w:footnoteRef/>
      </w:r>
      <w:r w:rsidRPr="00550A02">
        <w:rPr>
          <w:lang w:val="en-GB"/>
        </w:rPr>
        <w:t xml:space="preserve"> Darrelyn Gunzburg and Bernadette Brady</w:t>
      </w:r>
      <w:r w:rsidRPr="00550A02">
        <w:rPr>
          <w:i/>
          <w:iCs/>
          <w:lang w:val="en-GB"/>
        </w:rPr>
        <w:t xml:space="preserve">, Space, Place and Religious Landscapes: Living Mountains </w:t>
      </w:r>
      <w:r w:rsidRPr="00E51667">
        <w:rPr>
          <w:lang w:val="en-GB"/>
        </w:rPr>
        <w:t>(London, New York, Oxford, New Delhi, Sydney: Bloomsbury Academic, 2021),</w:t>
      </w:r>
      <w:r w:rsidRPr="00550A02">
        <w:rPr>
          <w:i/>
          <w:iCs/>
          <w:lang w:val="en-GB"/>
        </w:rPr>
        <w:t xml:space="preserve"> </w:t>
      </w:r>
      <w:r w:rsidRPr="00550A02">
        <w:rPr>
          <w:lang w:val="en-GB"/>
        </w:rPr>
        <w:t xml:space="preserve">p. </w:t>
      </w:r>
      <w:r>
        <w:rPr>
          <w:lang w:val="en-GB"/>
        </w:rPr>
        <w:t>2</w:t>
      </w:r>
      <w:r w:rsidRPr="00550A02">
        <w:rPr>
          <w:lang w:val="en-GB"/>
        </w:rPr>
        <w:t>.</w:t>
      </w:r>
    </w:p>
  </w:footnote>
  <w:footnote w:id="67">
    <w:p w14:paraId="3D25ED08" w14:textId="2D64815A" w:rsidR="001B13C0" w:rsidRDefault="001B13C0">
      <w:pPr>
        <w:pStyle w:val="Funotentext"/>
      </w:pPr>
      <w:r>
        <w:rPr>
          <w:rStyle w:val="Funotenzeichen"/>
        </w:rPr>
        <w:footnoteRef/>
      </w:r>
      <w:r>
        <w:t xml:space="preserve"> Franz Wäger, </w:t>
      </w:r>
      <w:r w:rsidRPr="001B13C0">
        <w:t>Die Gründung des Priorates Rüeggisberg</w:t>
      </w:r>
      <w:r>
        <w:t xml:space="preserve">, Geschichte des Kluniazenser-Priorates, Freiburger Geschichtsblätter Herausgeber, Deutscher Geschichtsforschender Verein des Kantons Freiburg 22 (1915) </w:t>
      </w:r>
    </w:p>
  </w:footnote>
  <w:footnote w:id="68">
    <w:p w14:paraId="516C512F" w14:textId="2BF6F0D4" w:rsidR="0034230A" w:rsidRDefault="0034230A" w:rsidP="0034230A">
      <w:pPr>
        <w:pStyle w:val="Funotentext"/>
      </w:pPr>
      <w:r>
        <w:rPr>
          <w:rStyle w:val="Funotenzeichen"/>
        </w:rPr>
        <w:footnoteRef/>
      </w:r>
      <w:r>
        <w:t xml:space="preserve"> </w:t>
      </w:r>
      <w:r w:rsidRPr="0007047C">
        <w:t>Franz</w:t>
      </w:r>
      <w:r>
        <w:t xml:space="preserve"> </w:t>
      </w:r>
      <w:r w:rsidRPr="0007047C">
        <w:t>Wäger, Die Gründung des Priorates Rüeggisberg</w:t>
      </w:r>
      <w:r>
        <w:t>, p. 14.</w:t>
      </w:r>
    </w:p>
  </w:footnote>
  <w:footnote w:id="69">
    <w:p w14:paraId="5F402248" w14:textId="01761993" w:rsidR="00784F7F" w:rsidRPr="00BE2AFE" w:rsidRDefault="00784F7F" w:rsidP="00784F7F">
      <w:pPr>
        <w:pStyle w:val="Funotentext"/>
        <w:rPr>
          <w:lang w:val="sv-SE"/>
        </w:rPr>
      </w:pPr>
      <w:r>
        <w:rPr>
          <w:rStyle w:val="Funotenzeichen"/>
        </w:rPr>
        <w:footnoteRef/>
      </w:r>
      <w:r w:rsidRPr="00BE2AFE">
        <w:rPr>
          <w:lang w:val="sv-SE"/>
        </w:rPr>
        <w:t xml:space="preserve"> </w:t>
      </w:r>
      <w:bookmarkStart w:id="4" w:name="_Hlk218448198"/>
      <w:r w:rsidR="00E974CD" w:rsidRPr="00BE2AFE">
        <w:rPr>
          <w:lang w:val="sv-SE"/>
        </w:rPr>
        <w:t xml:space="preserve">Anna-Leena Siikala, </w:t>
      </w:r>
      <w:bookmarkEnd w:id="4"/>
      <w:r w:rsidRPr="00BE2AFE">
        <w:rPr>
          <w:lang w:val="sv-SE"/>
        </w:rPr>
        <w:t>Myth and Mentality</w:t>
      </w:r>
      <w:r>
        <w:rPr>
          <w:lang w:val="sv-SE"/>
        </w:rPr>
        <w:t>, p. 20.</w:t>
      </w:r>
    </w:p>
  </w:footnote>
  <w:footnote w:id="70">
    <w:p w14:paraId="3A7014ED" w14:textId="318AA2CE" w:rsidR="00784F7F" w:rsidRPr="00BE2AFE" w:rsidRDefault="00784F7F" w:rsidP="00784F7F">
      <w:pPr>
        <w:pStyle w:val="Funotentext"/>
        <w:rPr>
          <w:lang w:val="sv-SE"/>
        </w:rPr>
      </w:pPr>
      <w:r>
        <w:rPr>
          <w:rStyle w:val="Funotenzeichen"/>
        </w:rPr>
        <w:footnoteRef/>
      </w:r>
      <w:r w:rsidRPr="00BE2AFE">
        <w:rPr>
          <w:lang w:val="sv-SE"/>
        </w:rPr>
        <w:t xml:space="preserve"> </w:t>
      </w:r>
      <w:bookmarkStart w:id="5" w:name="_Hlk218448135"/>
      <w:r w:rsidR="00E974CD" w:rsidRPr="00BE2AFE">
        <w:rPr>
          <w:lang w:val="sv-SE"/>
        </w:rPr>
        <w:t xml:space="preserve">Anna-Leena Siikala, </w:t>
      </w:r>
      <w:bookmarkEnd w:id="5"/>
      <w:r w:rsidRPr="00BE2AFE">
        <w:rPr>
          <w:lang w:val="sv-SE"/>
        </w:rPr>
        <w:t>Myth and Mentality</w:t>
      </w:r>
      <w:r>
        <w:rPr>
          <w:lang w:val="sv-SE"/>
        </w:rPr>
        <w:t>, p. 20.</w:t>
      </w:r>
    </w:p>
  </w:footnote>
  <w:footnote w:id="71">
    <w:p w14:paraId="14DB63CB" w14:textId="57A545B7" w:rsidR="009B77E6" w:rsidRPr="006101D1" w:rsidRDefault="009B77E6" w:rsidP="009B77E6">
      <w:pPr>
        <w:pStyle w:val="Funotentext"/>
        <w:rPr>
          <w:lang w:val="en-GB"/>
        </w:rPr>
      </w:pPr>
      <w:r>
        <w:rPr>
          <w:rStyle w:val="Funotenzeichen"/>
        </w:rPr>
        <w:footnoteRef/>
      </w:r>
      <w:r w:rsidRPr="006101D1">
        <w:rPr>
          <w:lang w:val="en-GB"/>
        </w:rPr>
        <w:t xml:space="preserve"> </w:t>
      </w:r>
      <w:r w:rsidR="006101D1" w:rsidRPr="00714551">
        <w:rPr>
          <w:lang w:val="en-GB"/>
        </w:rPr>
        <w:t xml:space="preserve">Durkheim, </w:t>
      </w:r>
      <w:r w:rsidR="006101D1" w:rsidRPr="00714551">
        <w:rPr>
          <w:i/>
          <w:iCs/>
          <w:lang w:val="en-GB"/>
        </w:rPr>
        <w:t>The Elementary Forms</w:t>
      </w:r>
      <w:r w:rsidR="006101D1">
        <w:rPr>
          <w:lang w:val="en-GB"/>
        </w:rPr>
        <w:t>,</w:t>
      </w:r>
      <w:r w:rsidR="006101D1" w:rsidRPr="00C807ED">
        <w:rPr>
          <w:lang w:val="en-GB"/>
        </w:rPr>
        <w:t xml:space="preserve"> </w:t>
      </w:r>
      <w:r w:rsidRPr="006101D1">
        <w:rPr>
          <w:lang w:val="en-GB"/>
        </w:rPr>
        <w:t>p. 37.</w:t>
      </w:r>
    </w:p>
  </w:footnote>
  <w:footnote w:id="72">
    <w:p w14:paraId="377B324E" w14:textId="4ED20C84" w:rsidR="009B77E6" w:rsidRDefault="009B77E6" w:rsidP="009B77E6">
      <w:pPr>
        <w:pStyle w:val="Funotentext"/>
      </w:pPr>
      <w:r>
        <w:rPr>
          <w:rStyle w:val="Funotenzeichen"/>
        </w:rPr>
        <w:footnoteRef/>
      </w:r>
      <w:r>
        <w:t xml:space="preserve"> </w:t>
      </w:r>
      <w:r w:rsidR="006A1684">
        <w:t>V</w:t>
      </w:r>
      <w:r w:rsidR="006A1684" w:rsidRPr="006B6D34">
        <w:t>on Greyerz</w:t>
      </w:r>
      <w:r w:rsidR="006A1684">
        <w:t>, ‘</w:t>
      </w:r>
      <w:r w:rsidR="006A1684" w:rsidRPr="006B6D34">
        <w:t xml:space="preserve">Das Alte </w:t>
      </w:r>
      <w:proofErr w:type="spellStart"/>
      <w:r w:rsidR="006A1684" w:rsidRPr="006B6D34">
        <w:t>Guggisberger</w:t>
      </w:r>
      <w:proofErr w:type="spellEnd"/>
      <w:r w:rsidR="006A1684" w:rsidRPr="006B6D34">
        <w:t xml:space="preserve"> Lied</w:t>
      </w:r>
      <w:r w:rsidR="006A1684">
        <w:t>’, p. 193.</w:t>
      </w:r>
    </w:p>
  </w:footnote>
  <w:footnote w:id="73">
    <w:p w14:paraId="0C45BE38" w14:textId="77777777" w:rsidR="009B77E6" w:rsidRPr="00731C96" w:rsidRDefault="009B77E6" w:rsidP="009B77E6">
      <w:pPr>
        <w:pStyle w:val="Funotentext"/>
        <w:rPr>
          <w:lang w:val="en-GB"/>
        </w:rPr>
      </w:pPr>
      <w:r>
        <w:rPr>
          <w:rStyle w:val="Funotenzeichen"/>
        </w:rPr>
        <w:footnoteRef/>
      </w:r>
      <w:r>
        <w:t xml:space="preserve"> Wolfgang </w:t>
      </w:r>
      <w:proofErr w:type="spellStart"/>
      <w:r>
        <w:t>Golther</w:t>
      </w:r>
      <w:proofErr w:type="spellEnd"/>
      <w:r>
        <w:t>, ‘</w:t>
      </w:r>
      <w:r w:rsidRPr="003329C3">
        <w:t>Zur deutschen Sage und Dichtung</w:t>
      </w:r>
      <w:r>
        <w:t xml:space="preserve">’ (Leipzig: Xenien-Verlag, 1911), p. 39. </w:t>
      </w:r>
      <w:r w:rsidRPr="00731C96">
        <w:rPr>
          <w:lang w:val="en-GB"/>
        </w:rPr>
        <w:t>&lt;https://www.deutsche-digitale-bibliothek.de/item/ATGCMA62U7UEVO6OEGLDSQ3ZWYYSSNYE&gt;</w:t>
      </w:r>
    </w:p>
  </w:footnote>
  <w:footnote w:id="74">
    <w:p w14:paraId="0442B6F4" w14:textId="77777777" w:rsidR="00181EBF" w:rsidRPr="00F61B06" w:rsidRDefault="00181EBF" w:rsidP="00181EBF">
      <w:pPr>
        <w:pStyle w:val="Funotentext"/>
        <w:rPr>
          <w:lang w:val="en-GB"/>
        </w:rPr>
      </w:pPr>
      <w:r>
        <w:rPr>
          <w:rStyle w:val="Funotenzeichen"/>
        </w:rPr>
        <w:footnoteRef/>
      </w:r>
      <w:r w:rsidRPr="00F61B06">
        <w:rPr>
          <w:lang w:val="en-GB"/>
        </w:rPr>
        <w:t xml:space="preserve"> Hutton, Queens of the Wild: Pagan Goddesses in Christian Europe: An Investigation</w:t>
      </w:r>
      <w:r>
        <w:rPr>
          <w:lang w:val="en-GB"/>
        </w:rPr>
        <w:t>, p. 126.</w:t>
      </w:r>
    </w:p>
  </w:footnote>
  <w:footnote w:id="75">
    <w:p w14:paraId="56595EA2" w14:textId="6F4B9207" w:rsidR="008227AD" w:rsidRPr="00B36FE7" w:rsidRDefault="008227AD" w:rsidP="008227AD">
      <w:pPr>
        <w:pStyle w:val="Funotentext"/>
        <w:rPr>
          <w:lang w:val="en-GB"/>
        </w:rPr>
      </w:pPr>
      <w:r>
        <w:rPr>
          <w:rStyle w:val="Funotenzeichen"/>
        </w:rPr>
        <w:footnoteRef/>
      </w:r>
      <w:r w:rsidRPr="008227AD">
        <w:rPr>
          <w:lang w:val="en-GB"/>
        </w:rPr>
        <w:t xml:space="preserve"> </w:t>
      </w:r>
      <w:r w:rsidR="00BB3231" w:rsidRPr="00BB3231">
        <w:rPr>
          <w:lang w:val="en-GB"/>
        </w:rPr>
        <w:t>Nicholas</w:t>
      </w:r>
      <w:r w:rsidR="00BB3231">
        <w:rPr>
          <w:lang w:val="en-GB"/>
        </w:rPr>
        <w:t xml:space="preserve"> </w:t>
      </w:r>
      <w:r w:rsidRPr="00BB3231">
        <w:rPr>
          <w:lang w:val="en-GB"/>
        </w:rPr>
        <w:t xml:space="preserve">Campion, </w:t>
      </w:r>
      <w:r w:rsidRPr="00BB3231">
        <w:rPr>
          <w:i/>
          <w:iCs/>
          <w:lang w:val="en-GB"/>
        </w:rPr>
        <w:t>Astrology and Cosmology in the World’s Religions</w:t>
      </w:r>
      <w:r w:rsidR="00BB3231">
        <w:rPr>
          <w:i/>
          <w:iCs/>
          <w:lang w:val="en-GB"/>
        </w:rPr>
        <w:t xml:space="preserve"> </w:t>
      </w:r>
      <w:r w:rsidR="00BB3231" w:rsidRPr="00BB3231">
        <w:rPr>
          <w:lang w:val="en-GB"/>
        </w:rPr>
        <w:t xml:space="preserve">(New York and London: </w:t>
      </w:r>
      <w:r w:rsidRPr="00BB3231">
        <w:rPr>
          <w:lang w:val="en-GB"/>
        </w:rPr>
        <w:t>N</w:t>
      </w:r>
      <w:r w:rsidR="00BB3231">
        <w:rPr>
          <w:lang w:val="en-GB"/>
        </w:rPr>
        <w:t xml:space="preserve">ew York University </w:t>
      </w:r>
      <w:r w:rsidRPr="00BB3231">
        <w:rPr>
          <w:lang w:val="en-GB"/>
        </w:rPr>
        <w:t>Press</w:t>
      </w:r>
      <w:r w:rsidR="00BB3231">
        <w:rPr>
          <w:lang w:val="en-GB"/>
        </w:rPr>
        <w:t>, 2012</w:t>
      </w:r>
      <w:r w:rsidR="00BB3231" w:rsidRPr="00BB3231">
        <w:rPr>
          <w:lang w:val="en-GB"/>
        </w:rPr>
        <w:t>)</w:t>
      </w:r>
      <w:r w:rsidR="00BB3231">
        <w:rPr>
          <w:lang w:val="en-GB"/>
        </w:rPr>
        <w:t xml:space="preserve">, p. </w:t>
      </w:r>
      <w:r w:rsidR="00BB3231" w:rsidRPr="0010173E">
        <w:rPr>
          <w:lang w:val="en-GB"/>
        </w:rPr>
        <w:t>157</w:t>
      </w:r>
      <w:r w:rsidR="00BB3231">
        <w:rPr>
          <w:lang w:val="en-GB"/>
        </w:rPr>
        <w:t>.</w:t>
      </w:r>
    </w:p>
  </w:footnote>
  <w:footnote w:id="76">
    <w:p w14:paraId="0E715382" w14:textId="77777777" w:rsidR="00181EBF" w:rsidRPr="00F61B06" w:rsidRDefault="00181EBF" w:rsidP="00181EBF">
      <w:pPr>
        <w:pStyle w:val="Funotentext"/>
        <w:rPr>
          <w:lang w:val="en-GB"/>
        </w:rPr>
      </w:pPr>
      <w:r>
        <w:rPr>
          <w:rStyle w:val="Funotenzeichen"/>
        </w:rPr>
        <w:footnoteRef/>
      </w:r>
      <w:r w:rsidRPr="00F61B06">
        <w:rPr>
          <w:lang w:val="en-GB"/>
        </w:rPr>
        <w:t xml:space="preserve"> Hutton, Queens of the Wild: Pagan Goddesses in Christian Europe: An Investigation</w:t>
      </w:r>
      <w:r>
        <w:rPr>
          <w:lang w:val="en-GB"/>
        </w:rPr>
        <w:t>, p. 126.</w:t>
      </w:r>
    </w:p>
  </w:footnote>
  <w:footnote w:id="77">
    <w:p w14:paraId="405C4F4F" w14:textId="77777777" w:rsidR="0092469A" w:rsidRDefault="0092469A" w:rsidP="0092469A">
      <w:pPr>
        <w:pStyle w:val="Funotentext"/>
      </w:pPr>
      <w:r>
        <w:rPr>
          <w:rStyle w:val="Funotenzeichen"/>
        </w:rPr>
        <w:footnoteRef/>
      </w:r>
      <w:r>
        <w:t xml:space="preserve"> </w:t>
      </w:r>
      <w:r w:rsidRPr="00910377">
        <w:t xml:space="preserve">Ernst L. </w:t>
      </w:r>
      <w:proofErr w:type="spellStart"/>
      <w:r w:rsidRPr="00910377">
        <w:t>Rochholz</w:t>
      </w:r>
      <w:proofErr w:type="spellEnd"/>
      <w:r w:rsidRPr="00910377">
        <w:t xml:space="preserve">, </w:t>
      </w:r>
      <w:r>
        <w:t>‘</w:t>
      </w:r>
      <w:r w:rsidRPr="00910377">
        <w:t>Wassergöttin Verena</w:t>
      </w:r>
      <w:r>
        <w:t xml:space="preserve">’ in </w:t>
      </w:r>
      <w:r w:rsidRPr="00910377">
        <w:rPr>
          <w:i/>
          <w:iCs/>
        </w:rPr>
        <w:t>Mythologische Landschaft Schweiz</w:t>
      </w:r>
      <w:r>
        <w:rPr>
          <w:i/>
          <w:iCs/>
        </w:rPr>
        <w:t xml:space="preserve">, </w:t>
      </w:r>
      <w:proofErr w:type="spellStart"/>
      <w:r w:rsidRPr="00910377">
        <w:t>edited</w:t>
      </w:r>
      <w:proofErr w:type="spellEnd"/>
      <w:r w:rsidRPr="00910377">
        <w:t xml:space="preserve"> </w:t>
      </w:r>
      <w:proofErr w:type="spellStart"/>
      <w:r w:rsidRPr="00910377">
        <w:t>by</w:t>
      </w:r>
      <w:proofErr w:type="spellEnd"/>
      <w:r>
        <w:rPr>
          <w:i/>
          <w:iCs/>
        </w:rPr>
        <w:t xml:space="preserve"> </w:t>
      </w:r>
      <w:r w:rsidRPr="00910377">
        <w:t>Kurt Derungs</w:t>
      </w:r>
      <w:r>
        <w:t>,</w:t>
      </w:r>
      <w:r w:rsidRPr="00910377">
        <w:t xml:space="preserve"> (Bern: Edition Amalia, 1997)</w:t>
      </w:r>
      <w:r>
        <w:t>, p. 57.</w:t>
      </w:r>
    </w:p>
  </w:footnote>
  <w:footnote w:id="78">
    <w:p w14:paraId="49B6E116" w14:textId="77777777" w:rsidR="0092469A" w:rsidRPr="00672682" w:rsidRDefault="0092469A" w:rsidP="0092469A">
      <w:pPr>
        <w:pStyle w:val="Funotentext"/>
        <w:rPr>
          <w:lang w:val="en-GB"/>
        </w:rPr>
      </w:pPr>
      <w:r>
        <w:rPr>
          <w:rStyle w:val="Funotenzeichen"/>
        </w:rPr>
        <w:footnoteRef/>
      </w:r>
      <w:r w:rsidRPr="00672682">
        <w:rPr>
          <w:lang w:val="en-GB"/>
        </w:rPr>
        <w:t xml:space="preserve"> Leah Garrett, Chapter Title: The Original Tannhäuser Ballad, p</w:t>
      </w:r>
      <w:r>
        <w:rPr>
          <w:lang w:val="en-GB"/>
        </w:rPr>
        <w:t>p</w:t>
      </w:r>
      <w:r w:rsidRPr="00672682">
        <w:rPr>
          <w:lang w:val="en-GB"/>
        </w:rPr>
        <w:t>. 8</w:t>
      </w:r>
      <w:r>
        <w:rPr>
          <w:lang w:val="en-GB"/>
        </w:rPr>
        <w:t>-9</w:t>
      </w:r>
      <w:r w:rsidRPr="00672682">
        <w:rPr>
          <w:lang w:val="en-GB"/>
        </w:rPr>
        <w:t>.</w:t>
      </w:r>
    </w:p>
  </w:footnote>
  <w:footnote w:id="79">
    <w:p w14:paraId="5C405C05" w14:textId="77777777" w:rsidR="002C2E87" w:rsidRPr="0092203B" w:rsidRDefault="002C2E87" w:rsidP="002C2E87">
      <w:pPr>
        <w:pStyle w:val="Funotentext"/>
        <w:rPr>
          <w:lang w:val="en-GB"/>
        </w:rPr>
      </w:pPr>
      <w:r>
        <w:rPr>
          <w:rStyle w:val="Funotenzeichen"/>
        </w:rPr>
        <w:footnoteRef/>
      </w:r>
      <w:r w:rsidRPr="0092203B">
        <w:rPr>
          <w:lang w:val="en-GB"/>
        </w:rPr>
        <w:t xml:space="preserve"> Gary K. Waite, p152-</w:t>
      </w:r>
      <w:proofErr w:type="gramStart"/>
      <w:r w:rsidRPr="0092203B">
        <w:rPr>
          <w:lang w:val="en-GB"/>
        </w:rPr>
        <w:t>153.</w:t>
      </w:r>
      <w:r>
        <w:rPr>
          <w:lang w:val="en-GB"/>
        </w:rPr>
        <w:t>.</w:t>
      </w:r>
      <w:proofErr w:type="gramEnd"/>
    </w:p>
  </w:footnote>
  <w:footnote w:id="80">
    <w:p w14:paraId="49A2476D" w14:textId="77777777" w:rsidR="002C2E87" w:rsidRPr="00731C96" w:rsidRDefault="002C2E87" w:rsidP="002C2E87">
      <w:pPr>
        <w:pStyle w:val="Funotentext"/>
        <w:rPr>
          <w:lang w:val="en-GB"/>
        </w:rPr>
      </w:pPr>
      <w:r>
        <w:rPr>
          <w:rStyle w:val="Funotenzeichen"/>
        </w:rPr>
        <w:footnoteRef/>
      </w:r>
      <w:r w:rsidRPr="00731C96">
        <w:rPr>
          <w:lang w:val="en-GB"/>
        </w:rPr>
        <w:t xml:space="preserve"> Garrett, p. 9.</w:t>
      </w:r>
    </w:p>
  </w:footnote>
  <w:footnote w:id="81">
    <w:p w14:paraId="47F99868" w14:textId="69B55096" w:rsidR="0092203B" w:rsidRPr="00731C96" w:rsidRDefault="0092203B" w:rsidP="0092203B">
      <w:pPr>
        <w:pStyle w:val="Funotentext"/>
        <w:rPr>
          <w:lang w:val="en-GB"/>
        </w:rPr>
      </w:pPr>
      <w:r>
        <w:rPr>
          <w:rStyle w:val="Funotenzeichen"/>
        </w:rPr>
        <w:footnoteRef/>
      </w:r>
      <w:r w:rsidRPr="00731C96">
        <w:rPr>
          <w:lang w:val="en-GB"/>
        </w:rPr>
        <w:t xml:space="preserve"> Gary K. Waite, p152-</w:t>
      </w:r>
      <w:proofErr w:type="gramStart"/>
      <w:r w:rsidRPr="00731C96">
        <w:rPr>
          <w:lang w:val="en-GB"/>
        </w:rPr>
        <w:t>153..</w:t>
      </w:r>
      <w:proofErr w:type="gramEnd"/>
    </w:p>
  </w:footnote>
  <w:footnote w:id="82">
    <w:p w14:paraId="5D240BF9" w14:textId="77777777" w:rsidR="0092203B" w:rsidRPr="00731C96" w:rsidRDefault="0092203B" w:rsidP="0092203B">
      <w:pPr>
        <w:pStyle w:val="Funotentext"/>
        <w:rPr>
          <w:lang w:val="en-GB"/>
        </w:rPr>
      </w:pPr>
      <w:r>
        <w:rPr>
          <w:rStyle w:val="Funotenzeichen"/>
        </w:rPr>
        <w:footnoteRef/>
      </w:r>
      <w:r w:rsidRPr="00731C96">
        <w:rPr>
          <w:lang w:val="en-GB"/>
        </w:rPr>
        <w:t xml:space="preserve"> Marie-Alexandre Bovet, </w:t>
      </w:r>
      <w:proofErr w:type="spellStart"/>
      <w:r w:rsidRPr="00731C96">
        <w:rPr>
          <w:lang w:val="en-GB"/>
        </w:rPr>
        <w:t>Légendes</w:t>
      </w:r>
      <w:proofErr w:type="spellEnd"/>
      <w:r w:rsidRPr="00731C96">
        <w:rPr>
          <w:lang w:val="en-GB"/>
        </w:rPr>
        <w:t xml:space="preserve"> de la Gruyère, Lausanne (Die </w:t>
      </w:r>
      <w:proofErr w:type="spellStart"/>
      <w:r w:rsidRPr="00731C96">
        <w:rPr>
          <w:lang w:val="en-GB"/>
        </w:rPr>
        <w:t>Supiletta</w:t>
      </w:r>
      <w:proofErr w:type="spellEnd"/>
      <w:r w:rsidRPr="00731C96">
        <w:rPr>
          <w:lang w:val="en-GB"/>
        </w:rPr>
        <w:t xml:space="preserve">), and Pater Nikolaus Bongard, </w:t>
      </w:r>
      <w:proofErr w:type="spellStart"/>
      <w:r w:rsidRPr="00731C96">
        <w:rPr>
          <w:lang w:val="en-GB"/>
        </w:rPr>
        <w:t>Sensler</w:t>
      </w:r>
      <w:proofErr w:type="spellEnd"/>
      <w:r w:rsidRPr="00731C96">
        <w:rPr>
          <w:lang w:val="en-GB"/>
        </w:rPr>
        <w:t xml:space="preserve"> Sagen, Freiburg 1992 (</w:t>
      </w:r>
      <w:proofErr w:type="spellStart"/>
      <w:r w:rsidRPr="00731C96">
        <w:rPr>
          <w:lang w:val="en-GB"/>
        </w:rPr>
        <w:t>Wetterhexen</w:t>
      </w:r>
      <w:proofErr w:type="spellEnd"/>
      <w:r w:rsidRPr="00731C96">
        <w:rPr>
          <w:lang w:val="en-GB"/>
        </w:rPr>
        <w:t xml:space="preserve">, Sassos Schwend, </w:t>
      </w:r>
      <w:proofErr w:type="spellStart"/>
      <w:r w:rsidRPr="00731C96">
        <w:rPr>
          <w:lang w:val="en-GB"/>
        </w:rPr>
        <w:t>Hexerei</w:t>
      </w:r>
      <w:proofErr w:type="spellEnd"/>
      <w:r w:rsidRPr="00731C96">
        <w:rPr>
          <w:lang w:val="en-GB"/>
        </w:rPr>
        <w:t xml:space="preserve"> </w:t>
      </w:r>
      <w:proofErr w:type="spellStart"/>
      <w:r w:rsidRPr="00731C96">
        <w:rPr>
          <w:lang w:val="en-GB"/>
        </w:rPr>
        <w:t>im</w:t>
      </w:r>
      <w:proofErr w:type="spellEnd"/>
      <w:r w:rsidRPr="00731C96">
        <w:rPr>
          <w:lang w:val="en-GB"/>
        </w:rPr>
        <w:t xml:space="preserve"> </w:t>
      </w:r>
      <w:proofErr w:type="spellStart"/>
      <w:r w:rsidRPr="00731C96">
        <w:rPr>
          <w:lang w:val="en-GB"/>
        </w:rPr>
        <w:t>Sensegebiet</w:t>
      </w:r>
      <w:proofErr w:type="spellEnd"/>
      <w:r w:rsidRPr="00731C96">
        <w:rPr>
          <w:lang w:val="en-GB"/>
        </w:rPr>
        <w:t xml:space="preserve">, Die </w:t>
      </w:r>
      <w:proofErr w:type="spellStart"/>
      <w:r w:rsidRPr="00731C96">
        <w:rPr>
          <w:lang w:val="en-GB"/>
        </w:rPr>
        <w:t>Fuchsscheune</w:t>
      </w:r>
      <w:proofErr w:type="spellEnd"/>
      <w:r w:rsidRPr="00731C96">
        <w:rPr>
          <w:lang w:val="en-GB"/>
        </w:rPr>
        <w:t xml:space="preserve">), and J. J. Jenzer, </w:t>
      </w:r>
      <w:proofErr w:type="spellStart"/>
      <w:r w:rsidRPr="00731C96">
        <w:rPr>
          <w:lang w:val="en-GB"/>
        </w:rPr>
        <w:t>Heimathkunde</w:t>
      </w:r>
      <w:proofErr w:type="spellEnd"/>
      <w:r w:rsidRPr="00731C96">
        <w:rPr>
          <w:lang w:val="en-GB"/>
        </w:rPr>
        <w:t xml:space="preserve"> des </w:t>
      </w:r>
      <w:proofErr w:type="spellStart"/>
      <w:r w:rsidRPr="00731C96">
        <w:rPr>
          <w:lang w:val="en-GB"/>
        </w:rPr>
        <w:t>Amtes</w:t>
      </w:r>
      <w:proofErr w:type="spellEnd"/>
      <w:r w:rsidRPr="00731C96">
        <w:rPr>
          <w:lang w:val="en-GB"/>
        </w:rPr>
        <w:t xml:space="preserve"> </w:t>
      </w:r>
      <w:proofErr w:type="spellStart"/>
      <w:r w:rsidRPr="00731C96">
        <w:rPr>
          <w:lang w:val="en-GB"/>
        </w:rPr>
        <w:t>Schwarzenburg</w:t>
      </w:r>
      <w:proofErr w:type="spellEnd"/>
      <w:r w:rsidRPr="00731C96">
        <w:rPr>
          <w:lang w:val="en-GB"/>
        </w:rPr>
        <w:t xml:space="preserve">, Bern, 1869 (Der </w:t>
      </w:r>
      <w:proofErr w:type="spellStart"/>
      <w:r w:rsidRPr="00731C96">
        <w:rPr>
          <w:lang w:val="en-GB"/>
        </w:rPr>
        <w:t>Küher</w:t>
      </w:r>
      <w:proofErr w:type="spellEnd"/>
      <w:r w:rsidRPr="00731C96">
        <w:rPr>
          <w:lang w:val="en-GB"/>
        </w:rPr>
        <w:t xml:space="preserve"> am </w:t>
      </w:r>
      <w:proofErr w:type="spellStart"/>
      <w:r w:rsidRPr="00731C96">
        <w:rPr>
          <w:lang w:val="en-GB"/>
        </w:rPr>
        <w:t>Ganterisch</w:t>
      </w:r>
      <w:proofErr w:type="spellEnd"/>
      <w:r w:rsidRPr="00731C96">
        <w:rPr>
          <w:lang w:val="en-GB"/>
        </w:rPr>
        <w:t>).</w:t>
      </w:r>
    </w:p>
  </w:footnote>
  <w:footnote w:id="83">
    <w:p w14:paraId="1B538294" w14:textId="77777777" w:rsidR="00B6595A" w:rsidRPr="00B6595A" w:rsidRDefault="00B6595A" w:rsidP="00B6595A">
      <w:pPr>
        <w:pStyle w:val="Funotentext"/>
        <w:rPr>
          <w:lang w:val="en-GB"/>
        </w:rPr>
      </w:pPr>
      <w:r>
        <w:rPr>
          <w:rStyle w:val="Funotenzeichen"/>
        </w:rPr>
        <w:footnoteRef/>
      </w:r>
      <w:r w:rsidRPr="00B6595A">
        <w:rPr>
          <w:lang w:val="en-GB"/>
        </w:rPr>
        <w:t xml:space="preserve"> Peter M. Broadwell and Timothy R. Tangherlini</w:t>
      </w:r>
      <w:r>
        <w:rPr>
          <w:lang w:val="en-GB"/>
        </w:rPr>
        <w:t xml:space="preserve">, </w:t>
      </w:r>
      <w:proofErr w:type="spellStart"/>
      <w:r>
        <w:rPr>
          <w:lang w:val="en-GB"/>
        </w:rPr>
        <w:t>WitchHunt</w:t>
      </w:r>
      <w:proofErr w:type="spellEnd"/>
      <w:r>
        <w:rPr>
          <w:lang w:val="en-GB"/>
        </w:rPr>
        <w:t>, p. 22.</w:t>
      </w:r>
    </w:p>
  </w:footnote>
  <w:footnote w:id="84">
    <w:p w14:paraId="76F89809" w14:textId="1CC5730D" w:rsidR="00F66EDB" w:rsidRPr="00703B1B" w:rsidRDefault="00F66EDB">
      <w:pPr>
        <w:pStyle w:val="Funotentext"/>
        <w:rPr>
          <w:lang w:val="en-GB"/>
        </w:rPr>
      </w:pPr>
      <w:r>
        <w:rPr>
          <w:rStyle w:val="Funotenzeichen"/>
        </w:rPr>
        <w:footnoteRef/>
      </w:r>
      <w:r w:rsidRPr="00703B1B">
        <w:rPr>
          <w:lang w:val="en-GB"/>
        </w:rPr>
        <w:t xml:space="preserve"> Durkheim, P. 423</w:t>
      </w:r>
    </w:p>
  </w:footnote>
  <w:footnote w:id="85">
    <w:p w14:paraId="14C4CF72" w14:textId="77777777" w:rsidR="0092203B" w:rsidRPr="008722CA" w:rsidRDefault="0092203B" w:rsidP="0092203B">
      <w:pPr>
        <w:pStyle w:val="Funotentext"/>
        <w:rPr>
          <w:lang w:val="en-GB"/>
        </w:rPr>
      </w:pPr>
      <w:r>
        <w:rPr>
          <w:rStyle w:val="Funotenzeichen"/>
        </w:rPr>
        <w:footnoteRef/>
      </w:r>
      <w:r w:rsidRPr="008722CA">
        <w:rPr>
          <w:lang w:val="en-GB"/>
        </w:rPr>
        <w:t xml:space="preserve"> </w:t>
      </w:r>
      <w:r w:rsidRPr="00E81D67">
        <w:rPr>
          <w:lang w:val="en-GB"/>
        </w:rPr>
        <w:t>Beldon C</w:t>
      </w:r>
      <w:r>
        <w:rPr>
          <w:lang w:val="en-GB"/>
        </w:rPr>
        <w:t xml:space="preserve">. Lane, </w:t>
      </w:r>
      <w:r w:rsidRPr="006E3C70">
        <w:rPr>
          <w:i/>
          <w:iCs/>
          <w:lang w:val="en-GB"/>
        </w:rPr>
        <w:t>Landscapes of the Sacred: Geography and Narrative in American Spirituality</w:t>
      </w:r>
      <w:r>
        <w:rPr>
          <w:lang w:val="en-GB"/>
        </w:rPr>
        <w:t xml:space="preserve"> (Baltimore: The John Hopkins University Press, 2001)</w:t>
      </w:r>
      <w:r w:rsidRPr="00E81D67">
        <w:rPr>
          <w:lang w:val="en-GB"/>
        </w:rPr>
        <w:t xml:space="preserve">, p. </w:t>
      </w:r>
      <w:r w:rsidRPr="008722CA">
        <w:rPr>
          <w:lang w:val="en-GB"/>
        </w:rPr>
        <w:t>58</w:t>
      </w:r>
      <w:r>
        <w:rPr>
          <w:lang w:val="en-GB"/>
        </w:rPr>
        <w:t>.</w:t>
      </w:r>
    </w:p>
  </w:footnote>
  <w:footnote w:id="86">
    <w:p w14:paraId="0BEAB6CC" w14:textId="77777777" w:rsidR="00545AE6" w:rsidRPr="006E7085" w:rsidRDefault="00545AE6" w:rsidP="00545AE6">
      <w:pPr>
        <w:pStyle w:val="Funotentext"/>
      </w:pPr>
      <w:r>
        <w:rPr>
          <w:rStyle w:val="Funotenzeichen"/>
        </w:rPr>
        <w:footnoteRef/>
      </w:r>
      <w:r w:rsidRPr="006E7085">
        <w:t xml:space="preserve"> Ivan </w:t>
      </w:r>
      <w:proofErr w:type="spellStart"/>
      <w:r w:rsidRPr="006E7085">
        <w:t>Sprajc</w:t>
      </w:r>
      <w:proofErr w:type="spellEnd"/>
      <w:r w:rsidRPr="006E7085">
        <w:t>, Alignments upon Venus, pp. 512-513.</w:t>
      </w:r>
    </w:p>
  </w:footnote>
  <w:footnote w:id="87">
    <w:p w14:paraId="1CB260B5" w14:textId="77777777" w:rsidR="006E7085" w:rsidRDefault="006E7085" w:rsidP="006E7085">
      <w:pPr>
        <w:pStyle w:val="Funotentext"/>
      </w:pPr>
      <w:r>
        <w:rPr>
          <w:rStyle w:val="Funotenzeichen"/>
        </w:rPr>
        <w:footnoteRef/>
      </w:r>
      <w:r>
        <w:t xml:space="preserve"> </w:t>
      </w:r>
      <w:r w:rsidRPr="00B36FE7">
        <w:t xml:space="preserve">Saladin, </w:t>
      </w:r>
      <w:proofErr w:type="spellStart"/>
      <w:r w:rsidRPr="00B36FE7">
        <w:t>Guntramam</w:t>
      </w:r>
      <w:proofErr w:type="spellEnd"/>
      <w:r w:rsidRPr="00B36FE7">
        <w:t xml:space="preserve">, Zur </w:t>
      </w:r>
      <w:proofErr w:type="spellStart"/>
      <w:r w:rsidRPr="00B36FE7">
        <w:t>Siedelungsgeschichte</w:t>
      </w:r>
      <w:proofErr w:type="spellEnd"/>
      <w:r w:rsidRPr="00B36FE7">
        <w:t xml:space="preserve"> des freiburgischen </w:t>
      </w:r>
      <w:proofErr w:type="spellStart"/>
      <w:r w:rsidRPr="00B36FE7">
        <w:t>Sensebezirks</w:t>
      </w:r>
      <w:proofErr w:type="spellEnd"/>
    </w:p>
  </w:footnote>
  <w:footnote w:id="88">
    <w:p w14:paraId="1F6B5D69" w14:textId="77777777" w:rsidR="008831AD" w:rsidRPr="00362220" w:rsidRDefault="008831AD" w:rsidP="008831AD">
      <w:pPr>
        <w:pStyle w:val="Funotentext"/>
        <w:rPr>
          <w:lang w:val="en-GB"/>
        </w:rPr>
      </w:pPr>
      <w:r>
        <w:rPr>
          <w:rStyle w:val="Funotenzeichen"/>
        </w:rPr>
        <w:footnoteRef/>
      </w:r>
      <w:r w:rsidRPr="00362220">
        <w:rPr>
          <w:lang w:val="en-GB"/>
        </w:rPr>
        <w:t xml:space="preserve"> Roger Beck, Imagery and Narrative in an Ancient Horoscope: </w:t>
      </w:r>
      <w:proofErr w:type="gramStart"/>
      <w:r w:rsidRPr="00362220">
        <w:rPr>
          <w:lang w:val="en-GB"/>
        </w:rPr>
        <w:t>P.Lond</w:t>
      </w:r>
      <w:proofErr w:type="gramEnd"/>
      <w:r w:rsidRPr="00362220">
        <w:rPr>
          <w:lang w:val="en-GB"/>
        </w:rPr>
        <w:t>.130 (Greek Horoscopes No. 81</w:t>
      </w:r>
      <w:proofErr w:type="gramStart"/>
      <w:r w:rsidRPr="00362220">
        <w:rPr>
          <w:lang w:val="en-GB"/>
        </w:rPr>
        <w:t>).The</w:t>
      </w:r>
      <w:proofErr w:type="gramEnd"/>
      <w:r w:rsidRPr="00362220">
        <w:rPr>
          <w:lang w:val="en-GB"/>
        </w:rPr>
        <w:t xml:space="preserve"> Imagined Sky, </w:t>
      </w:r>
      <w:r>
        <w:rPr>
          <w:lang w:val="en-GB"/>
        </w:rPr>
        <w:t xml:space="preserve">edited by Darrelyn </w:t>
      </w:r>
      <w:r w:rsidRPr="00362220">
        <w:rPr>
          <w:lang w:val="en-GB"/>
        </w:rPr>
        <w:t xml:space="preserve">Gunzburg, </w:t>
      </w:r>
      <w:r>
        <w:rPr>
          <w:lang w:val="en-GB"/>
        </w:rPr>
        <w:t>p. 49.</w:t>
      </w:r>
    </w:p>
  </w:footnote>
  <w:footnote w:id="89">
    <w:p w14:paraId="74EB4FEC" w14:textId="77777777" w:rsidR="008831AD" w:rsidRPr="00EC72B0" w:rsidRDefault="008831AD" w:rsidP="008831AD">
      <w:pPr>
        <w:pStyle w:val="Funotentext"/>
      </w:pPr>
      <w:r>
        <w:rPr>
          <w:rStyle w:val="Funotenzeichen"/>
        </w:rPr>
        <w:footnoteRef/>
      </w:r>
      <w:r w:rsidRPr="00EC72B0">
        <w:t xml:space="preserve"> </w:t>
      </w:r>
      <w:proofErr w:type="spellStart"/>
      <w:r w:rsidRPr="00EC72B0">
        <w:t>Labeo</w:t>
      </w:r>
      <w:proofErr w:type="spellEnd"/>
      <w:r w:rsidRPr="00EC72B0">
        <w:t xml:space="preserve"> Notker, Die Schriften Notkers und seiner Schule</w:t>
      </w:r>
      <w:r>
        <w:t xml:space="preserve">, </w:t>
      </w:r>
      <w:r w:rsidRPr="00EC72B0">
        <w:t>P. 787. https://archive.org/details/dieschriftennot00capegoog/page/787/mode/2up)</w:t>
      </w:r>
    </w:p>
  </w:footnote>
  <w:footnote w:id="90">
    <w:p w14:paraId="73AAB0FF" w14:textId="77777777" w:rsidR="00246D7A" w:rsidRPr="00992074" w:rsidRDefault="00246D7A" w:rsidP="00246D7A">
      <w:pPr>
        <w:pStyle w:val="Funotentext"/>
        <w:rPr>
          <w:lang w:val="en-GB"/>
        </w:rPr>
      </w:pPr>
      <w:r>
        <w:rPr>
          <w:rStyle w:val="Funotenzeichen"/>
        </w:rPr>
        <w:footnoteRef/>
      </w:r>
      <w:r w:rsidRPr="00992074">
        <w:rPr>
          <w:lang w:val="en-GB"/>
        </w:rPr>
        <w:t xml:space="preserve"> Mary W. Helms, Before the Dawn</w:t>
      </w:r>
      <w:r>
        <w:rPr>
          <w:lang w:val="en-GB"/>
        </w:rPr>
        <w:t>, pp. 177, 183 and 184.</w:t>
      </w:r>
      <w:r w:rsidRPr="00992074">
        <w:rPr>
          <w:lang w:val="en-GB"/>
        </w:rPr>
        <w:t xml:space="preserve"> </w:t>
      </w:r>
    </w:p>
  </w:footnote>
  <w:footnote w:id="91">
    <w:p w14:paraId="4AA93D68" w14:textId="12760B2E" w:rsidR="006D4C1C" w:rsidRPr="006D4C1C" w:rsidRDefault="006D4C1C">
      <w:pPr>
        <w:pStyle w:val="Funotentext"/>
        <w:rPr>
          <w:lang w:val="en-GB"/>
        </w:rPr>
      </w:pPr>
      <w:r>
        <w:rPr>
          <w:rStyle w:val="Funotenzeichen"/>
        </w:rPr>
        <w:footnoteRef/>
      </w:r>
      <w:r w:rsidRPr="006D4C1C">
        <w:rPr>
          <w:lang w:val="en-GB"/>
        </w:rPr>
        <w:t xml:space="preserve"> Campion, Nicholas. Astrology and Cosmology in the World’s Religions (English Edition) (S.170)</w:t>
      </w:r>
    </w:p>
  </w:footnote>
  <w:footnote w:id="92">
    <w:p w14:paraId="32D1C850" w14:textId="3C97A4C8" w:rsidR="00B105E0" w:rsidRPr="0085518A" w:rsidRDefault="00B105E0" w:rsidP="00B105E0">
      <w:pPr>
        <w:pStyle w:val="Funotentext"/>
        <w:rPr>
          <w:lang w:val="en-GB"/>
        </w:rPr>
      </w:pPr>
      <w:r>
        <w:rPr>
          <w:rStyle w:val="Funotenzeichen"/>
        </w:rPr>
        <w:footnoteRef/>
      </w:r>
      <w:r w:rsidRPr="0085518A">
        <w:rPr>
          <w:lang w:val="en-GB"/>
        </w:rPr>
        <w:t xml:space="preserve"> </w:t>
      </w:r>
      <w:r w:rsidR="006101D1" w:rsidRPr="00714551">
        <w:rPr>
          <w:lang w:val="en-GB"/>
        </w:rPr>
        <w:t xml:space="preserve">Durkheim, </w:t>
      </w:r>
      <w:r w:rsidR="006101D1" w:rsidRPr="00714551">
        <w:rPr>
          <w:i/>
          <w:iCs/>
          <w:lang w:val="en-GB"/>
        </w:rPr>
        <w:t>The Elementary Forms</w:t>
      </w:r>
      <w:r w:rsidRPr="0085518A">
        <w:rPr>
          <w:lang w:val="en-GB"/>
        </w:rPr>
        <w:t>, p. 37.</w:t>
      </w:r>
    </w:p>
  </w:footnote>
  <w:footnote w:id="93">
    <w:p w14:paraId="36C03A28" w14:textId="15BCB4F9" w:rsidR="00B105E0" w:rsidRPr="00B105E0" w:rsidRDefault="00B105E0">
      <w:pPr>
        <w:pStyle w:val="Funotentext"/>
        <w:rPr>
          <w:lang w:val="en-GB"/>
        </w:rPr>
      </w:pPr>
      <w:r>
        <w:rPr>
          <w:rStyle w:val="Funotenzeichen"/>
        </w:rPr>
        <w:footnoteRef/>
      </w:r>
      <w:r w:rsidRPr="00B105E0">
        <w:rPr>
          <w:lang w:val="en-GB"/>
        </w:rPr>
        <w:t xml:space="preserve"> </w:t>
      </w:r>
      <w:r w:rsidR="006101D1">
        <w:rPr>
          <w:lang w:val="en-GB"/>
        </w:rPr>
        <w:t xml:space="preserve">Eliade, </w:t>
      </w:r>
      <w:r w:rsidR="006101D1" w:rsidRPr="00985732">
        <w:rPr>
          <w:i/>
          <w:iCs/>
          <w:lang w:val="en-GB"/>
        </w:rPr>
        <w:t xml:space="preserve">The Sacred and the </w:t>
      </w:r>
      <w:proofErr w:type="gramStart"/>
      <w:r w:rsidR="006101D1" w:rsidRPr="00985732">
        <w:rPr>
          <w:i/>
          <w:iCs/>
          <w:lang w:val="en-GB"/>
        </w:rPr>
        <w:t>Profane,</w:t>
      </w:r>
      <w:r w:rsidR="006101D1">
        <w:rPr>
          <w:lang w:val="en-GB"/>
        </w:rPr>
        <w:t xml:space="preserve"> </w:t>
      </w:r>
      <w:r>
        <w:rPr>
          <w:lang w:val="en-GB"/>
        </w:rPr>
        <w:t xml:space="preserve"> p.</w:t>
      </w:r>
      <w:proofErr w:type="gramEnd"/>
      <w:r>
        <w:rPr>
          <w:lang w:val="en-GB"/>
        </w:rPr>
        <w:t xml:space="preserve"> 11</w:t>
      </w:r>
    </w:p>
  </w:footnote>
  <w:footnote w:id="94">
    <w:p w14:paraId="6544DBC5" w14:textId="19C6D31F" w:rsidR="00B105E0" w:rsidRPr="00EA5F6C" w:rsidRDefault="00B105E0" w:rsidP="00B105E0">
      <w:pPr>
        <w:pStyle w:val="Funotentext"/>
        <w:rPr>
          <w:lang w:val="en-GB"/>
        </w:rPr>
      </w:pPr>
      <w:r>
        <w:rPr>
          <w:rStyle w:val="Funotenzeichen"/>
        </w:rPr>
        <w:footnoteRef/>
      </w:r>
      <w:r w:rsidRPr="00EA5F6C">
        <w:rPr>
          <w:lang w:val="en-GB"/>
        </w:rPr>
        <w:t xml:space="preserve"> </w:t>
      </w:r>
      <w:r w:rsidR="006101D1">
        <w:rPr>
          <w:lang w:val="en-GB"/>
        </w:rPr>
        <w:t xml:space="preserve">Bernadette </w:t>
      </w:r>
      <w:r w:rsidR="006101D1" w:rsidRPr="000B79C7">
        <w:rPr>
          <w:lang w:val="en-GB"/>
        </w:rPr>
        <w:t xml:space="preserve">Brady, </w:t>
      </w:r>
      <w:r w:rsidR="006101D1">
        <w:rPr>
          <w:lang w:val="en-GB"/>
        </w:rPr>
        <w:t>‘</w:t>
      </w:r>
      <w:r w:rsidR="006101D1" w:rsidRPr="00F24DB4">
        <w:rPr>
          <w:lang w:val="en-GB"/>
        </w:rPr>
        <w:t xml:space="preserve">Introduction Part </w:t>
      </w:r>
      <w:r w:rsidR="006101D1">
        <w:rPr>
          <w:lang w:val="en-GB"/>
        </w:rPr>
        <w:t xml:space="preserve">I’, </w:t>
      </w:r>
      <w:r w:rsidR="006101D1" w:rsidRPr="00F24DB4">
        <w:rPr>
          <w:i/>
          <w:iCs/>
          <w:lang w:val="en-GB"/>
        </w:rPr>
        <w:t xml:space="preserve">Sacred Geography: </w:t>
      </w:r>
      <w:r w:rsidR="006101D1">
        <w:rPr>
          <w:i/>
          <w:iCs/>
          <w:lang w:val="en-GB"/>
        </w:rPr>
        <w:t>Conversations</w:t>
      </w:r>
      <w:r w:rsidR="006101D1" w:rsidRPr="00F24DB4">
        <w:rPr>
          <w:i/>
          <w:iCs/>
          <w:lang w:val="en-GB"/>
        </w:rPr>
        <w:t xml:space="preserve"> </w:t>
      </w:r>
      <w:proofErr w:type="gramStart"/>
      <w:r w:rsidR="006101D1" w:rsidRPr="00F24DB4">
        <w:rPr>
          <w:i/>
          <w:iCs/>
          <w:lang w:val="en-GB"/>
        </w:rPr>
        <w:t>With</w:t>
      </w:r>
      <w:proofErr w:type="gramEnd"/>
      <w:r w:rsidR="006101D1" w:rsidRPr="00F24DB4">
        <w:rPr>
          <w:i/>
          <w:iCs/>
          <w:lang w:val="en-GB"/>
        </w:rPr>
        <w:t xml:space="preserve"> </w:t>
      </w:r>
      <w:proofErr w:type="gramStart"/>
      <w:r w:rsidR="006101D1" w:rsidRPr="00F24DB4">
        <w:rPr>
          <w:i/>
          <w:iCs/>
          <w:lang w:val="en-GB"/>
        </w:rPr>
        <w:t>The</w:t>
      </w:r>
      <w:proofErr w:type="gramEnd"/>
      <w:r w:rsidR="006101D1" w:rsidRPr="00F24DB4">
        <w:rPr>
          <w:i/>
          <w:iCs/>
          <w:lang w:val="en-GB"/>
        </w:rPr>
        <w:t xml:space="preserve"> Other</w:t>
      </w:r>
      <w:r w:rsidR="006101D1">
        <w:rPr>
          <w:lang w:val="en-GB"/>
        </w:rPr>
        <w:t xml:space="preserve">, (Ceredigion, Wales: Sophia </w:t>
      </w:r>
      <w:proofErr w:type="spellStart"/>
      <w:r w:rsidR="006101D1">
        <w:rPr>
          <w:lang w:val="en-GB"/>
        </w:rPr>
        <w:t>Center</w:t>
      </w:r>
      <w:proofErr w:type="spellEnd"/>
      <w:r w:rsidR="006101D1">
        <w:rPr>
          <w:lang w:val="en-GB"/>
        </w:rPr>
        <w:t xml:space="preserve"> Press, 2024)</w:t>
      </w:r>
      <w:r>
        <w:rPr>
          <w:lang w:val="en-GB"/>
        </w:rPr>
        <w:t>, p. 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4ACA95BD" w14:textId="77777777" w:rsidR="006101D1" w:rsidRDefault="006101D1" w:rsidP="006101D1">
        <w:pPr>
          <w:pStyle w:val="Kopfzeile"/>
        </w:pPr>
        <w:r>
          <w:t xml:space="preserve">Hofmann Andrea   </w:t>
        </w:r>
        <w:r w:rsidRPr="00FC6FBF">
          <w:t>2324045</w:t>
        </w:r>
        <w:r>
          <w:tab/>
        </w:r>
        <w:r>
          <w:tab/>
        </w:r>
        <w:proofErr w:type="spellStart"/>
        <w:r>
          <w:rPr>
            <w:lang w:val="de-DE"/>
          </w:rPr>
          <w:t>page</w:t>
        </w:r>
        <w:proofErr w:type="spellEnd"/>
        <w:r>
          <w:rPr>
            <w:lang w:val="de-DE"/>
          </w:rPr>
          <w:t xml:space="preserve"> </w:t>
        </w:r>
        <w:r>
          <w:rPr>
            <w:b/>
            <w:bCs/>
            <w:sz w:val="24"/>
            <w:szCs w:val="24"/>
          </w:rPr>
          <w:fldChar w:fldCharType="begin"/>
        </w:r>
        <w:r>
          <w:rPr>
            <w:b/>
            <w:bCs/>
          </w:rPr>
          <w:instrText>PAGE</w:instrText>
        </w:r>
        <w:r>
          <w:rPr>
            <w:b/>
            <w:bCs/>
            <w:sz w:val="24"/>
            <w:szCs w:val="24"/>
          </w:rPr>
          <w:fldChar w:fldCharType="separate"/>
        </w:r>
        <w:r>
          <w:rPr>
            <w:b/>
            <w:bCs/>
          </w:rPr>
          <w:t>4</w:t>
        </w:r>
        <w:r>
          <w:rPr>
            <w:b/>
            <w:bCs/>
            <w:sz w:val="24"/>
            <w:szCs w:val="24"/>
          </w:rPr>
          <w:fldChar w:fldCharType="end"/>
        </w:r>
        <w:r>
          <w:rPr>
            <w:lang w:val="de-DE"/>
          </w:rPr>
          <w:t xml:space="preserve"> </w:t>
        </w:r>
        <w:proofErr w:type="spellStart"/>
        <w:r>
          <w:rPr>
            <w:lang w:val="de-DE"/>
          </w:rPr>
          <w:t>of</w:t>
        </w:r>
        <w:proofErr w:type="spellEnd"/>
        <w:r>
          <w:rPr>
            <w:lang w:val="de-DE"/>
          </w:rPr>
          <w:t xml:space="preserve"> </w:t>
        </w:r>
        <w:r>
          <w:rPr>
            <w:b/>
            <w:bCs/>
            <w:sz w:val="24"/>
            <w:szCs w:val="24"/>
          </w:rPr>
          <w:fldChar w:fldCharType="begin"/>
        </w:r>
        <w:r>
          <w:rPr>
            <w:b/>
            <w:bCs/>
          </w:rPr>
          <w:instrText>NUMPAGES</w:instrText>
        </w:r>
        <w:r>
          <w:rPr>
            <w:b/>
            <w:bCs/>
            <w:sz w:val="24"/>
            <w:szCs w:val="24"/>
          </w:rPr>
          <w:fldChar w:fldCharType="separate"/>
        </w:r>
        <w:r>
          <w:rPr>
            <w:b/>
            <w:bCs/>
          </w:rPr>
          <w:t>11</w:t>
        </w:r>
        <w:r>
          <w:rPr>
            <w:b/>
            <w:bCs/>
            <w:sz w:val="24"/>
            <w:szCs w:val="24"/>
          </w:rPr>
          <w:fldChar w:fldCharType="end"/>
        </w:r>
      </w:p>
    </w:sdtContent>
  </w:sdt>
  <w:p w14:paraId="00F8437C" w14:textId="77777777" w:rsidR="006101D1" w:rsidRDefault="006101D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4BE"/>
    <w:rsid w:val="00003298"/>
    <w:rsid w:val="00006B31"/>
    <w:rsid w:val="0000792D"/>
    <w:rsid w:val="00015FD1"/>
    <w:rsid w:val="000209EE"/>
    <w:rsid w:val="00030C25"/>
    <w:rsid w:val="0003214C"/>
    <w:rsid w:val="00035F33"/>
    <w:rsid w:val="000367D0"/>
    <w:rsid w:val="00044DF2"/>
    <w:rsid w:val="00046BCA"/>
    <w:rsid w:val="00047104"/>
    <w:rsid w:val="000472C8"/>
    <w:rsid w:val="0005149D"/>
    <w:rsid w:val="0005358B"/>
    <w:rsid w:val="0006116F"/>
    <w:rsid w:val="00061176"/>
    <w:rsid w:val="00061B5C"/>
    <w:rsid w:val="0007047C"/>
    <w:rsid w:val="00070485"/>
    <w:rsid w:val="00070C1F"/>
    <w:rsid w:val="00071201"/>
    <w:rsid w:val="000756DD"/>
    <w:rsid w:val="00080CE0"/>
    <w:rsid w:val="00081D23"/>
    <w:rsid w:val="0009400A"/>
    <w:rsid w:val="0009591F"/>
    <w:rsid w:val="000A3A53"/>
    <w:rsid w:val="000D2305"/>
    <w:rsid w:val="000D5A13"/>
    <w:rsid w:val="000E12C2"/>
    <w:rsid w:val="000E7182"/>
    <w:rsid w:val="000F41AE"/>
    <w:rsid w:val="000F43A5"/>
    <w:rsid w:val="000F6DB6"/>
    <w:rsid w:val="00100FBD"/>
    <w:rsid w:val="00101CE3"/>
    <w:rsid w:val="001061BC"/>
    <w:rsid w:val="00117483"/>
    <w:rsid w:val="001219E8"/>
    <w:rsid w:val="0012325C"/>
    <w:rsid w:val="0014201C"/>
    <w:rsid w:val="00145D85"/>
    <w:rsid w:val="00145FE9"/>
    <w:rsid w:val="0014642A"/>
    <w:rsid w:val="00147B0D"/>
    <w:rsid w:val="0015233A"/>
    <w:rsid w:val="00154FA0"/>
    <w:rsid w:val="00155171"/>
    <w:rsid w:val="00157BC5"/>
    <w:rsid w:val="001654FB"/>
    <w:rsid w:val="00176B24"/>
    <w:rsid w:val="00181EBF"/>
    <w:rsid w:val="00193C74"/>
    <w:rsid w:val="001A3144"/>
    <w:rsid w:val="001B0503"/>
    <w:rsid w:val="001B13C0"/>
    <w:rsid w:val="001B414A"/>
    <w:rsid w:val="001C2D42"/>
    <w:rsid w:val="001C4F7B"/>
    <w:rsid w:val="001D2F0A"/>
    <w:rsid w:val="001D3059"/>
    <w:rsid w:val="001D30B7"/>
    <w:rsid w:val="001D5F7C"/>
    <w:rsid w:val="001D745F"/>
    <w:rsid w:val="001E3032"/>
    <w:rsid w:val="001F2EE2"/>
    <w:rsid w:val="001F421B"/>
    <w:rsid w:val="00202466"/>
    <w:rsid w:val="00202D23"/>
    <w:rsid w:val="00213B1A"/>
    <w:rsid w:val="00214121"/>
    <w:rsid w:val="0021480C"/>
    <w:rsid w:val="00215527"/>
    <w:rsid w:val="002227DE"/>
    <w:rsid w:val="0022413B"/>
    <w:rsid w:val="00233036"/>
    <w:rsid w:val="00234E6A"/>
    <w:rsid w:val="00237CD9"/>
    <w:rsid w:val="00246D7A"/>
    <w:rsid w:val="002479CD"/>
    <w:rsid w:val="0026081F"/>
    <w:rsid w:val="002628D8"/>
    <w:rsid w:val="00263065"/>
    <w:rsid w:val="0027417C"/>
    <w:rsid w:val="002765B5"/>
    <w:rsid w:val="00283080"/>
    <w:rsid w:val="00290584"/>
    <w:rsid w:val="002918AC"/>
    <w:rsid w:val="002948A3"/>
    <w:rsid w:val="002957E9"/>
    <w:rsid w:val="002A198A"/>
    <w:rsid w:val="002B2916"/>
    <w:rsid w:val="002B334E"/>
    <w:rsid w:val="002B4289"/>
    <w:rsid w:val="002B61D6"/>
    <w:rsid w:val="002C2E87"/>
    <w:rsid w:val="002C31B1"/>
    <w:rsid w:val="002D7488"/>
    <w:rsid w:val="002E3BE8"/>
    <w:rsid w:val="002F0EBF"/>
    <w:rsid w:val="002F1B86"/>
    <w:rsid w:val="002F49EC"/>
    <w:rsid w:val="0030036D"/>
    <w:rsid w:val="003018BB"/>
    <w:rsid w:val="00305211"/>
    <w:rsid w:val="00307656"/>
    <w:rsid w:val="00311D69"/>
    <w:rsid w:val="0031712C"/>
    <w:rsid w:val="0031775C"/>
    <w:rsid w:val="003178BF"/>
    <w:rsid w:val="00317FBF"/>
    <w:rsid w:val="0032347C"/>
    <w:rsid w:val="00324874"/>
    <w:rsid w:val="00326CF5"/>
    <w:rsid w:val="0033088C"/>
    <w:rsid w:val="003329C3"/>
    <w:rsid w:val="003348D2"/>
    <w:rsid w:val="00337CE9"/>
    <w:rsid w:val="00340ECC"/>
    <w:rsid w:val="0034230A"/>
    <w:rsid w:val="00350C24"/>
    <w:rsid w:val="00351957"/>
    <w:rsid w:val="003557DF"/>
    <w:rsid w:val="00355A36"/>
    <w:rsid w:val="0035616B"/>
    <w:rsid w:val="00362220"/>
    <w:rsid w:val="00365616"/>
    <w:rsid w:val="00370C71"/>
    <w:rsid w:val="00373410"/>
    <w:rsid w:val="00374882"/>
    <w:rsid w:val="003853EE"/>
    <w:rsid w:val="0039231F"/>
    <w:rsid w:val="00393100"/>
    <w:rsid w:val="003A6C96"/>
    <w:rsid w:val="003B1B1A"/>
    <w:rsid w:val="003C334C"/>
    <w:rsid w:val="003C7A5C"/>
    <w:rsid w:val="003D143E"/>
    <w:rsid w:val="003D23AD"/>
    <w:rsid w:val="003D2817"/>
    <w:rsid w:val="003D6F6F"/>
    <w:rsid w:val="003F416F"/>
    <w:rsid w:val="003F7695"/>
    <w:rsid w:val="00406311"/>
    <w:rsid w:val="00407259"/>
    <w:rsid w:val="0041011F"/>
    <w:rsid w:val="004127F2"/>
    <w:rsid w:val="00413E7A"/>
    <w:rsid w:val="004165DF"/>
    <w:rsid w:val="00420519"/>
    <w:rsid w:val="0042285A"/>
    <w:rsid w:val="00422A3D"/>
    <w:rsid w:val="00424A53"/>
    <w:rsid w:val="00433E40"/>
    <w:rsid w:val="0044695E"/>
    <w:rsid w:val="00455628"/>
    <w:rsid w:val="00456DAC"/>
    <w:rsid w:val="004579C5"/>
    <w:rsid w:val="0046049B"/>
    <w:rsid w:val="0046086C"/>
    <w:rsid w:val="00462F56"/>
    <w:rsid w:val="00467533"/>
    <w:rsid w:val="00471795"/>
    <w:rsid w:val="00482E66"/>
    <w:rsid w:val="004861DD"/>
    <w:rsid w:val="0048623B"/>
    <w:rsid w:val="004869AC"/>
    <w:rsid w:val="00487BE1"/>
    <w:rsid w:val="004924ED"/>
    <w:rsid w:val="00495B34"/>
    <w:rsid w:val="004A4274"/>
    <w:rsid w:val="004A73F8"/>
    <w:rsid w:val="004A7762"/>
    <w:rsid w:val="004B287B"/>
    <w:rsid w:val="004B74E5"/>
    <w:rsid w:val="004D75F2"/>
    <w:rsid w:val="004E7CA5"/>
    <w:rsid w:val="004F62BF"/>
    <w:rsid w:val="004F6607"/>
    <w:rsid w:val="004F7AA0"/>
    <w:rsid w:val="00502FC3"/>
    <w:rsid w:val="005034BE"/>
    <w:rsid w:val="005111C6"/>
    <w:rsid w:val="00512442"/>
    <w:rsid w:val="0051332D"/>
    <w:rsid w:val="005256F3"/>
    <w:rsid w:val="005263C8"/>
    <w:rsid w:val="005269D5"/>
    <w:rsid w:val="00533B05"/>
    <w:rsid w:val="005370B3"/>
    <w:rsid w:val="00540395"/>
    <w:rsid w:val="00540883"/>
    <w:rsid w:val="00545034"/>
    <w:rsid w:val="00545AE6"/>
    <w:rsid w:val="0054603E"/>
    <w:rsid w:val="00550A02"/>
    <w:rsid w:val="00550DCC"/>
    <w:rsid w:val="00554A5D"/>
    <w:rsid w:val="00556436"/>
    <w:rsid w:val="005666C7"/>
    <w:rsid w:val="005677FA"/>
    <w:rsid w:val="00577971"/>
    <w:rsid w:val="005836AD"/>
    <w:rsid w:val="0059578D"/>
    <w:rsid w:val="005A0931"/>
    <w:rsid w:val="005A2385"/>
    <w:rsid w:val="005A6B76"/>
    <w:rsid w:val="005A7900"/>
    <w:rsid w:val="005B0336"/>
    <w:rsid w:val="005B4C3C"/>
    <w:rsid w:val="005B690B"/>
    <w:rsid w:val="005B702D"/>
    <w:rsid w:val="005D1F87"/>
    <w:rsid w:val="005D2AAF"/>
    <w:rsid w:val="005D79A7"/>
    <w:rsid w:val="005E4BA0"/>
    <w:rsid w:val="005E4BBE"/>
    <w:rsid w:val="005E585E"/>
    <w:rsid w:val="005F27E1"/>
    <w:rsid w:val="005F2FA8"/>
    <w:rsid w:val="006101D1"/>
    <w:rsid w:val="00622EF2"/>
    <w:rsid w:val="00625884"/>
    <w:rsid w:val="00625FCB"/>
    <w:rsid w:val="0063202F"/>
    <w:rsid w:val="006406A8"/>
    <w:rsid w:val="00647766"/>
    <w:rsid w:val="00652138"/>
    <w:rsid w:val="006600F9"/>
    <w:rsid w:val="00663C48"/>
    <w:rsid w:val="00665732"/>
    <w:rsid w:val="00665C6B"/>
    <w:rsid w:val="00672682"/>
    <w:rsid w:val="006762C3"/>
    <w:rsid w:val="00685964"/>
    <w:rsid w:val="006A1684"/>
    <w:rsid w:val="006B13CE"/>
    <w:rsid w:val="006B6D34"/>
    <w:rsid w:val="006D4C1C"/>
    <w:rsid w:val="006E52D6"/>
    <w:rsid w:val="006E7085"/>
    <w:rsid w:val="006F27AE"/>
    <w:rsid w:val="006F4E7C"/>
    <w:rsid w:val="00703B1B"/>
    <w:rsid w:val="00712345"/>
    <w:rsid w:val="007140C3"/>
    <w:rsid w:val="00731C96"/>
    <w:rsid w:val="0074233F"/>
    <w:rsid w:val="007604A7"/>
    <w:rsid w:val="007659E6"/>
    <w:rsid w:val="0077394B"/>
    <w:rsid w:val="007744C3"/>
    <w:rsid w:val="00784F7F"/>
    <w:rsid w:val="007A151F"/>
    <w:rsid w:val="007A7C0C"/>
    <w:rsid w:val="007B79E4"/>
    <w:rsid w:val="007D2849"/>
    <w:rsid w:val="007D48D6"/>
    <w:rsid w:val="007E71FC"/>
    <w:rsid w:val="007F1888"/>
    <w:rsid w:val="0081516A"/>
    <w:rsid w:val="00815AEC"/>
    <w:rsid w:val="008206A4"/>
    <w:rsid w:val="00821713"/>
    <w:rsid w:val="0082263A"/>
    <w:rsid w:val="008227AD"/>
    <w:rsid w:val="008233F8"/>
    <w:rsid w:val="0083530F"/>
    <w:rsid w:val="00835D1D"/>
    <w:rsid w:val="00836427"/>
    <w:rsid w:val="00841404"/>
    <w:rsid w:val="008433CC"/>
    <w:rsid w:val="008515D1"/>
    <w:rsid w:val="00852D4F"/>
    <w:rsid w:val="0085518A"/>
    <w:rsid w:val="00857F2F"/>
    <w:rsid w:val="008649D2"/>
    <w:rsid w:val="0086700C"/>
    <w:rsid w:val="0087116C"/>
    <w:rsid w:val="008722CA"/>
    <w:rsid w:val="008735AF"/>
    <w:rsid w:val="008831AD"/>
    <w:rsid w:val="00887FB1"/>
    <w:rsid w:val="008914BE"/>
    <w:rsid w:val="00894E8B"/>
    <w:rsid w:val="008960DC"/>
    <w:rsid w:val="00897244"/>
    <w:rsid w:val="008A131B"/>
    <w:rsid w:val="008A35F8"/>
    <w:rsid w:val="008A425E"/>
    <w:rsid w:val="008A6EA7"/>
    <w:rsid w:val="008C3907"/>
    <w:rsid w:val="008C3D05"/>
    <w:rsid w:val="008C4A46"/>
    <w:rsid w:val="008C6EBA"/>
    <w:rsid w:val="008C7CEF"/>
    <w:rsid w:val="008D542C"/>
    <w:rsid w:val="008E0BB6"/>
    <w:rsid w:val="008F24AE"/>
    <w:rsid w:val="008F41BC"/>
    <w:rsid w:val="008F71FA"/>
    <w:rsid w:val="009022D5"/>
    <w:rsid w:val="00903778"/>
    <w:rsid w:val="009077F3"/>
    <w:rsid w:val="00910377"/>
    <w:rsid w:val="009115BB"/>
    <w:rsid w:val="00917CF3"/>
    <w:rsid w:val="0092203B"/>
    <w:rsid w:val="0092469A"/>
    <w:rsid w:val="0093541D"/>
    <w:rsid w:val="00936C5D"/>
    <w:rsid w:val="00937893"/>
    <w:rsid w:val="00955419"/>
    <w:rsid w:val="00960559"/>
    <w:rsid w:val="00961FB9"/>
    <w:rsid w:val="0096302E"/>
    <w:rsid w:val="009735D8"/>
    <w:rsid w:val="00985D08"/>
    <w:rsid w:val="00986D23"/>
    <w:rsid w:val="00987F63"/>
    <w:rsid w:val="00992074"/>
    <w:rsid w:val="009B77E6"/>
    <w:rsid w:val="009C08A7"/>
    <w:rsid w:val="009C5F05"/>
    <w:rsid w:val="009E53B2"/>
    <w:rsid w:val="009F365F"/>
    <w:rsid w:val="00A02C6F"/>
    <w:rsid w:val="00A03EE4"/>
    <w:rsid w:val="00A05FB9"/>
    <w:rsid w:val="00A13A29"/>
    <w:rsid w:val="00A20D05"/>
    <w:rsid w:val="00A25FD1"/>
    <w:rsid w:val="00A26B60"/>
    <w:rsid w:val="00A33B81"/>
    <w:rsid w:val="00A34970"/>
    <w:rsid w:val="00A35983"/>
    <w:rsid w:val="00A369EE"/>
    <w:rsid w:val="00A404B1"/>
    <w:rsid w:val="00A419F4"/>
    <w:rsid w:val="00A41EB7"/>
    <w:rsid w:val="00A463F1"/>
    <w:rsid w:val="00A53716"/>
    <w:rsid w:val="00A62750"/>
    <w:rsid w:val="00A629F5"/>
    <w:rsid w:val="00A62CCB"/>
    <w:rsid w:val="00A63838"/>
    <w:rsid w:val="00A63A57"/>
    <w:rsid w:val="00A6685C"/>
    <w:rsid w:val="00A67ABE"/>
    <w:rsid w:val="00A724EE"/>
    <w:rsid w:val="00A833ED"/>
    <w:rsid w:val="00A94F73"/>
    <w:rsid w:val="00A95506"/>
    <w:rsid w:val="00A95CBA"/>
    <w:rsid w:val="00A97B30"/>
    <w:rsid w:val="00AA2C33"/>
    <w:rsid w:val="00AB6E8F"/>
    <w:rsid w:val="00AB7D05"/>
    <w:rsid w:val="00AC399C"/>
    <w:rsid w:val="00AC6AC1"/>
    <w:rsid w:val="00AC73A3"/>
    <w:rsid w:val="00AD2524"/>
    <w:rsid w:val="00AD6BB9"/>
    <w:rsid w:val="00AD7A99"/>
    <w:rsid w:val="00AE4C58"/>
    <w:rsid w:val="00AE5702"/>
    <w:rsid w:val="00AF57F2"/>
    <w:rsid w:val="00B028D4"/>
    <w:rsid w:val="00B105E0"/>
    <w:rsid w:val="00B25A6E"/>
    <w:rsid w:val="00B25B5D"/>
    <w:rsid w:val="00B30701"/>
    <w:rsid w:val="00B33FB0"/>
    <w:rsid w:val="00B36FE7"/>
    <w:rsid w:val="00B37AA1"/>
    <w:rsid w:val="00B4124A"/>
    <w:rsid w:val="00B41EFB"/>
    <w:rsid w:val="00B42065"/>
    <w:rsid w:val="00B42A51"/>
    <w:rsid w:val="00B44451"/>
    <w:rsid w:val="00B5119E"/>
    <w:rsid w:val="00B54955"/>
    <w:rsid w:val="00B56071"/>
    <w:rsid w:val="00B63F61"/>
    <w:rsid w:val="00B64378"/>
    <w:rsid w:val="00B6595A"/>
    <w:rsid w:val="00B65C37"/>
    <w:rsid w:val="00B670EA"/>
    <w:rsid w:val="00B74048"/>
    <w:rsid w:val="00B753B5"/>
    <w:rsid w:val="00B76C09"/>
    <w:rsid w:val="00B9291E"/>
    <w:rsid w:val="00B9379C"/>
    <w:rsid w:val="00B94255"/>
    <w:rsid w:val="00BA102D"/>
    <w:rsid w:val="00BA649E"/>
    <w:rsid w:val="00BB3231"/>
    <w:rsid w:val="00BB7419"/>
    <w:rsid w:val="00BC02AF"/>
    <w:rsid w:val="00BC5FE9"/>
    <w:rsid w:val="00BC773B"/>
    <w:rsid w:val="00BD47FE"/>
    <w:rsid w:val="00BD5850"/>
    <w:rsid w:val="00BE011D"/>
    <w:rsid w:val="00BE2AFE"/>
    <w:rsid w:val="00BE2DC1"/>
    <w:rsid w:val="00BF1250"/>
    <w:rsid w:val="00BF1729"/>
    <w:rsid w:val="00BF3561"/>
    <w:rsid w:val="00BF4E82"/>
    <w:rsid w:val="00BF6BCE"/>
    <w:rsid w:val="00C0170B"/>
    <w:rsid w:val="00C0266C"/>
    <w:rsid w:val="00C07166"/>
    <w:rsid w:val="00C11BD8"/>
    <w:rsid w:val="00C15BD7"/>
    <w:rsid w:val="00C21E0F"/>
    <w:rsid w:val="00C271FC"/>
    <w:rsid w:val="00C32BAC"/>
    <w:rsid w:val="00C32D5E"/>
    <w:rsid w:val="00C33CD7"/>
    <w:rsid w:val="00C36294"/>
    <w:rsid w:val="00C420E7"/>
    <w:rsid w:val="00C42296"/>
    <w:rsid w:val="00C45614"/>
    <w:rsid w:val="00C52099"/>
    <w:rsid w:val="00C5553A"/>
    <w:rsid w:val="00C70653"/>
    <w:rsid w:val="00C72301"/>
    <w:rsid w:val="00C77B88"/>
    <w:rsid w:val="00C82812"/>
    <w:rsid w:val="00C84EFA"/>
    <w:rsid w:val="00C851F6"/>
    <w:rsid w:val="00C86C05"/>
    <w:rsid w:val="00CA0BDF"/>
    <w:rsid w:val="00CA1BF7"/>
    <w:rsid w:val="00CA3D45"/>
    <w:rsid w:val="00CB7986"/>
    <w:rsid w:val="00CE452E"/>
    <w:rsid w:val="00CF7EA3"/>
    <w:rsid w:val="00D1698C"/>
    <w:rsid w:val="00D26D17"/>
    <w:rsid w:val="00D31418"/>
    <w:rsid w:val="00D32930"/>
    <w:rsid w:val="00D36262"/>
    <w:rsid w:val="00D51254"/>
    <w:rsid w:val="00D605CF"/>
    <w:rsid w:val="00D67CBD"/>
    <w:rsid w:val="00DA4CF2"/>
    <w:rsid w:val="00DA725E"/>
    <w:rsid w:val="00DA7D5B"/>
    <w:rsid w:val="00DB082E"/>
    <w:rsid w:val="00DB6AE0"/>
    <w:rsid w:val="00DC7F13"/>
    <w:rsid w:val="00DD062C"/>
    <w:rsid w:val="00DD2B75"/>
    <w:rsid w:val="00DD54DA"/>
    <w:rsid w:val="00DD5972"/>
    <w:rsid w:val="00DD5F34"/>
    <w:rsid w:val="00DE1E45"/>
    <w:rsid w:val="00DE51B9"/>
    <w:rsid w:val="00DE6684"/>
    <w:rsid w:val="00DF178B"/>
    <w:rsid w:val="00DF7822"/>
    <w:rsid w:val="00E0186A"/>
    <w:rsid w:val="00E019C0"/>
    <w:rsid w:val="00E13F12"/>
    <w:rsid w:val="00E1799C"/>
    <w:rsid w:val="00E204FB"/>
    <w:rsid w:val="00E22728"/>
    <w:rsid w:val="00E259A6"/>
    <w:rsid w:val="00E341AA"/>
    <w:rsid w:val="00E43311"/>
    <w:rsid w:val="00E44CEE"/>
    <w:rsid w:val="00E45CAD"/>
    <w:rsid w:val="00E51667"/>
    <w:rsid w:val="00E52AF4"/>
    <w:rsid w:val="00E55743"/>
    <w:rsid w:val="00E6235D"/>
    <w:rsid w:val="00E62BD7"/>
    <w:rsid w:val="00E643E5"/>
    <w:rsid w:val="00E766FD"/>
    <w:rsid w:val="00E83D2F"/>
    <w:rsid w:val="00E84980"/>
    <w:rsid w:val="00E904CA"/>
    <w:rsid w:val="00E91C18"/>
    <w:rsid w:val="00E974CD"/>
    <w:rsid w:val="00EA3DA0"/>
    <w:rsid w:val="00EA5F6C"/>
    <w:rsid w:val="00EB10D9"/>
    <w:rsid w:val="00EB19E3"/>
    <w:rsid w:val="00EB52BA"/>
    <w:rsid w:val="00EB5D56"/>
    <w:rsid w:val="00EC5A8E"/>
    <w:rsid w:val="00EC72B0"/>
    <w:rsid w:val="00ED4200"/>
    <w:rsid w:val="00ED6AAF"/>
    <w:rsid w:val="00EE6A88"/>
    <w:rsid w:val="00EF4B67"/>
    <w:rsid w:val="00F00126"/>
    <w:rsid w:val="00F00C31"/>
    <w:rsid w:val="00F04395"/>
    <w:rsid w:val="00F04BE5"/>
    <w:rsid w:val="00F05B50"/>
    <w:rsid w:val="00F2365D"/>
    <w:rsid w:val="00F24DE1"/>
    <w:rsid w:val="00F43671"/>
    <w:rsid w:val="00F46D45"/>
    <w:rsid w:val="00F53824"/>
    <w:rsid w:val="00F55BE3"/>
    <w:rsid w:val="00F61B06"/>
    <w:rsid w:val="00F64492"/>
    <w:rsid w:val="00F66EDB"/>
    <w:rsid w:val="00F730BD"/>
    <w:rsid w:val="00F84724"/>
    <w:rsid w:val="00F87868"/>
    <w:rsid w:val="00F94E72"/>
    <w:rsid w:val="00F970E1"/>
    <w:rsid w:val="00FA2C9E"/>
    <w:rsid w:val="00FA3A31"/>
    <w:rsid w:val="00FB2B2D"/>
    <w:rsid w:val="00FC04F3"/>
    <w:rsid w:val="00FC60DF"/>
    <w:rsid w:val="00FD0A91"/>
    <w:rsid w:val="00FD0C63"/>
    <w:rsid w:val="00FD0EFC"/>
    <w:rsid w:val="00FD38DF"/>
    <w:rsid w:val="00FD3D37"/>
    <w:rsid w:val="00FE12D2"/>
    <w:rsid w:val="00FE18F2"/>
    <w:rsid w:val="00FF392D"/>
    <w:rsid w:val="00FF4435"/>
    <w:rsid w:val="00FF5E2C"/>
    <w:rsid w:val="00FF650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64078"/>
  <w15:chartTrackingRefBased/>
  <w15:docId w15:val="{5C04D8D4-AF4D-4E6A-9502-6A9DE5E02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8914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8914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8914BE"/>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8914BE"/>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8914BE"/>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8914BE"/>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914BE"/>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8914BE"/>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914BE"/>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914BE"/>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8914BE"/>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8914BE"/>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8914BE"/>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8914BE"/>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8914BE"/>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8914BE"/>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8914BE"/>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8914BE"/>
    <w:rPr>
      <w:rFonts w:eastAsiaTheme="majorEastAsia" w:cstheme="majorBidi"/>
      <w:color w:val="272727" w:themeColor="text1" w:themeTint="D8"/>
    </w:rPr>
  </w:style>
  <w:style w:type="paragraph" w:styleId="Titel">
    <w:name w:val="Title"/>
    <w:basedOn w:val="Standard"/>
    <w:next w:val="Standard"/>
    <w:link w:val="TitelZchn"/>
    <w:uiPriority w:val="10"/>
    <w:qFormat/>
    <w:rsid w:val="008914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914BE"/>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914BE"/>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8914BE"/>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914BE"/>
    <w:pPr>
      <w:spacing w:before="160"/>
      <w:jc w:val="center"/>
    </w:pPr>
    <w:rPr>
      <w:i/>
      <w:iCs/>
      <w:color w:val="404040" w:themeColor="text1" w:themeTint="BF"/>
    </w:rPr>
  </w:style>
  <w:style w:type="character" w:customStyle="1" w:styleId="ZitatZchn">
    <w:name w:val="Zitat Zchn"/>
    <w:basedOn w:val="Absatz-Standardschriftart"/>
    <w:link w:val="Zitat"/>
    <w:uiPriority w:val="29"/>
    <w:rsid w:val="008914BE"/>
    <w:rPr>
      <w:i/>
      <w:iCs/>
      <w:color w:val="404040" w:themeColor="text1" w:themeTint="BF"/>
    </w:rPr>
  </w:style>
  <w:style w:type="paragraph" w:styleId="Listenabsatz">
    <w:name w:val="List Paragraph"/>
    <w:basedOn w:val="Standard"/>
    <w:uiPriority w:val="34"/>
    <w:qFormat/>
    <w:rsid w:val="008914BE"/>
    <w:pPr>
      <w:ind w:left="720"/>
      <w:contextualSpacing/>
    </w:pPr>
  </w:style>
  <w:style w:type="character" w:styleId="IntensiveHervorhebung">
    <w:name w:val="Intense Emphasis"/>
    <w:basedOn w:val="Absatz-Standardschriftart"/>
    <w:uiPriority w:val="21"/>
    <w:qFormat/>
    <w:rsid w:val="008914BE"/>
    <w:rPr>
      <w:i/>
      <w:iCs/>
      <w:color w:val="2F5496" w:themeColor="accent1" w:themeShade="BF"/>
    </w:rPr>
  </w:style>
  <w:style w:type="paragraph" w:styleId="IntensivesZitat">
    <w:name w:val="Intense Quote"/>
    <w:basedOn w:val="Standard"/>
    <w:next w:val="Standard"/>
    <w:link w:val="IntensivesZitatZchn"/>
    <w:uiPriority w:val="30"/>
    <w:qFormat/>
    <w:rsid w:val="008914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8914BE"/>
    <w:rPr>
      <w:i/>
      <w:iCs/>
      <w:color w:val="2F5496" w:themeColor="accent1" w:themeShade="BF"/>
    </w:rPr>
  </w:style>
  <w:style w:type="character" w:styleId="IntensiverVerweis">
    <w:name w:val="Intense Reference"/>
    <w:basedOn w:val="Absatz-Standardschriftart"/>
    <w:uiPriority w:val="32"/>
    <w:qFormat/>
    <w:rsid w:val="008914BE"/>
    <w:rPr>
      <w:b/>
      <w:bCs/>
      <w:smallCaps/>
      <w:color w:val="2F5496" w:themeColor="accent1" w:themeShade="BF"/>
      <w:spacing w:val="5"/>
    </w:rPr>
  </w:style>
  <w:style w:type="paragraph" w:styleId="Beschriftung">
    <w:name w:val="caption"/>
    <w:basedOn w:val="Standard"/>
    <w:next w:val="Standard"/>
    <w:uiPriority w:val="35"/>
    <w:unhideWhenUsed/>
    <w:qFormat/>
    <w:rsid w:val="009735D8"/>
    <w:pPr>
      <w:spacing w:after="200" w:line="240" w:lineRule="auto"/>
    </w:pPr>
    <w:rPr>
      <w:i/>
      <w:iCs/>
      <w:color w:val="44546A" w:themeColor="text2"/>
      <w:sz w:val="18"/>
      <w:szCs w:val="18"/>
    </w:rPr>
  </w:style>
  <w:style w:type="paragraph" w:styleId="Funotentext">
    <w:name w:val="footnote text"/>
    <w:basedOn w:val="Standard"/>
    <w:link w:val="FunotentextZchn"/>
    <w:uiPriority w:val="99"/>
    <w:unhideWhenUsed/>
    <w:rsid w:val="00550A02"/>
    <w:pPr>
      <w:spacing w:after="0" w:line="240" w:lineRule="auto"/>
    </w:pPr>
    <w:rPr>
      <w:sz w:val="20"/>
      <w:szCs w:val="20"/>
    </w:rPr>
  </w:style>
  <w:style w:type="character" w:customStyle="1" w:styleId="FunotentextZchn">
    <w:name w:val="Fußnotentext Zchn"/>
    <w:basedOn w:val="Absatz-Standardschriftart"/>
    <w:link w:val="Funotentext"/>
    <w:uiPriority w:val="99"/>
    <w:rsid w:val="00550A02"/>
    <w:rPr>
      <w:sz w:val="20"/>
      <w:szCs w:val="20"/>
    </w:rPr>
  </w:style>
  <w:style w:type="character" w:styleId="Funotenzeichen">
    <w:name w:val="footnote reference"/>
    <w:basedOn w:val="Absatz-Standardschriftart"/>
    <w:uiPriority w:val="99"/>
    <w:semiHidden/>
    <w:unhideWhenUsed/>
    <w:rsid w:val="00550A02"/>
    <w:rPr>
      <w:vertAlign w:val="superscript"/>
    </w:rPr>
  </w:style>
  <w:style w:type="character" w:styleId="Hyperlink">
    <w:name w:val="Hyperlink"/>
    <w:basedOn w:val="Absatz-Standardschriftart"/>
    <w:uiPriority w:val="99"/>
    <w:unhideWhenUsed/>
    <w:rsid w:val="00C851F6"/>
    <w:rPr>
      <w:color w:val="0563C1" w:themeColor="hyperlink"/>
      <w:u w:val="single"/>
    </w:rPr>
  </w:style>
  <w:style w:type="character" w:styleId="NichtaufgelsteErwhnung">
    <w:name w:val="Unresolved Mention"/>
    <w:basedOn w:val="Absatz-Standardschriftart"/>
    <w:uiPriority w:val="99"/>
    <w:semiHidden/>
    <w:unhideWhenUsed/>
    <w:rsid w:val="00C851F6"/>
    <w:rPr>
      <w:color w:val="605E5C"/>
      <w:shd w:val="clear" w:color="auto" w:fill="E1DFDD"/>
    </w:rPr>
  </w:style>
  <w:style w:type="paragraph" w:styleId="StandardWeb">
    <w:name w:val="Normal (Web)"/>
    <w:basedOn w:val="Standard"/>
    <w:uiPriority w:val="99"/>
    <w:unhideWhenUsed/>
    <w:rsid w:val="00422A3D"/>
    <w:pPr>
      <w:spacing w:before="100" w:beforeAutospacing="1" w:after="100" w:afterAutospacing="1" w:line="240" w:lineRule="auto"/>
    </w:pPr>
    <w:rPr>
      <w:rFonts w:ascii="Times New Roman" w:eastAsia="Times New Roman" w:hAnsi="Times New Roman" w:cs="Times New Roman"/>
      <w:kern w:val="0"/>
      <w:sz w:val="24"/>
      <w:szCs w:val="24"/>
      <w:lang w:eastAsia="de-CH"/>
      <w14:ligatures w14:val="none"/>
    </w:rPr>
  </w:style>
  <w:style w:type="paragraph" w:styleId="Kopfzeile">
    <w:name w:val="header"/>
    <w:basedOn w:val="Standard"/>
    <w:link w:val="KopfzeileZchn"/>
    <w:uiPriority w:val="99"/>
    <w:unhideWhenUsed/>
    <w:rsid w:val="0093789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37893"/>
  </w:style>
  <w:style w:type="table" w:styleId="Tabellenraster">
    <w:name w:val="Table Grid"/>
    <w:basedOn w:val="NormaleTabelle"/>
    <w:uiPriority w:val="39"/>
    <w:rsid w:val="00B36F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iPriority w:val="99"/>
    <w:unhideWhenUsed/>
    <w:rsid w:val="006101D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101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C7AA5-916E-4744-B552-DF40A91F8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4163</Words>
  <Characters>26228</Characters>
  <Application>Microsoft Office Word</Application>
  <DocSecurity>0</DocSecurity>
  <Lines>218</Lines>
  <Paragraphs>60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Hofman</dc:creator>
  <cp:keywords/>
  <dc:description/>
  <cp:lastModifiedBy>Andrea Hofman</cp:lastModifiedBy>
  <cp:revision>8</cp:revision>
  <cp:lastPrinted>2026-01-03T14:51:00Z</cp:lastPrinted>
  <dcterms:created xsi:type="dcterms:W3CDTF">2026-01-04T19:16:00Z</dcterms:created>
  <dcterms:modified xsi:type="dcterms:W3CDTF">2026-01-05T07:05:00Z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dc738e81-3e14-411d-be3c-b0c14cd18801</vt:lpwstr>
  </property>
</Properties>
</file>