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6D7D" w:rsidRPr="003E6D7D" w:rsidRDefault="003E6D7D" w:rsidP="00DA31FD">
      <w:pPr>
        <w:spacing w:line="360" w:lineRule="auto"/>
        <w:jc w:val="both"/>
        <w:rPr>
          <w:rFonts w:ascii="Arial" w:hAnsi="Arial" w:cs="Arial"/>
          <w:color w:val="000000" w:themeColor="text1"/>
        </w:rPr>
      </w:pPr>
      <w:r>
        <w:rPr>
          <w:rFonts w:ascii="Arial" w:hAnsi="Arial" w:cs="Arial"/>
          <w:b/>
        </w:rPr>
        <w:t>P</w:t>
      </w:r>
      <w:r w:rsidRPr="003E6D7D">
        <w:rPr>
          <w:rFonts w:ascii="Arial" w:hAnsi="Arial" w:cs="Arial"/>
        </w:rPr>
        <w:t>rogramme:</w:t>
      </w:r>
      <w:r w:rsidRPr="003E6D7D">
        <w:rPr>
          <w:rFonts w:ascii="Arial" w:hAnsi="Arial" w:cs="Arial"/>
        </w:rPr>
        <w:t xml:space="preserve"> </w:t>
      </w:r>
      <w:r w:rsidRPr="003E6D7D">
        <w:rPr>
          <w:rFonts w:ascii="Arial" w:hAnsi="Arial" w:cs="Arial"/>
        </w:rPr>
        <w:tab/>
      </w:r>
      <w:r w:rsidRPr="003E6D7D">
        <w:rPr>
          <w:rFonts w:ascii="Arial" w:hAnsi="Arial" w:cs="Arial"/>
        </w:rPr>
        <w:tab/>
      </w:r>
      <w:r w:rsidRPr="003E6D7D">
        <w:rPr>
          <w:rFonts w:ascii="Arial" w:hAnsi="Arial" w:cs="Arial"/>
        </w:rPr>
        <w:t>BSc Health and Social Care</w:t>
      </w:r>
      <w:bookmarkStart w:id="0" w:name="_GoBack"/>
      <w:bookmarkEnd w:id="0"/>
    </w:p>
    <w:p w:rsidR="003E6D7D" w:rsidRPr="003E6D7D" w:rsidRDefault="003E6D7D" w:rsidP="00DA31FD">
      <w:pPr>
        <w:spacing w:line="360" w:lineRule="auto"/>
        <w:jc w:val="both"/>
        <w:rPr>
          <w:rFonts w:ascii="Arial" w:hAnsi="Arial" w:cs="Arial"/>
          <w:color w:val="000000" w:themeColor="text1"/>
        </w:rPr>
      </w:pPr>
      <w:r w:rsidRPr="003E6D7D">
        <w:rPr>
          <w:rFonts w:ascii="Arial" w:hAnsi="Arial" w:cs="Arial"/>
        </w:rPr>
        <w:t>Module:</w:t>
      </w:r>
      <w:r w:rsidRPr="003E6D7D">
        <w:rPr>
          <w:rFonts w:ascii="Arial" w:hAnsi="Arial" w:cs="Arial"/>
        </w:rPr>
        <w:t xml:space="preserve"> </w:t>
      </w:r>
      <w:r w:rsidRPr="003E6D7D">
        <w:rPr>
          <w:rFonts w:ascii="Arial" w:hAnsi="Arial" w:cs="Arial"/>
        </w:rPr>
        <w:tab/>
      </w:r>
      <w:r w:rsidRPr="003E6D7D">
        <w:rPr>
          <w:rFonts w:ascii="Arial" w:hAnsi="Arial" w:cs="Arial"/>
        </w:rPr>
        <w:tab/>
      </w:r>
      <w:r w:rsidRPr="003E6D7D">
        <w:rPr>
          <w:rFonts w:ascii="Arial" w:hAnsi="Arial" w:cs="Arial"/>
        </w:rPr>
        <w:t>Introduction to Independent Research Skills</w:t>
      </w:r>
    </w:p>
    <w:p w:rsidR="003E6D7D" w:rsidRPr="003E6D7D" w:rsidRDefault="003E6D7D" w:rsidP="00DA31FD">
      <w:pPr>
        <w:spacing w:line="360" w:lineRule="auto"/>
        <w:jc w:val="both"/>
        <w:rPr>
          <w:rFonts w:ascii="Arial" w:hAnsi="Arial" w:cs="Arial"/>
          <w:color w:val="000000" w:themeColor="text1"/>
        </w:rPr>
      </w:pPr>
      <w:r w:rsidRPr="003E6D7D">
        <w:rPr>
          <w:rFonts w:ascii="Arial" w:hAnsi="Arial" w:cs="Arial"/>
        </w:rPr>
        <w:t>Module code:</w:t>
      </w:r>
      <w:r w:rsidRPr="003E6D7D">
        <w:rPr>
          <w:rFonts w:ascii="Arial" w:hAnsi="Arial" w:cs="Arial"/>
        </w:rPr>
        <w:t xml:space="preserve"> </w:t>
      </w:r>
      <w:r w:rsidRPr="003E6D7D">
        <w:rPr>
          <w:rFonts w:ascii="Arial" w:hAnsi="Arial" w:cs="Arial"/>
        </w:rPr>
        <w:tab/>
      </w:r>
      <w:r>
        <w:rPr>
          <w:rFonts w:ascii="Arial" w:hAnsi="Arial" w:cs="Arial"/>
        </w:rPr>
        <w:tab/>
      </w:r>
      <w:r w:rsidRPr="003E6D7D">
        <w:rPr>
          <w:rFonts w:ascii="Arial" w:hAnsi="Arial" w:cs="Arial"/>
        </w:rPr>
        <w:t>BMHP5019</w:t>
      </w:r>
      <w:r>
        <w:rPr>
          <w:rFonts w:ascii="Arial" w:hAnsi="Arial" w:cs="Arial"/>
        </w:rPr>
        <w:t xml:space="preserve"> C2</w:t>
      </w:r>
    </w:p>
    <w:p w:rsidR="003E6D7D" w:rsidRPr="003E6D7D" w:rsidRDefault="003E6D7D" w:rsidP="00DA31FD">
      <w:pPr>
        <w:spacing w:line="360" w:lineRule="auto"/>
        <w:jc w:val="both"/>
        <w:rPr>
          <w:rFonts w:ascii="Arial" w:hAnsi="Arial" w:cs="Arial"/>
          <w:color w:val="000000" w:themeColor="text1"/>
        </w:rPr>
      </w:pPr>
      <w:r w:rsidRPr="003E6D7D">
        <w:rPr>
          <w:rFonts w:ascii="Arial" w:hAnsi="Arial" w:cs="Arial"/>
          <w:color w:val="000000" w:themeColor="text1"/>
        </w:rPr>
        <w:t xml:space="preserve">STUDENT NAME: </w:t>
      </w:r>
      <w:r w:rsidRPr="003E6D7D">
        <w:rPr>
          <w:rFonts w:ascii="Arial" w:hAnsi="Arial" w:cs="Arial"/>
          <w:color w:val="000000" w:themeColor="text1"/>
        </w:rPr>
        <w:tab/>
        <w:t>SALMA BEGUM</w:t>
      </w:r>
    </w:p>
    <w:p w:rsidR="003E6D7D" w:rsidRPr="003E6D7D" w:rsidRDefault="003E6D7D" w:rsidP="00DA31FD">
      <w:pPr>
        <w:spacing w:line="360" w:lineRule="auto"/>
        <w:jc w:val="both"/>
        <w:rPr>
          <w:rFonts w:ascii="Arial" w:hAnsi="Arial" w:cs="Arial"/>
          <w:color w:val="000000" w:themeColor="text1"/>
        </w:rPr>
      </w:pPr>
      <w:r w:rsidRPr="003E6D7D">
        <w:rPr>
          <w:rFonts w:ascii="Arial" w:hAnsi="Arial" w:cs="Arial"/>
          <w:color w:val="000000" w:themeColor="text1"/>
        </w:rPr>
        <w:t>STUDENT ID:</w:t>
      </w:r>
      <w:r w:rsidRPr="003E6D7D">
        <w:rPr>
          <w:rFonts w:ascii="Arial" w:hAnsi="Arial" w:cs="Arial"/>
          <w:color w:val="000000" w:themeColor="text1"/>
        </w:rPr>
        <w:tab/>
      </w:r>
      <w:r w:rsidRPr="003E6D7D">
        <w:rPr>
          <w:rFonts w:ascii="Arial" w:hAnsi="Arial" w:cs="Arial"/>
          <w:color w:val="000000" w:themeColor="text1"/>
        </w:rPr>
        <w:tab/>
        <w:t>24009645</w:t>
      </w:r>
    </w:p>
    <w:p w:rsidR="003E6D7D" w:rsidRPr="003E6D7D" w:rsidRDefault="003E6D7D" w:rsidP="00DA31FD">
      <w:pPr>
        <w:spacing w:line="360" w:lineRule="auto"/>
        <w:jc w:val="both"/>
        <w:rPr>
          <w:rFonts w:ascii="Arial" w:hAnsi="Arial" w:cs="Arial"/>
          <w:color w:val="000000" w:themeColor="text1"/>
        </w:rPr>
      </w:pPr>
      <w:r w:rsidRPr="003E6D7D">
        <w:rPr>
          <w:rFonts w:ascii="Arial" w:hAnsi="Arial" w:cs="Arial"/>
          <w:color w:val="000000" w:themeColor="text1"/>
        </w:rPr>
        <w:t>LECTURER:</w:t>
      </w:r>
      <w:r w:rsidRPr="003E6D7D">
        <w:rPr>
          <w:rFonts w:ascii="Arial" w:eastAsia="Arial" w:hAnsi="Arial" w:cs="Arial"/>
          <w:bCs/>
          <w:color w:val="000000" w:themeColor="text1"/>
        </w:rPr>
        <w:t xml:space="preserve"> </w:t>
      </w:r>
      <w:r w:rsidRPr="003E6D7D">
        <w:rPr>
          <w:rFonts w:ascii="Arial" w:eastAsia="Arial" w:hAnsi="Arial" w:cs="Arial"/>
          <w:bCs/>
          <w:color w:val="000000" w:themeColor="text1"/>
        </w:rPr>
        <w:tab/>
      </w:r>
      <w:r w:rsidRPr="003E6D7D">
        <w:rPr>
          <w:rFonts w:ascii="Arial" w:eastAsia="Arial" w:hAnsi="Arial" w:cs="Arial"/>
          <w:bCs/>
          <w:color w:val="000000" w:themeColor="text1"/>
        </w:rPr>
        <w:tab/>
      </w:r>
      <w:proofErr w:type="spellStart"/>
      <w:r w:rsidRPr="003E6D7D">
        <w:rPr>
          <w:rFonts w:ascii="Arial" w:eastAsia="Arial" w:hAnsi="Arial" w:cs="Arial"/>
          <w:bCs/>
          <w:color w:val="000000" w:themeColor="text1"/>
        </w:rPr>
        <w:t>Raheela</w:t>
      </w:r>
      <w:proofErr w:type="spellEnd"/>
      <w:r w:rsidRPr="003E6D7D">
        <w:rPr>
          <w:rFonts w:ascii="Arial" w:eastAsia="Arial" w:hAnsi="Arial" w:cs="Arial"/>
          <w:bCs/>
          <w:color w:val="000000" w:themeColor="text1"/>
        </w:rPr>
        <w:t xml:space="preserve"> </w:t>
      </w:r>
      <w:proofErr w:type="spellStart"/>
      <w:r w:rsidRPr="003E6D7D">
        <w:rPr>
          <w:rFonts w:ascii="Arial" w:eastAsia="Arial" w:hAnsi="Arial" w:cs="Arial"/>
          <w:bCs/>
          <w:color w:val="000000" w:themeColor="text1"/>
        </w:rPr>
        <w:t>Shaikh</w:t>
      </w:r>
      <w:proofErr w:type="spellEnd"/>
    </w:p>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pict>
          <v:rect id="_x0000_i1025" style="width:0;height:1.5pt" o:hralign="center" o:hrstd="t" o:hr="t" fillcolor="#a0a0a0" stroked="f"/>
        </w:pict>
      </w:r>
    </w:p>
    <w:tbl>
      <w:tblPr>
        <w:tblW w:w="878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782"/>
        <w:gridCol w:w="1998"/>
      </w:tblGrid>
      <w:tr w:rsidR="00231253" w:rsidRPr="00231253" w:rsidTr="00231253">
        <w:trPr>
          <w:trHeight w:val="289"/>
          <w:tblHeader/>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b/>
                <w:bCs/>
                <w:sz w:val="24"/>
                <w:szCs w:val="24"/>
                <w:lang w:eastAsia="en-GB"/>
              </w:rPr>
            </w:pPr>
            <w:r w:rsidRPr="00231253">
              <w:rPr>
                <w:rFonts w:ascii="Times New Roman" w:eastAsia="Times New Roman" w:hAnsi="Times New Roman" w:cs="Times New Roman"/>
                <w:b/>
                <w:bCs/>
                <w:sz w:val="24"/>
                <w:szCs w:val="24"/>
                <w:lang w:eastAsia="en-GB"/>
              </w:rPr>
              <w:t>Table of Contents</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b/>
                <w:bCs/>
                <w:sz w:val="24"/>
                <w:szCs w:val="24"/>
                <w:lang w:eastAsia="en-GB"/>
              </w:rPr>
            </w:pPr>
            <w:r w:rsidRPr="00231253">
              <w:rPr>
                <w:rFonts w:ascii="Times New Roman" w:eastAsia="Times New Roman" w:hAnsi="Times New Roman" w:cs="Times New Roman"/>
                <w:b/>
                <w:bCs/>
                <w:sz w:val="24"/>
                <w:szCs w:val="24"/>
                <w:lang w:eastAsia="en-GB"/>
              </w:rPr>
              <w:t>Page</w:t>
            </w:r>
          </w:p>
        </w:tc>
      </w:tr>
      <w:tr w:rsidR="00231253" w:rsidRPr="00231253" w:rsidTr="00231253">
        <w:trPr>
          <w:trHeight w:val="289"/>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Title</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1</w:t>
            </w:r>
          </w:p>
        </w:tc>
      </w:tr>
      <w:tr w:rsidR="00231253" w:rsidRPr="00231253" w:rsidTr="00231253">
        <w:trPr>
          <w:trHeight w:val="289"/>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Introduction</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2</w:t>
            </w:r>
          </w:p>
        </w:tc>
      </w:tr>
      <w:tr w:rsidR="00231253" w:rsidRPr="00231253" w:rsidTr="00231253">
        <w:trPr>
          <w:trHeight w:val="289"/>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Background</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3</w:t>
            </w:r>
          </w:p>
        </w:tc>
      </w:tr>
      <w:tr w:rsidR="00231253" w:rsidRPr="00231253" w:rsidTr="00231253">
        <w:trPr>
          <w:trHeight w:val="289"/>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Methods</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6</w:t>
            </w:r>
          </w:p>
        </w:tc>
      </w:tr>
      <w:tr w:rsidR="00231253" w:rsidRPr="00231253" w:rsidTr="00231253">
        <w:trPr>
          <w:trHeight w:val="289"/>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Results</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8</w:t>
            </w:r>
          </w:p>
        </w:tc>
      </w:tr>
      <w:tr w:rsidR="00231253" w:rsidRPr="00231253" w:rsidTr="00231253">
        <w:trPr>
          <w:trHeight w:val="289"/>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Discussion</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10</w:t>
            </w:r>
          </w:p>
        </w:tc>
      </w:tr>
      <w:tr w:rsidR="00231253" w:rsidRPr="00231253" w:rsidTr="00231253">
        <w:trPr>
          <w:trHeight w:val="289"/>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Conclusion</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13</w:t>
            </w:r>
          </w:p>
        </w:tc>
      </w:tr>
      <w:tr w:rsidR="00231253" w:rsidRPr="00231253" w:rsidTr="00231253">
        <w:trPr>
          <w:trHeight w:val="289"/>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Recommendations</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14</w:t>
            </w:r>
          </w:p>
        </w:tc>
      </w:tr>
      <w:tr w:rsidR="00231253" w:rsidRPr="00231253" w:rsidTr="00231253">
        <w:trPr>
          <w:trHeight w:val="301"/>
          <w:tblCellSpacing w:w="15" w:type="dxa"/>
        </w:trPr>
        <w:tc>
          <w:tcPr>
            <w:tcW w:w="0" w:type="auto"/>
            <w:vAlign w:val="center"/>
            <w:hideMark/>
          </w:tcPr>
          <w:p w:rsidR="00231253" w:rsidRPr="00231253" w:rsidRDefault="00231253" w:rsidP="00231253">
            <w:pPr>
              <w:spacing w:after="0" w:line="240" w:lineRule="auto"/>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Reference List</w:t>
            </w:r>
          </w:p>
        </w:tc>
        <w:tc>
          <w:tcPr>
            <w:tcW w:w="0" w:type="auto"/>
            <w:vAlign w:val="center"/>
            <w:hideMark/>
          </w:tcPr>
          <w:p w:rsidR="00231253" w:rsidRPr="00231253" w:rsidRDefault="00231253" w:rsidP="00231253">
            <w:pPr>
              <w:spacing w:after="0" w:line="240" w:lineRule="auto"/>
              <w:jc w:val="center"/>
              <w:rPr>
                <w:rFonts w:ascii="Times New Roman" w:eastAsia="Times New Roman" w:hAnsi="Times New Roman" w:cs="Times New Roman"/>
                <w:sz w:val="24"/>
                <w:szCs w:val="24"/>
                <w:lang w:eastAsia="en-GB"/>
              </w:rPr>
            </w:pPr>
            <w:r w:rsidRPr="00231253">
              <w:rPr>
                <w:rFonts w:ascii="Times New Roman" w:eastAsia="Times New Roman" w:hAnsi="Times New Roman" w:cs="Times New Roman"/>
                <w:sz w:val="24"/>
                <w:szCs w:val="24"/>
                <w:lang w:eastAsia="en-GB"/>
              </w:rPr>
              <w:t>15</w:t>
            </w:r>
          </w:p>
        </w:tc>
      </w:tr>
    </w:tbl>
    <w:p w:rsidR="00231253" w:rsidRDefault="00231253" w:rsidP="00DA31FD">
      <w:pPr>
        <w:pStyle w:val="Heading1"/>
        <w:spacing w:line="360" w:lineRule="auto"/>
        <w:jc w:val="both"/>
        <w:rPr>
          <w:rFonts w:ascii="Arial" w:hAnsi="Arial" w:cs="Arial"/>
          <w:color w:val="000000" w:themeColor="text1"/>
          <w:sz w:val="22"/>
          <w:szCs w:val="22"/>
        </w:rPr>
      </w:pPr>
      <w:r w:rsidRPr="003E6D7D">
        <w:rPr>
          <w:rFonts w:ascii="Arial" w:hAnsi="Arial" w:cs="Arial"/>
          <w:b w:val="0"/>
          <w:color w:val="000000" w:themeColor="text1"/>
          <w:sz w:val="22"/>
          <w:szCs w:val="22"/>
        </w:rPr>
        <w:pict>
          <v:rect id="_x0000_i1033" style="width:0;height:1.5pt" o:hralign="center" o:hrstd="t" o:hr="t" fillcolor="#a0a0a0" stroked="f"/>
        </w:pict>
      </w:r>
    </w:p>
    <w:p w:rsidR="00DA31FD" w:rsidRPr="003E6D7D" w:rsidRDefault="00231253" w:rsidP="00DA31FD">
      <w:pPr>
        <w:pStyle w:val="Heading1"/>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TITLE: </w:t>
      </w:r>
      <w:r w:rsidR="00DA31FD" w:rsidRPr="003E6D7D">
        <w:rPr>
          <w:rFonts w:ascii="Arial" w:hAnsi="Arial" w:cs="Arial"/>
          <w:color w:val="000000" w:themeColor="text1"/>
          <w:sz w:val="22"/>
          <w:szCs w:val="22"/>
        </w:rPr>
        <w:t xml:space="preserve">A Scoping Review of the Effectiveness of Digital Health Interventions in Improving Self-Management </w:t>
      </w:r>
      <w:proofErr w:type="gramStart"/>
      <w:r w:rsidR="00DA31FD" w:rsidRPr="003E6D7D">
        <w:rPr>
          <w:rFonts w:ascii="Arial" w:hAnsi="Arial" w:cs="Arial"/>
          <w:color w:val="000000" w:themeColor="text1"/>
          <w:sz w:val="22"/>
          <w:szCs w:val="22"/>
        </w:rPr>
        <w:t>Among</w:t>
      </w:r>
      <w:proofErr w:type="gramEnd"/>
      <w:r w:rsidR="00DA31FD" w:rsidRPr="003E6D7D">
        <w:rPr>
          <w:rFonts w:ascii="Arial" w:hAnsi="Arial" w:cs="Arial"/>
          <w:color w:val="000000" w:themeColor="text1"/>
          <w:sz w:val="22"/>
          <w:szCs w:val="22"/>
        </w:rPr>
        <w:t xml:space="preserve"> Adults with Type 2 Diabetes in the United Kingdom</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Introduction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Diabetes mellitus is one of the most significant long-term health conditions worldwide and remains a major public health concern. It is characterised by elevated blood glucose levels resulting from inadequate insulin production, impaired insulin action or both. Type 2 diabetes mellitus (T2DM) accounts for approximately 90–95% of all diabetes cases and is strongly associated with obesity, physical inactivity, unhealthy diets, increasing age and genetic predisposition (International Diabetes Federation, 2025).</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lastRenderedPageBreak/>
        <w:t xml:space="preserve">The prevalence of T2DM continues to rise in the United Kingdom (UK), placing increasing pressure on the National Health Service (NHS) and wider health and social care services. Diabetes is associated with severe complications including cardiovascular disease, chronic kidney disease, diabetic retinopathy, </w:t>
      </w:r>
      <w:proofErr w:type="gramStart"/>
      <w:r w:rsidRPr="003E6D7D">
        <w:rPr>
          <w:rFonts w:ascii="Arial" w:hAnsi="Arial" w:cs="Arial"/>
          <w:color w:val="000000" w:themeColor="text1"/>
          <w:sz w:val="22"/>
          <w:szCs w:val="22"/>
        </w:rPr>
        <w:t>neuropathy</w:t>
      </w:r>
      <w:proofErr w:type="gramEnd"/>
      <w:r w:rsidRPr="003E6D7D">
        <w:rPr>
          <w:rFonts w:ascii="Arial" w:hAnsi="Arial" w:cs="Arial"/>
          <w:color w:val="000000" w:themeColor="text1"/>
          <w:sz w:val="22"/>
          <w:szCs w:val="22"/>
        </w:rPr>
        <w:t xml:space="preserve"> and lower-limb amputation. These complications reduce quality of life, increase premature mortality and contribute substantially to healthcare costs. Consequently, improving diabetes management is a key priority within UK healthcare.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Successful management of T2DM relies heavily on effective self-management. Individuals are expected to monitor blood glucose levels, adhere to prescribed medication, maintain a healthy diet, engage in regular physical activity and attend routine healthcare reviews. Maintaining these behaviours over many years is challenging, creating opportunities for digital technologies to support individuals in managing their condition more effectively.</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Digital health encompasses the use of technologies such as </w:t>
      </w:r>
      <w:proofErr w:type="spellStart"/>
      <w:r w:rsidRPr="003E6D7D">
        <w:rPr>
          <w:rFonts w:ascii="Arial" w:hAnsi="Arial" w:cs="Arial"/>
          <w:color w:val="000000" w:themeColor="text1"/>
          <w:sz w:val="22"/>
          <w:szCs w:val="22"/>
        </w:rPr>
        <w:t>telehealth</w:t>
      </w:r>
      <w:proofErr w:type="spellEnd"/>
      <w:r w:rsidRPr="003E6D7D">
        <w:rPr>
          <w:rFonts w:ascii="Arial" w:hAnsi="Arial" w:cs="Arial"/>
          <w:color w:val="000000" w:themeColor="text1"/>
          <w:sz w:val="22"/>
          <w:szCs w:val="22"/>
        </w:rPr>
        <w:t>, mobile applications, remote monitoring systems, wearable devices and online education platforms to improve healthcare delivery and patient outcomes. Within diabetes care, these technologies facilitate communication between patients and healthcare professionals, encourage healthy lifestyle behaviours and support early intervention when glycaemic control deteriorates. Increasing investment in digital healthcare by the NHS reflects the growing importance of technology in managing long-term conditions.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Although digital health interventions have become more common, uncertainty remains regarding their effectiveness. While some studies report improvements in glycaemic control, self-management and patient satisfaction, others identify barriers including digital literacy, unequal access to technology and declining long-term engagement. This variation highlights the need to review the available evidence.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A scoping review was selected because it enables the systematic mapping and synthesis of evidence from a broad range of studies. Unlike primary research, a scoping review identifies current knowledge, highlights gaps in the literature and provides recommendations for future research and clinical practice.</w:t>
      </w:r>
    </w:p>
    <w:p w:rsidR="00DA31FD" w:rsidRPr="003E6D7D" w:rsidRDefault="00DA31FD" w:rsidP="00DA31FD">
      <w:pPr>
        <w:pStyle w:val="Heading3"/>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Rationale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The increasing prevalence of T2DM and the rapid expansion of digital healthcare within NHS services provide the rationale for this review. Healthcare professionals require robust evidence to determine whether digital interventions improve patient outcomes and represent </w:t>
      </w:r>
      <w:r w:rsidRPr="003E6D7D">
        <w:rPr>
          <w:rFonts w:ascii="Arial" w:hAnsi="Arial" w:cs="Arial"/>
          <w:color w:val="000000" w:themeColor="text1"/>
          <w:sz w:val="22"/>
          <w:szCs w:val="22"/>
        </w:rPr>
        <w:lastRenderedPageBreak/>
        <w:t>an effective use of healthcare resources. Understanding their effectiveness will help inform future policy, service development and person-centred diabetes care.</w:t>
      </w:r>
    </w:p>
    <w:p w:rsidR="00DA31FD" w:rsidRPr="003E6D7D" w:rsidRDefault="00DA31FD" w:rsidP="00DA31FD">
      <w:pPr>
        <w:pStyle w:val="Heading3"/>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Review Question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Style w:val="Strong"/>
          <w:rFonts w:ascii="Arial" w:hAnsi="Arial" w:cs="Arial"/>
          <w:b w:val="0"/>
          <w:color w:val="000000" w:themeColor="text1"/>
          <w:sz w:val="22"/>
          <w:szCs w:val="22"/>
        </w:rPr>
        <w:t>How effective are digital health interventions in improving self-management and glycaemic control among adults with Type 2 diabetes in the United Kingdom?</w:t>
      </w:r>
    </w:p>
    <w:p w:rsidR="00DA31FD" w:rsidRPr="003E6D7D" w:rsidRDefault="00DA31FD" w:rsidP="00DA31FD">
      <w:pPr>
        <w:pStyle w:val="Heading3"/>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Review Objectives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This review aims to:</w:t>
      </w:r>
    </w:p>
    <w:p w:rsidR="00DA31FD" w:rsidRPr="003E6D7D" w:rsidRDefault="00DA31FD" w:rsidP="00DA31FD">
      <w:pPr>
        <w:pStyle w:val="NormalWeb"/>
        <w:numPr>
          <w:ilvl w:val="0"/>
          <w:numId w:val="13"/>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identify peer-reviewed evidence evaluating digital health interventions for adults with T2DM;</w:t>
      </w:r>
    </w:p>
    <w:p w:rsidR="00DA31FD" w:rsidRPr="003E6D7D" w:rsidRDefault="00DA31FD" w:rsidP="00DA31FD">
      <w:pPr>
        <w:pStyle w:val="NormalWeb"/>
        <w:numPr>
          <w:ilvl w:val="0"/>
          <w:numId w:val="13"/>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examine their effectiveness in improving glycaemic control and self-management;</w:t>
      </w:r>
    </w:p>
    <w:p w:rsidR="00DA31FD" w:rsidRPr="003E6D7D" w:rsidRDefault="00DA31FD" w:rsidP="00DA31FD">
      <w:pPr>
        <w:pStyle w:val="NormalWeb"/>
        <w:numPr>
          <w:ilvl w:val="0"/>
          <w:numId w:val="13"/>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identify barriers and facilitators affecting implementation;</w:t>
      </w:r>
    </w:p>
    <w:p w:rsidR="00DA31FD" w:rsidRPr="003E6D7D" w:rsidRDefault="00DA31FD" w:rsidP="00DA31FD">
      <w:pPr>
        <w:pStyle w:val="NormalWeb"/>
        <w:numPr>
          <w:ilvl w:val="0"/>
          <w:numId w:val="13"/>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evaluate implications for UK health and social care practice; and</w:t>
      </w:r>
    </w:p>
    <w:p w:rsidR="00DA31FD" w:rsidRPr="003E6D7D" w:rsidRDefault="00DA31FD" w:rsidP="00DA31FD">
      <w:pPr>
        <w:pStyle w:val="NormalWeb"/>
        <w:numPr>
          <w:ilvl w:val="0"/>
          <w:numId w:val="13"/>
        </w:numPr>
        <w:spacing w:line="360" w:lineRule="auto"/>
        <w:jc w:val="both"/>
        <w:rPr>
          <w:rFonts w:ascii="Arial" w:hAnsi="Arial" w:cs="Arial"/>
          <w:color w:val="000000" w:themeColor="text1"/>
          <w:sz w:val="22"/>
          <w:szCs w:val="22"/>
        </w:rPr>
      </w:pPr>
      <w:proofErr w:type="gramStart"/>
      <w:r w:rsidRPr="003E6D7D">
        <w:rPr>
          <w:rFonts w:ascii="Arial" w:hAnsi="Arial" w:cs="Arial"/>
          <w:color w:val="000000" w:themeColor="text1"/>
          <w:sz w:val="22"/>
          <w:szCs w:val="22"/>
        </w:rPr>
        <w:t>identify</w:t>
      </w:r>
      <w:proofErr w:type="gramEnd"/>
      <w:r w:rsidRPr="003E6D7D">
        <w:rPr>
          <w:rFonts w:ascii="Arial" w:hAnsi="Arial" w:cs="Arial"/>
          <w:color w:val="000000" w:themeColor="text1"/>
          <w:sz w:val="22"/>
          <w:szCs w:val="22"/>
        </w:rPr>
        <w:t xml:space="preserve"> gaps requiring further research.</w:t>
      </w:r>
    </w:p>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pict>
          <v:rect id="_x0000_i1026" style="width:0;height:1.5pt" o:hralign="center" o:hrstd="t" o:hr="t" fillcolor="#a0a0a0" stroked="f"/>
        </w:pict>
      </w:r>
    </w:p>
    <w:p w:rsidR="00DA31FD" w:rsidRPr="003E6D7D" w:rsidRDefault="00DA31FD" w:rsidP="00DA31FD">
      <w:pPr>
        <w:pStyle w:val="Heading1"/>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Background</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Type 2 Diabetes in the United Kingdom</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Type </w:t>
      </w:r>
      <w:proofErr w:type="gramStart"/>
      <w:r w:rsidRPr="003E6D7D">
        <w:rPr>
          <w:rFonts w:ascii="Arial" w:hAnsi="Arial" w:cs="Arial"/>
          <w:color w:val="000000" w:themeColor="text1"/>
          <w:sz w:val="22"/>
          <w:szCs w:val="22"/>
        </w:rPr>
        <w:t>2 diabetes</w:t>
      </w:r>
      <w:proofErr w:type="gramEnd"/>
      <w:r w:rsidRPr="003E6D7D">
        <w:rPr>
          <w:rFonts w:ascii="Arial" w:hAnsi="Arial" w:cs="Arial"/>
          <w:color w:val="000000" w:themeColor="text1"/>
          <w:sz w:val="22"/>
          <w:szCs w:val="22"/>
        </w:rPr>
        <w:t xml:space="preserve"> is one of the most common chronic diseases affecting adults in the UK. Diabetes UK (2024) estimates that over 5.8 million people are living with diabetes or are at high risk of developing the condition, with approximately 90% of diagnosed cases being Type 2 diabetes. Rising obesity levels, ageing populations, sedentary lifestyles and socioeconomic inequalities continue to increase disease prevalence, placing significant pressure on NHS services.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Poor glycaemic control is associated with cardiovascular disease, stroke, chronic kidney disease, retinopathy, neuropathy and diabetic foot complications. These conditions increase hospital admissions, disability and premature mortality while generating substantial healthcare expenditure. Consequently, preventing complications through effective long-term management remains a national healthcare priority.</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lastRenderedPageBreak/>
        <w:t>Health and Social Care Practice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Management of T2DM within the UK is based on a multidisciplinary team (MDT) approach involving general practitioners, diabetes specialist nurses, </w:t>
      </w:r>
      <w:proofErr w:type="spellStart"/>
      <w:r w:rsidRPr="003E6D7D">
        <w:rPr>
          <w:rFonts w:ascii="Arial" w:hAnsi="Arial" w:cs="Arial"/>
          <w:color w:val="000000" w:themeColor="text1"/>
          <w:sz w:val="22"/>
          <w:szCs w:val="22"/>
        </w:rPr>
        <w:t>dietitians</w:t>
      </w:r>
      <w:proofErr w:type="spellEnd"/>
      <w:r w:rsidRPr="003E6D7D">
        <w:rPr>
          <w:rFonts w:ascii="Arial" w:hAnsi="Arial" w:cs="Arial"/>
          <w:color w:val="000000" w:themeColor="text1"/>
          <w:sz w:val="22"/>
          <w:szCs w:val="22"/>
        </w:rPr>
        <w:t xml:space="preserve">, pharmacists, podiatrists and ophthalmologists. This collaborative model ensures that patients receive comprehensive clinical care, structured education and </w:t>
      </w:r>
      <w:proofErr w:type="spellStart"/>
      <w:r w:rsidRPr="003E6D7D">
        <w:rPr>
          <w:rFonts w:ascii="Arial" w:hAnsi="Arial" w:cs="Arial"/>
          <w:color w:val="000000" w:themeColor="text1"/>
          <w:sz w:val="22"/>
          <w:szCs w:val="22"/>
        </w:rPr>
        <w:t>ongoing</w:t>
      </w:r>
      <w:proofErr w:type="spellEnd"/>
      <w:r w:rsidRPr="003E6D7D">
        <w:rPr>
          <w:rFonts w:ascii="Arial" w:hAnsi="Arial" w:cs="Arial"/>
          <w:color w:val="000000" w:themeColor="text1"/>
          <w:sz w:val="22"/>
          <w:szCs w:val="22"/>
        </w:rPr>
        <w:t xml:space="preserve"> support for lifestyle modification.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General practitioners diagnose and monitor diabetes, prescribe medication and coordinate </w:t>
      </w:r>
      <w:proofErr w:type="spellStart"/>
      <w:r w:rsidRPr="003E6D7D">
        <w:rPr>
          <w:rFonts w:ascii="Arial" w:hAnsi="Arial" w:cs="Arial"/>
          <w:color w:val="000000" w:themeColor="text1"/>
          <w:sz w:val="22"/>
          <w:szCs w:val="22"/>
        </w:rPr>
        <w:t>ongoing</w:t>
      </w:r>
      <w:proofErr w:type="spellEnd"/>
      <w:r w:rsidRPr="003E6D7D">
        <w:rPr>
          <w:rFonts w:ascii="Arial" w:hAnsi="Arial" w:cs="Arial"/>
          <w:color w:val="000000" w:themeColor="text1"/>
          <w:sz w:val="22"/>
          <w:szCs w:val="22"/>
        </w:rPr>
        <w:t xml:space="preserve"> care. Diabetes specialist nurses provide education, medication advice and self-management </w:t>
      </w:r>
      <w:proofErr w:type="gramStart"/>
      <w:r w:rsidRPr="003E6D7D">
        <w:rPr>
          <w:rFonts w:ascii="Arial" w:hAnsi="Arial" w:cs="Arial"/>
          <w:color w:val="000000" w:themeColor="text1"/>
          <w:sz w:val="22"/>
          <w:szCs w:val="22"/>
        </w:rPr>
        <w:t>support,</w:t>
      </w:r>
      <w:proofErr w:type="gramEnd"/>
      <w:r w:rsidRPr="003E6D7D">
        <w:rPr>
          <w:rFonts w:ascii="Arial" w:hAnsi="Arial" w:cs="Arial"/>
          <w:color w:val="000000" w:themeColor="text1"/>
          <w:sz w:val="22"/>
          <w:szCs w:val="22"/>
        </w:rPr>
        <w:t xml:space="preserve"> while </w:t>
      </w:r>
      <w:proofErr w:type="spellStart"/>
      <w:r w:rsidRPr="003E6D7D">
        <w:rPr>
          <w:rFonts w:ascii="Arial" w:hAnsi="Arial" w:cs="Arial"/>
          <w:color w:val="000000" w:themeColor="text1"/>
          <w:sz w:val="22"/>
          <w:szCs w:val="22"/>
        </w:rPr>
        <w:t>dietitians</w:t>
      </w:r>
      <w:proofErr w:type="spellEnd"/>
      <w:r w:rsidRPr="003E6D7D">
        <w:rPr>
          <w:rFonts w:ascii="Arial" w:hAnsi="Arial" w:cs="Arial"/>
          <w:color w:val="000000" w:themeColor="text1"/>
          <w:sz w:val="22"/>
          <w:szCs w:val="22"/>
        </w:rPr>
        <w:t xml:space="preserve"> help individuals adopt healthier dietary habits and manage weight. Pharmacists promote medication adherence, podiatrists reduce the risk of diabetic foot complications and ophthalmology services monitor diabetic retinopathy through routine retinal screening.</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This multidisciplinary approach reflects the principles of person-centred care by encouraging shared decision-making and empowering individuals to manage their condition more effectively.</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National Policy</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National guidance strongly supports effective diabetes management and increasing use of digital healthcare. The National Institute for Health and Care Excellence (NICE) recommends regular monitoring of HbA1c, blood pressure and cholesterol, combined with structured education, personalised care planning and lifestyle interventions. NICE also emphasises supporting individuals to become active partners in managing their condition.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Similarly, the NHS Long Term Plan promotes earlier diagnosis, improved management of long-term conditions and wider adoption of digital technologies, including remote consultations and technology-enabled care. The NHS Diabetes Prevention Programme has further expanded access through digital delivery, improving availability for individuals unable to attend face-to-face programmes.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Together, these policies demonstrate the NHS commitment to integrating digital technologies into routine diabetes care while promoting equitable access and improved health outcomes.</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lastRenderedPageBreak/>
        <w:t>Digital Health and Diabetes Management</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Digital health has transformed diabetes care by enabling remote monitoring, online education, wearable technology and mobile applications to support self-management. These technologies allow patients to record blood glucose readings, monitor diet and physical activity, receive medication reminders and communicate with healthcare professionals more efficiently.</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Remote monitoring also enables clinicians to detect deteriorating glycaemic control earlier, facilitating timely intervention and reducing the likelihood of diabetes-related complications. During the COVID-19 pandemic, digital healthcare became essential in maintaining continuity of care when face-to-face appointments were limited. Many of these innovations have since become embedded within routine NHS practice because they improve accessibility, flexibility and service efficiency.</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Despite these advantages, challenges remain. Digital exclusion, limited digital literacy and unequal access to internet-enabled devices may reduce the effectiveness of digital interventions for some patient groups. Therefore, healthcare providers must ensure that digital healthcare complements rather than replaces traditional face-to-face services.</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Ethical and Legal Considerations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Digital healthcare must comply with UK legislation governing patient confidentiality and information governance. The Data Protection Act 2018 and the UK General Data Protection Regulation (UK GDPR) require healthcare organisations to process personal health information securely and lawfully. Patients must be informed about how their information is collected, stored and used before participating in digital health services.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Healthcare professionals also have ethical responsibilities to uphold autonomy, confidentiality, beneficence and non-maleficence. Digital interventions should therefore be implemented in ways that protect patient privacy while ensuring equitable access to healthcare regardless of age, socioeconomic status or digital capability.</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Background Summary</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The growing prevalence of T2DM and increasing NHS investment in digital healthcare have created opportunities to improve long-term disease management. National policy supports the integration of digital technologies into routine care, yet questions remain regarding their effectiveness and accessibility. The following Methods section outlines the approach used to </w:t>
      </w:r>
      <w:r w:rsidRPr="003E6D7D">
        <w:rPr>
          <w:rFonts w:ascii="Arial" w:hAnsi="Arial" w:cs="Arial"/>
          <w:color w:val="000000" w:themeColor="text1"/>
          <w:sz w:val="22"/>
          <w:szCs w:val="22"/>
        </w:rPr>
        <w:lastRenderedPageBreak/>
        <w:t>identify and synthesise current evidence on digital health interventions for adults with Type 2 diabetes in the UK.</w:t>
      </w:r>
    </w:p>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pict>
          <v:rect id="_x0000_i1027" style="width:0;height:1.5pt" o:hralign="center" o:hrstd="t" o:hr="t" fillcolor="#a0a0a0" stroked="f"/>
        </w:pict>
      </w:r>
    </w:p>
    <w:p w:rsidR="00DA31FD" w:rsidRPr="003E6D7D" w:rsidRDefault="00DA31FD" w:rsidP="00DA31FD">
      <w:pPr>
        <w:pStyle w:val="Heading1"/>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Methods</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Research Design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This study used a scoping review methodology to identify, map and synthesise published evidence on digital health interventions for adults with Type 2 diabetes in the United Kingdom. A scoping review was selected because it allows a broad examination of existing literature, identifies key concepts and evidence gaps, and accommodates a range of study designs. Unlike a systematic review, which focuses on a narrowly defined clinical question, a scoping review provides an overview of the available evidence relating to a topic.</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The review followed the framework developed by </w:t>
      </w:r>
      <w:proofErr w:type="spellStart"/>
      <w:r w:rsidRPr="003E6D7D">
        <w:rPr>
          <w:rFonts w:ascii="Arial" w:hAnsi="Arial" w:cs="Arial"/>
          <w:color w:val="000000" w:themeColor="text1"/>
          <w:sz w:val="22"/>
          <w:szCs w:val="22"/>
        </w:rPr>
        <w:t>Arksey</w:t>
      </w:r>
      <w:proofErr w:type="spellEnd"/>
      <w:r w:rsidRPr="003E6D7D">
        <w:rPr>
          <w:rFonts w:ascii="Arial" w:hAnsi="Arial" w:cs="Arial"/>
          <w:color w:val="000000" w:themeColor="text1"/>
          <w:sz w:val="22"/>
          <w:szCs w:val="22"/>
        </w:rPr>
        <w:t xml:space="preserve"> and O'Malley (2005), alongside guidance from the Joanna Briggs Institute (JBI) Manual for Evidence Synthesis and the PRISMA Extension for Scoping Reviews (PRISMA-</w:t>
      </w:r>
      <w:proofErr w:type="spellStart"/>
      <w:r w:rsidRPr="003E6D7D">
        <w:rPr>
          <w:rFonts w:ascii="Arial" w:hAnsi="Arial" w:cs="Arial"/>
          <w:color w:val="000000" w:themeColor="text1"/>
          <w:sz w:val="22"/>
          <w:szCs w:val="22"/>
        </w:rPr>
        <w:t>ScR</w:t>
      </w:r>
      <w:proofErr w:type="spellEnd"/>
      <w:r w:rsidRPr="003E6D7D">
        <w:rPr>
          <w:rFonts w:ascii="Arial" w:hAnsi="Arial" w:cs="Arial"/>
          <w:color w:val="000000" w:themeColor="text1"/>
          <w:sz w:val="22"/>
          <w:szCs w:val="22"/>
        </w:rPr>
        <w:t>), ensuring a transparent and systematic approach to identifying and reporting evidence.</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Search Strategy</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A structured literature search was conducted using four electronic databases:</w:t>
      </w:r>
    </w:p>
    <w:p w:rsidR="00DA31FD" w:rsidRPr="003E6D7D" w:rsidRDefault="00DA31FD" w:rsidP="00DA31FD">
      <w:pPr>
        <w:pStyle w:val="NormalWeb"/>
        <w:numPr>
          <w:ilvl w:val="0"/>
          <w:numId w:val="14"/>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PubMed</w:t>
      </w:r>
    </w:p>
    <w:p w:rsidR="00DA31FD" w:rsidRPr="003E6D7D" w:rsidRDefault="00DA31FD" w:rsidP="00DA31FD">
      <w:pPr>
        <w:pStyle w:val="NormalWeb"/>
        <w:numPr>
          <w:ilvl w:val="0"/>
          <w:numId w:val="14"/>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CINAHL (</w:t>
      </w:r>
      <w:proofErr w:type="spellStart"/>
      <w:r w:rsidRPr="003E6D7D">
        <w:rPr>
          <w:rFonts w:ascii="Arial" w:hAnsi="Arial" w:cs="Arial"/>
          <w:color w:val="000000" w:themeColor="text1"/>
          <w:sz w:val="22"/>
          <w:szCs w:val="22"/>
        </w:rPr>
        <w:t>EBSCOhost</w:t>
      </w:r>
      <w:proofErr w:type="spellEnd"/>
      <w:r w:rsidRPr="003E6D7D">
        <w:rPr>
          <w:rFonts w:ascii="Arial" w:hAnsi="Arial" w:cs="Arial"/>
          <w:color w:val="000000" w:themeColor="text1"/>
          <w:sz w:val="22"/>
          <w:szCs w:val="22"/>
        </w:rPr>
        <w:t>)</w:t>
      </w:r>
    </w:p>
    <w:p w:rsidR="00DA31FD" w:rsidRPr="003E6D7D" w:rsidRDefault="00DA31FD" w:rsidP="00DA31FD">
      <w:pPr>
        <w:pStyle w:val="NormalWeb"/>
        <w:numPr>
          <w:ilvl w:val="0"/>
          <w:numId w:val="14"/>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SAGE Journals</w:t>
      </w:r>
    </w:p>
    <w:p w:rsidR="00DA31FD" w:rsidRPr="003E6D7D" w:rsidRDefault="00DA31FD" w:rsidP="00DA31FD">
      <w:pPr>
        <w:pStyle w:val="NormalWeb"/>
        <w:numPr>
          <w:ilvl w:val="0"/>
          <w:numId w:val="14"/>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University of Wales Trinity Saint David Library</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These databases were selected because they contain high-quality literature relating to nursing, public health, digital health and diabetes care.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Keywords were combined using Boolean operators (AND/OR). Search terms included:</w:t>
      </w:r>
    </w:p>
    <w:p w:rsidR="00DA31FD" w:rsidRPr="003E6D7D" w:rsidRDefault="00DA31FD" w:rsidP="00DA31FD">
      <w:pPr>
        <w:pStyle w:val="NormalWeb"/>
        <w:numPr>
          <w:ilvl w:val="0"/>
          <w:numId w:val="15"/>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"Type 2 diabetes"</w:t>
      </w:r>
    </w:p>
    <w:p w:rsidR="00DA31FD" w:rsidRPr="003E6D7D" w:rsidRDefault="00DA31FD" w:rsidP="00DA31FD">
      <w:pPr>
        <w:pStyle w:val="NormalWeb"/>
        <w:numPr>
          <w:ilvl w:val="0"/>
          <w:numId w:val="15"/>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"digital health"</w:t>
      </w:r>
    </w:p>
    <w:p w:rsidR="00DA31FD" w:rsidRPr="003E6D7D" w:rsidRDefault="00DA31FD" w:rsidP="00DA31FD">
      <w:pPr>
        <w:pStyle w:val="NormalWeb"/>
        <w:numPr>
          <w:ilvl w:val="0"/>
          <w:numId w:val="15"/>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w:t>
      </w:r>
      <w:proofErr w:type="spellStart"/>
      <w:r w:rsidRPr="003E6D7D">
        <w:rPr>
          <w:rFonts w:ascii="Arial" w:hAnsi="Arial" w:cs="Arial"/>
          <w:color w:val="000000" w:themeColor="text1"/>
          <w:sz w:val="22"/>
          <w:szCs w:val="22"/>
        </w:rPr>
        <w:t>telehealth</w:t>
      </w:r>
      <w:proofErr w:type="spellEnd"/>
      <w:r w:rsidRPr="003E6D7D">
        <w:rPr>
          <w:rFonts w:ascii="Arial" w:hAnsi="Arial" w:cs="Arial"/>
          <w:color w:val="000000" w:themeColor="text1"/>
          <w:sz w:val="22"/>
          <w:szCs w:val="22"/>
        </w:rPr>
        <w:t>"</w:t>
      </w:r>
    </w:p>
    <w:p w:rsidR="00DA31FD" w:rsidRPr="003E6D7D" w:rsidRDefault="00DA31FD" w:rsidP="00DA31FD">
      <w:pPr>
        <w:pStyle w:val="NormalWeb"/>
        <w:numPr>
          <w:ilvl w:val="0"/>
          <w:numId w:val="15"/>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"telemedicine"</w:t>
      </w:r>
    </w:p>
    <w:p w:rsidR="00DA31FD" w:rsidRPr="003E6D7D" w:rsidRDefault="00DA31FD" w:rsidP="00DA31FD">
      <w:pPr>
        <w:pStyle w:val="NormalWeb"/>
        <w:numPr>
          <w:ilvl w:val="0"/>
          <w:numId w:val="15"/>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lastRenderedPageBreak/>
        <w:t>"mobile health"</w:t>
      </w:r>
    </w:p>
    <w:p w:rsidR="00DA31FD" w:rsidRPr="003E6D7D" w:rsidRDefault="00DA31FD" w:rsidP="00DA31FD">
      <w:pPr>
        <w:pStyle w:val="NormalWeb"/>
        <w:numPr>
          <w:ilvl w:val="0"/>
          <w:numId w:val="15"/>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"remote monitoring"</w:t>
      </w:r>
    </w:p>
    <w:p w:rsidR="00DA31FD" w:rsidRPr="003E6D7D" w:rsidRDefault="00DA31FD" w:rsidP="00DA31FD">
      <w:pPr>
        <w:pStyle w:val="NormalWeb"/>
        <w:numPr>
          <w:ilvl w:val="0"/>
          <w:numId w:val="15"/>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"self-management"</w:t>
      </w:r>
    </w:p>
    <w:p w:rsidR="00DA31FD" w:rsidRPr="003E6D7D" w:rsidRDefault="00DA31FD" w:rsidP="00DA31FD">
      <w:pPr>
        <w:pStyle w:val="NormalWeb"/>
        <w:numPr>
          <w:ilvl w:val="0"/>
          <w:numId w:val="15"/>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"HbA1c"</w:t>
      </w:r>
    </w:p>
    <w:p w:rsidR="00DA31FD" w:rsidRPr="003E6D7D" w:rsidRDefault="00DA31FD" w:rsidP="00DA31FD">
      <w:pPr>
        <w:pStyle w:val="NormalWeb"/>
        <w:numPr>
          <w:ilvl w:val="0"/>
          <w:numId w:val="15"/>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"United Kingdom"</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An example search strategy was: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Style w:val="Strong"/>
          <w:rFonts w:ascii="Arial" w:hAnsi="Arial" w:cs="Arial"/>
          <w:b w:val="0"/>
          <w:color w:val="000000" w:themeColor="text1"/>
          <w:sz w:val="22"/>
          <w:szCs w:val="22"/>
        </w:rPr>
        <w:t xml:space="preserve">("Type 2 diabetes" OR T2DM) AND ("digital health" OR </w:t>
      </w:r>
      <w:proofErr w:type="spellStart"/>
      <w:r w:rsidRPr="003E6D7D">
        <w:rPr>
          <w:rStyle w:val="Strong"/>
          <w:rFonts w:ascii="Arial" w:hAnsi="Arial" w:cs="Arial"/>
          <w:b w:val="0"/>
          <w:color w:val="000000" w:themeColor="text1"/>
          <w:sz w:val="22"/>
          <w:szCs w:val="22"/>
        </w:rPr>
        <w:t>telehealth</w:t>
      </w:r>
      <w:proofErr w:type="spellEnd"/>
      <w:r w:rsidRPr="003E6D7D">
        <w:rPr>
          <w:rStyle w:val="Strong"/>
          <w:rFonts w:ascii="Arial" w:hAnsi="Arial" w:cs="Arial"/>
          <w:b w:val="0"/>
          <w:color w:val="000000" w:themeColor="text1"/>
          <w:sz w:val="22"/>
          <w:szCs w:val="22"/>
        </w:rPr>
        <w:t xml:space="preserve"> OR telemedicine OR "mobile health") AND ("self-management" OR HbA1c OR glycaemic control) AND ("United Kingdom" OR UK).</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Searches were limited to peer-reviewed articles published in English between 2015 and 2025 involving adults aged 18 years or older.</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Eligibility Criteria</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Studies were included if they:</w:t>
      </w:r>
    </w:p>
    <w:p w:rsidR="00DA31FD" w:rsidRPr="003E6D7D" w:rsidRDefault="00DA31FD" w:rsidP="00DA31FD">
      <w:pPr>
        <w:pStyle w:val="NormalWeb"/>
        <w:numPr>
          <w:ilvl w:val="0"/>
          <w:numId w:val="16"/>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were peer-reviewed primary or secondary research;</w:t>
      </w:r>
    </w:p>
    <w:p w:rsidR="00DA31FD" w:rsidRPr="003E6D7D" w:rsidRDefault="00DA31FD" w:rsidP="00DA31FD">
      <w:pPr>
        <w:pStyle w:val="NormalWeb"/>
        <w:numPr>
          <w:ilvl w:val="0"/>
          <w:numId w:val="16"/>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investigated digital health interventions for adults with Type 2 diabetes or those at high risk of developing the condition;</w:t>
      </w:r>
    </w:p>
    <w:p w:rsidR="00DA31FD" w:rsidRPr="003E6D7D" w:rsidRDefault="00DA31FD" w:rsidP="00DA31FD">
      <w:pPr>
        <w:pStyle w:val="NormalWeb"/>
        <w:numPr>
          <w:ilvl w:val="0"/>
          <w:numId w:val="16"/>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evaluated outcomes related to glycaemic control, self-management, patient engagement or lifestyle behaviours;</w:t>
      </w:r>
    </w:p>
    <w:p w:rsidR="00DA31FD" w:rsidRPr="003E6D7D" w:rsidRDefault="00DA31FD" w:rsidP="00DA31FD">
      <w:pPr>
        <w:pStyle w:val="NormalWeb"/>
        <w:numPr>
          <w:ilvl w:val="0"/>
          <w:numId w:val="16"/>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were published between 2015 and 2025; and</w:t>
      </w:r>
    </w:p>
    <w:p w:rsidR="00DA31FD" w:rsidRPr="003E6D7D" w:rsidRDefault="00DA31FD" w:rsidP="00DA31FD">
      <w:pPr>
        <w:pStyle w:val="NormalWeb"/>
        <w:numPr>
          <w:ilvl w:val="0"/>
          <w:numId w:val="16"/>
        </w:numPr>
        <w:spacing w:line="360" w:lineRule="auto"/>
        <w:jc w:val="both"/>
        <w:rPr>
          <w:rFonts w:ascii="Arial" w:hAnsi="Arial" w:cs="Arial"/>
          <w:color w:val="000000" w:themeColor="text1"/>
          <w:sz w:val="22"/>
          <w:szCs w:val="22"/>
        </w:rPr>
      </w:pPr>
      <w:proofErr w:type="gramStart"/>
      <w:r w:rsidRPr="003E6D7D">
        <w:rPr>
          <w:rFonts w:ascii="Arial" w:hAnsi="Arial" w:cs="Arial"/>
          <w:color w:val="000000" w:themeColor="text1"/>
          <w:sz w:val="22"/>
          <w:szCs w:val="22"/>
        </w:rPr>
        <w:t>were</w:t>
      </w:r>
      <w:proofErr w:type="gramEnd"/>
      <w:r w:rsidRPr="003E6D7D">
        <w:rPr>
          <w:rFonts w:ascii="Arial" w:hAnsi="Arial" w:cs="Arial"/>
          <w:color w:val="000000" w:themeColor="text1"/>
          <w:sz w:val="22"/>
          <w:szCs w:val="22"/>
        </w:rPr>
        <w:t xml:space="preserve"> relevant to UK health or social care practice.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Studies were excluded if they:</w:t>
      </w:r>
    </w:p>
    <w:p w:rsidR="00DA31FD" w:rsidRPr="003E6D7D" w:rsidRDefault="00DA31FD" w:rsidP="00DA31FD">
      <w:pPr>
        <w:pStyle w:val="NormalWeb"/>
        <w:numPr>
          <w:ilvl w:val="0"/>
          <w:numId w:val="17"/>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focused on Type 1 or gestational diabetes;</w:t>
      </w:r>
    </w:p>
    <w:p w:rsidR="00DA31FD" w:rsidRPr="003E6D7D" w:rsidRDefault="00DA31FD" w:rsidP="00DA31FD">
      <w:pPr>
        <w:pStyle w:val="NormalWeb"/>
        <w:numPr>
          <w:ilvl w:val="0"/>
          <w:numId w:val="17"/>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involved children or adolescents;</w:t>
      </w:r>
    </w:p>
    <w:p w:rsidR="00DA31FD" w:rsidRPr="003E6D7D" w:rsidRDefault="00DA31FD" w:rsidP="00DA31FD">
      <w:pPr>
        <w:pStyle w:val="NormalWeb"/>
        <w:numPr>
          <w:ilvl w:val="0"/>
          <w:numId w:val="17"/>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were conference abstracts, editorials, commentaries or policy documents;</w:t>
      </w:r>
    </w:p>
    <w:p w:rsidR="00DA31FD" w:rsidRPr="003E6D7D" w:rsidRDefault="00DA31FD" w:rsidP="00DA31FD">
      <w:pPr>
        <w:pStyle w:val="NormalWeb"/>
        <w:numPr>
          <w:ilvl w:val="0"/>
          <w:numId w:val="17"/>
        </w:numPr>
        <w:spacing w:line="360" w:lineRule="auto"/>
        <w:jc w:val="both"/>
        <w:rPr>
          <w:rFonts w:ascii="Arial" w:hAnsi="Arial" w:cs="Arial"/>
          <w:color w:val="000000" w:themeColor="text1"/>
          <w:sz w:val="22"/>
          <w:szCs w:val="22"/>
        </w:rPr>
      </w:pPr>
      <w:proofErr w:type="spellStart"/>
      <w:r w:rsidRPr="003E6D7D">
        <w:rPr>
          <w:rFonts w:ascii="Arial" w:hAnsi="Arial" w:cs="Arial"/>
          <w:color w:val="000000" w:themeColor="text1"/>
          <w:sz w:val="22"/>
          <w:szCs w:val="22"/>
        </w:rPr>
        <w:t>were</w:t>
      </w:r>
      <w:proofErr w:type="spellEnd"/>
      <w:r w:rsidRPr="003E6D7D">
        <w:rPr>
          <w:rFonts w:ascii="Arial" w:hAnsi="Arial" w:cs="Arial"/>
          <w:color w:val="000000" w:themeColor="text1"/>
          <w:sz w:val="22"/>
          <w:szCs w:val="22"/>
        </w:rPr>
        <w:t xml:space="preserve"> not peer reviewed; or</w:t>
      </w:r>
    </w:p>
    <w:p w:rsidR="00DA31FD" w:rsidRPr="003E6D7D" w:rsidRDefault="00DA31FD" w:rsidP="00DA31FD">
      <w:pPr>
        <w:pStyle w:val="NormalWeb"/>
        <w:numPr>
          <w:ilvl w:val="0"/>
          <w:numId w:val="17"/>
        </w:numPr>
        <w:spacing w:line="360" w:lineRule="auto"/>
        <w:jc w:val="both"/>
        <w:rPr>
          <w:rFonts w:ascii="Arial" w:hAnsi="Arial" w:cs="Arial"/>
          <w:color w:val="000000" w:themeColor="text1"/>
          <w:sz w:val="22"/>
          <w:szCs w:val="22"/>
        </w:rPr>
      </w:pPr>
      <w:proofErr w:type="gramStart"/>
      <w:r w:rsidRPr="003E6D7D">
        <w:rPr>
          <w:rFonts w:ascii="Arial" w:hAnsi="Arial" w:cs="Arial"/>
          <w:color w:val="000000" w:themeColor="text1"/>
          <w:sz w:val="22"/>
          <w:szCs w:val="22"/>
        </w:rPr>
        <w:t>did</w:t>
      </w:r>
      <w:proofErr w:type="gramEnd"/>
      <w:r w:rsidRPr="003E6D7D">
        <w:rPr>
          <w:rFonts w:ascii="Arial" w:hAnsi="Arial" w:cs="Arial"/>
          <w:color w:val="000000" w:themeColor="text1"/>
          <w:sz w:val="22"/>
          <w:szCs w:val="22"/>
        </w:rPr>
        <w:t xml:space="preserve"> not evaluate a digital health intervention.</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Study Selection and Data Extraction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Titles and abstracts were screened against the eligibility criteria before full-text assessment. Five peer-reviewed studies were selected for inclusion because they provided the most </w:t>
      </w:r>
      <w:r w:rsidRPr="003E6D7D">
        <w:rPr>
          <w:rFonts w:ascii="Arial" w:hAnsi="Arial" w:cs="Arial"/>
          <w:color w:val="000000" w:themeColor="text1"/>
          <w:sz w:val="22"/>
          <w:szCs w:val="22"/>
        </w:rPr>
        <w:lastRenderedPageBreak/>
        <w:t>relevant evidence relating to digital health interventions for Type 2 diabetes in the UK. These included randomised controlled trials, an observational study and a systematic review.</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Data were extracted using a standardised form that recorded:</w:t>
      </w:r>
    </w:p>
    <w:p w:rsidR="00DA31FD" w:rsidRPr="003E6D7D" w:rsidRDefault="00DA31FD" w:rsidP="00DA31FD">
      <w:pPr>
        <w:pStyle w:val="NormalWeb"/>
        <w:numPr>
          <w:ilvl w:val="0"/>
          <w:numId w:val="18"/>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authors and publication year;</w:t>
      </w:r>
    </w:p>
    <w:p w:rsidR="00DA31FD" w:rsidRPr="003E6D7D" w:rsidRDefault="00DA31FD" w:rsidP="00DA31FD">
      <w:pPr>
        <w:pStyle w:val="NormalWeb"/>
        <w:numPr>
          <w:ilvl w:val="0"/>
          <w:numId w:val="18"/>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study design;</w:t>
      </w:r>
    </w:p>
    <w:p w:rsidR="00DA31FD" w:rsidRPr="003E6D7D" w:rsidRDefault="00DA31FD" w:rsidP="00DA31FD">
      <w:pPr>
        <w:pStyle w:val="NormalWeb"/>
        <w:numPr>
          <w:ilvl w:val="0"/>
          <w:numId w:val="18"/>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participant characteristics;</w:t>
      </w:r>
    </w:p>
    <w:p w:rsidR="00DA31FD" w:rsidRPr="003E6D7D" w:rsidRDefault="00DA31FD" w:rsidP="00DA31FD">
      <w:pPr>
        <w:pStyle w:val="NormalWeb"/>
        <w:numPr>
          <w:ilvl w:val="0"/>
          <w:numId w:val="18"/>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intervention type;</w:t>
      </w:r>
    </w:p>
    <w:p w:rsidR="00DA31FD" w:rsidRPr="003E6D7D" w:rsidRDefault="00DA31FD" w:rsidP="00DA31FD">
      <w:pPr>
        <w:pStyle w:val="NormalWeb"/>
        <w:numPr>
          <w:ilvl w:val="0"/>
          <w:numId w:val="18"/>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outcome measures; and</w:t>
      </w:r>
    </w:p>
    <w:p w:rsidR="00DA31FD" w:rsidRPr="003E6D7D" w:rsidRDefault="00DA31FD" w:rsidP="00DA31FD">
      <w:pPr>
        <w:pStyle w:val="NormalWeb"/>
        <w:numPr>
          <w:ilvl w:val="0"/>
          <w:numId w:val="18"/>
        </w:numPr>
        <w:spacing w:line="360" w:lineRule="auto"/>
        <w:jc w:val="both"/>
        <w:rPr>
          <w:rFonts w:ascii="Arial" w:hAnsi="Arial" w:cs="Arial"/>
          <w:color w:val="000000" w:themeColor="text1"/>
          <w:sz w:val="22"/>
          <w:szCs w:val="22"/>
        </w:rPr>
      </w:pPr>
      <w:proofErr w:type="gramStart"/>
      <w:r w:rsidRPr="003E6D7D">
        <w:rPr>
          <w:rFonts w:ascii="Arial" w:hAnsi="Arial" w:cs="Arial"/>
          <w:color w:val="000000" w:themeColor="text1"/>
          <w:sz w:val="22"/>
          <w:szCs w:val="22"/>
        </w:rPr>
        <w:t>key</w:t>
      </w:r>
      <w:proofErr w:type="gramEnd"/>
      <w:r w:rsidRPr="003E6D7D">
        <w:rPr>
          <w:rFonts w:ascii="Arial" w:hAnsi="Arial" w:cs="Arial"/>
          <w:color w:val="000000" w:themeColor="text1"/>
          <w:sz w:val="22"/>
          <w:szCs w:val="22"/>
        </w:rPr>
        <w:t xml:space="preserve"> findings.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This process ensured consistency when comparing studies.</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Data Analysis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The included studies were analysed using thematic analysis. Findings were reviewed repeatedly to identify common patterns across the evidence. Four themes emerged:</w:t>
      </w:r>
    </w:p>
    <w:p w:rsidR="00DA31FD" w:rsidRPr="003E6D7D" w:rsidRDefault="00DA31FD" w:rsidP="00DA31FD">
      <w:pPr>
        <w:pStyle w:val="NormalWeb"/>
        <w:numPr>
          <w:ilvl w:val="0"/>
          <w:numId w:val="19"/>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Improvement in glycaemic control.</w:t>
      </w:r>
    </w:p>
    <w:p w:rsidR="00DA31FD" w:rsidRPr="003E6D7D" w:rsidRDefault="00DA31FD" w:rsidP="00DA31FD">
      <w:pPr>
        <w:pStyle w:val="NormalWeb"/>
        <w:numPr>
          <w:ilvl w:val="0"/>
          <w:numId w:val="19"/>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Enhanced self-management.</w:t>
      </w:r>
    </w:p>
    <w:p w:rsidR="00DA31FD" w:rsidRPr="003E6D7D" w:rsidRDefault="00DA31FD" w:rsidP="00DA31FD">
      <w:pPr>
        <w:pStyle w:val="NormalWeb"/>
        <w:numPr>
          <w:ilvl w:val="0"/>
          <w:numId w:val="19"/>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Increased patient engagement and satisfaction.</w:t>
      </w:r>
    </w:p>
    <w:p w:rsidR="00DA31FD" w:rsidRPr="003E6D7D" w:rsidRDefault="00DA31FD" w:rsidP="00DA31FD">
      <w:pPr>
        <w:pStyle w:val="NormalWeb"/>
        <w:numPr>
          <w:ilvl w:val="0"/>
          <w:numId w:val="19"/>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Barriers to digital health implementation.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These themes provided the framework for presenting and interpreting the findings.</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Ethical Considerations</w:t>
      </w:r>
    </w:p>
    <w:p w:rsidR="00DA31FD" w:rsidRPr="003E6D7D" w:rsidRDefault="00DA31FD" w:rsidP="003E6D7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Ethical approval was not required because this review analysed published research and did not involve primary data collection or human participants. Ethical principles were maintained by accurately reporting findings, acknowledging all sources and presenting evidence objectively to minimise bias.</w:t>
      </w:r>
      <w:r w:rsidRPr="003E6D7D">
        <w:rPr>
          <w:rFonts w:ascii="Arial" w:hAnsi="Arial" w:cs="Arial"/>
          <w:color w:val="000000" w:themeColor="text1"/>
          <w:sz w:val="22"/>
          <w:szCs w:val="22"/>
        </w:rPr>
        <w:pict>
          <v:rect id="_x0000_i1028" style="width:0;height:1.5pt" o:hralign="center" o:hrstd="t" o:hr="t" fillcolor="#a0a0a0" stroked="f"/>
        </w:pict>
      </w:r>
    </w:p>
    <w:p w:rsidR="00DA31FD" w:rsidRPr="003E6D7D" w:rsidRDefault="00DA31FD" w:rsidP="00DA31FD">
      <w:pPr>
        <w:pStyle w:val="Heading1"/>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Results</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Overview of Included Studies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Five peer-reviewed studies met the inclusion criteria and were included in this scoping review. The evidence comprised three randomised controlled trials (RCTs), one </w:t>
      </w:r>
      <w:r w:rsidRPr="003E6D7D">
        <w:rPr>
          <w:rFonts w:ascii="Arial" w:hAnsi="Arial" w:cs="Arial"/>
          <w:color w:val="000000" w:themeColor="text1"/>
          <w:sz w:val="22"/>
          <w:szCs w:val="22"/>
        </w:rPr>
        <w:lastRenderedPageBreak/>
        <w:t xml:space="preserve">observational study and one systematic review. Collectively, the studies evaluated digital health interventions designed to improve diabetes management, including </w:t>
      </w:r>
      <w:proofErr w:type="spellStart"/>
      <w:r w:rsidRPr="003E6D7D">
        <w:rPr>
          <w:rFonts w:ascii="Arial" w:hAnsi="Arial" w:cs="Arial"/>
          <w:color w:val="000000" w:themeColor="text1"/>
          <w:sz w:val="22"/>
          <w:szCs w:val="22"/>
        </w:rPr>
        <w:t>telemonitoring</w:t>
      </w:r>
      <w:proofErr w:type="spellEnd"/>
      <w:r w:rsidRPr="003E6D7D">
        <w:rPr>
          <w:rFonts w:ascii="Arial" w:hAnsi="Arial" w:cs="Arial"/>
          <w:color w:val="000000" w:themeColor="text1"/>
          <w:sz w:val="22"/>
          <w:szCs w:val="22"/>
        </w:rPr>
        <w:t>, web-based education, wearable technology and the NHS Digital Diabetes Prevention Programme.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Despite differences in design and intervention type, the studies examined similar outcomes, including glycaemic control (HbA1c), self-management behaviours, patient engagement and the acceptability of digital health technologies.</w:t>
      </w:r>
    </w:p>
    <w:p w:rsidR="00DA31FD" w:rsidRPr="003E6D7D" w:rsidRDefault="00DA31FD" w:rsidP="00DA31FD">
      <w:pPr>
        <w:pStyle w:val="Heading3"/>
        <w:spacing w:line="360" w:lineRule="auto"/>
        <w:jc w:val="both"/>
        <w:rPr>
          <w:rFonts w:ascii="Arial" w:hAnsi="Arial" w:cs="Arial"/>
          <w:b w:val="0"/>
          <w:color w:val="000000" w:themeColor="text1"/>
          <w:sz w:val="22"/>
          <w:szCs w:val="22"/>
        </w:rPr>
      </w:pPr>
      <w:proofErr w:type="gramStart"/>
      <w:r w:rsidRPr="003E6D7D">
        <w:rPr>
          <w:rFonts w:ascii="Arial" w:hAnsi="Arial" w:cs="Arial"/>
          <w:b w:val="0"/>
          <w:color w:val="000000" w:themeColor="text1"/>
          <w:sz w:val="22"/>
          <w:szCs w:val="22"/>
        </w:rPr>
        <w:t>Table 1.</w:t>
      </w:r>
      <w:proofErr w:type="gramEnd"/>
      <w:r w:rsidRPr="003E6D7D">
        <w:rPr>
          <w:rFonts w:ascii="Arial" w:hAnsi="Arial" w:cs="Arial"/>
          <w:b w:val="0"/>
          <w:color w:val="000000" w:themeColor="text1"/>
          <w:sz w:val="22"/>
          <w:szCs w:val="22"/>
        </w:rPr>
        <w:t xml:space="preserve"> Summary of Included Studies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48"/>
        <w:gridCol w:w="1712"/>
        <w:gridCol w:w="2330"/>
        <w:gridCol w:w="3746"/>
      </w:tblGrid>
      <w:tr w:rsidR="003E6D7D" w:rsidRPr="003E6D7D" w:rsidTr="00DA31FD">
        <w:trPr>
          <w:tblHeader/>
          <w:tblCellSpacing w:w="15" w:type="dxa"/>
        </w:trPr>
        <w:tc>
          <w:tcPr>
            <w:tcW w:w="0" w:type="auto"/>
            <w:vAlign w:val="center"/>
            <w:hideMark/>
          </w:tcPr>
          <w:p w:rsidR="00DA31FD" w:rsidRPr="003E6D7D" w:rsidRDefault="00DA31FD" w:rsidP="00DA31FD">
            <w:pPr>
              <w:spacing w:line="360" w:lineRule="auto"/>
              <w:jc w:val="both"/>
              <w:rPr>
                <w:rFonts w:ascii="Arial" w:hAnsi="Arial" w:cs="Arial"/>
                <w:bCs/>
                <w:color w:val="000000" w:themeColor="text1"/>
              </w:rPr>
            </w:pPr>
            <w:r w:rsidRPr="003E6D7D">
              <w:rPr>
                <w:rFonts w:ascii="Arial" w:hAnsi="Arial" w:cs="Arial"/>
                <w:bCs/>
                <w:color w:val="000000" w:themeColor="text1"/>
              </w:rPr>
              <w:t>Study</w:t>
            </w:r>
          </w:p>
        </w:tc>
        <w:tc>
          <w:tcPr>
            <w:tcW w:w="0" w:type="auto"/>
            <w:vAlign w:val="center"/>
            <w:hideMark/>
          </w:tcPr>
          <w:p w:rsidR="00DA31FD" w:rsidRPr="003E6D7D" w:rsidRDefault="00DA31FD" w:rsidP="00DA31FD">
            <w:pPr>
              <w:spacing w:line="360" w:lineRule="auto"/>
              <w:jc w:val="both"/>
              <w:rPr>
                <w:rFonts w:ascii="Arial" w:hAnsi="Arial" w:cs="Arial"/>
                <w:bCs/>
                <w:color w:val="000000" w:themeColor="text1"/>
              </w:rPr>
            </w:pPr>
            <w:r w:rsidRPr="003E6D7D">
              <w:rPr>
                <w:rFonts w:ascii="Arial" w:hAnsi="Arial" w:cs="Arial"/>
                <w:bCs/>
                <w:color w:val="000000" w:themeColor="text1"/>
              </w:rPr>
              <w:t>Design</w:t>
            </w:r>
          </w:p>
        </w:tc>
        <w:tc>
          <w:tcPr>
            <w:tcW w:w="0" w:type="auto"/>
            <w:vAlign w:val="center"/>
            <w:hideMark/>
          </w:tcPr>
          <w:p w:rsidR="00DA31FD" w:rsidRPr="003E6D7D" w:rsidRDefault="00DA31FD" w:rsidP="00DA31FD">
            <w:pPr>
              <w:spacing w:line="360" w:lineRule="auto"/>
              <w:jc w:val="both"/>
              <w:rPr>
                <w:rFonts w:ascii="Arial" w:hAnsi="Arial" w:cs="Arial"/>
                <w:bCs/>
                <w:color w:val="000000" w:themeColor="text1"/>
              </w:rPr>
            </w:pPr>
            <w:r w:rsidRPr="003E6D7D">
              <w:rPr>
                <w:rFonts w:ascii="Arial" w:hAnsi="Arial" w:cs="Arial"/>
                <w:bCs/>
                <w:color w:val="000000" w:themeColor="text1"/>
              </w:rPr>
              <w:t>Digital Intervention</w:t>
            </w:r>
          </w:p>
        </w:tc>
        <w:tc>
          <w:tcPr>
            <w:tcW w:w="0" w:type="auto"/>
            <w:vAlign w:val="center"/>
            <w:hideMark/>
          </w:tcPr>
          <w:p w:rsidR="00DA31FD" w:rsidRPr="003E6D7D" w:rsidRDefault="00DA31FD" w:rsidP="00DA31FD">
            <w:pPr>
              <w:spacing w:line="360" w:lineRule="auto"/>
              <w:jc w:val="both"/>
              <w:rPr>
                <w:rFonts w:ascii="Arial" w:hAnsi="Arial" w:cs="Arial"/>
                <w:bCs/>
                <w:color w:val="000000" w:themeColor="text1"/>
              </w:rPr>
            </w:pPr>
            <w:r w:rsidRPr="003E6D7D">
              <w:rPr>
                <w:rFonts w:ascii="Arial" w:hAnsi="Arial" w:cs="Arial"/>
                <w:bCs/>
                <w:color w:val="000000" w:themeColor="text1"/>
              </w:rPr>
              <w:t>Key Findings</w:t>
            </w:r>
          </w:p>
        </w:tc>
      </w:tr>
      <w:tr w:rsidR="003E6D7D" w:rsidRPr="003E6D7D" w:rsidTr="00DA31FD">
        <w:trPr>
          <w:tblCellSpacing w:w="15" w:type="dxa"/>
        </w:trPr>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Style w:val="Strong"/>
                <w:rFonts w:ascii="Arial" w:hAnsi="Arial" w:cs="Arial"/>
                <w:b w:val="0"/>
                <w:color w:val="000000" w:themeColor="text1"/>
              </w:rPr>
              <w:t>Wild et al. (2016)</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Randomised controlled trial</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 xml:space="preserve">Supported </w:t>
            </w:r>
            <w:proofErr w:type="spellStart"/>
            <w:r w:rsidRPr="003E6D7D">
              <w:rPr>
                <w:rFonts w:ascii="Arial" w:hAnsi="Arial" w:cs="Arial"/>
                <w:color w:val="000000" w:themeColor="text1"/>
              </w:rPr>
              <w:t>telemonitoring</w:t>
            </w:r>
            <w:proofErr w:type="spellEnd"/>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Improved HbA1c and blood pressure compared with usual care.</w:t>
            </w:r>
          </w:p>
        </w:tc>
      </w:tr>
      <w:tr w:rsidR="003E6D7D" w:rsidRPr="003E6D7D" w:rsidTr="00DA31FD">
        <w:trPr>
          <w:tblCellSpacing w:w="15" w:type="dxa"/>
        </w:trPr>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Style w:val="Strong"/>
                <w:rFonts w:ascii="Arial" w:hAnsi="Arial" w:cs="Arial"/>
                <w:b w:val="0"/>
                <w:color w:val="000000" w:themeColor="text1"/>
              </w:rPr>
              <w:t>Murray et al. (2017)</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Randomised controlled trial</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proofErr w:type="spellStart"/>
            <w:r w:rsidRPr="003E6D7D">
              <w:rPr>
                <w:rFonts w:ascii="Arial" w:hAnsi="Arial" w:cs="Arial"/>
                <w:color w:val="000000" w:themeColor="text1"/>
              </w:rPr>
              <w:t>HeLP</w:t>
            </w:r>
            <w:proofErr w:type="spellEnd"/>
            <w:r w:rsidRPr="003E6D7D">
              <w:rPr>
                <w:rFonts w:ascii="Arial" w:hAnsi="Arial" w:cs="Arial"/>
                <w:color w:val="000000" w:themeColor="text1"/>
              </w:rPr>
              <w:t>-Diabetes web-based programme</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Improved diabetes knowledge, self-management and reduced diabetes-related distress.</w:t>
            </w:r>
          </w:p>
        </w:tc>
      </w:tr>
      <w:tr w:rsidR="003E6D7D" w:rsidRPr="003E6D7D" w:rsidTr="00DA31FD">
        <w:trPr>
          <w:tblCellSpacing w:w="15" w:type="dxa"/>
        </w:trPr>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Style w:val="Strong"/>
                <w:rFonts w:ascii="Arial" w:hAnsi="Arial" w:cs="Arial"/>
                <w:b w:val="0"/>
                <w:color w:val="000000" w:themeColor="text1"/>
              </w:rPr>
              <w:t>Ross et al. (2020)</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Randomised controlled trial</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Wearable activity monitor and online lifestyle programme</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Increased physical activity and participant engagement.</w:t>
            </w:r>
          </w:p>
        </w:tc>
      </w:tr>
      <w:tr w:rsidR="003E6D7D" w:rsidRPr="003E6D7D" w:rsidTr="00DA31FD">
        <w:trPr>
          <w:tblCellSpacing w:w="15" w:type="dxa"/>
        </w:trPr>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Style w:val="Strong"/>
                <w:rFonts w:ascii="Arial" w:hAnsi="Arial" w:cs="Arial"/>
                <w:b w:val="0"/>
                <w:color w:val="000000" w:themeColor="text1"/>
              </w:rPr>
              <w:t>Ross et al. (2022)</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Observational study</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NHS Digital Diabetes Prevention Programme</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Improved HbA1c, weight management and engagement with lifestyle interventions.</w:t>
            </w:r>
          </w:p>
        </w:tc>
      </w:tr>
      <w:tr w:rsidR="003E6D7D" w:rsidRPr="003E6D7D" w:rsidTr="00DA31FD">
        <w:trPr>
          <w:tblCellSpacing w:w="15" w:type="dxa"/>
        </w:trPr>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Style w:val="Strong"/>
                <w:rFonts w:ascii="Arial" w:hAnsi="Arial" w:cs="Arial"/>
                <w:b w:val="0"/>
                <w:color w:val="000000" w:themeColor="text1"/>
              </w:rPr>
              <w:t>Systematic review</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Secondary research</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Digital health interventions</w:t>
            </w:r>
          </w:p>
        </w:tc>
        <w:tc>
          <w:tcPr>
            <w:tcW w:w="0" w:type="auto"/>
            <w:vAlign w:val="center"/>
            <w:hideMark/>
          </w:tcPr>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t>Reported modest improvements in glycaemic control and self-management, although outcomes varied between interventions.</w:t>
            </w:r>
          </w:p>
        </w:tc>
      </w:tr>
    </w:tbl>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Theme 1: Improved Glycaemic Control</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Four of the five studies reported improvements in glycaemic control following digital health interventions. Wild et al. (2016) demonstrated that supported </w:t>
      </w:r>
      <w:proofErr w:type="spellStart"/>
      <w:r w:rsidRPr="003E6D7D">
        <w:rPr>
          <w:rFonts w:ascii="Arial" w:hAnsi="Arial" w:cs="Arial"/>
          <w:color w:val="000000" w:themeColor="text1"/>
          <w:sz w:val="22"/>
          <w:szCs w:val="22"/>
        </w:rPr>
        <w:t>telemonitoring</w:t>
      </w:r>
      <w:proofErr w:type="spellEnd"/>
      <w:r w:rsidRPr="003E6D7D">
        <w:rPr>
          <w:rFonts w:ascii="Arial" w:hAnsi="Arial" w:cs="Arial"/>
          <w:color w:val="000000" w:themeColor="text1"/>
          <w:sz w:val="22"/>
          <w:szCs w:val="22"/>
        </w:rPr>
        <w:t xml:space="preserve"> produced greater reductions in HbA1c than standard care, indicating that regular remote monitoring combined with professional feedback can improve diabetes outcomes. Similarly, Ross et al. </w:t>
      </w:r>
      <w:r w:rsidRPr="003E6D7D">
        <w:rPr>
          <w:rFonts w:ascii="Arial" w:hAnsi="Arial" w:cs="Arial"/>
          <w:color w:val="000000" w:themeColor="text1"/>
          <w:sz w:val="22"/>
          <w:szCs w:val="22"/>
        </w:rPr>
        <w:lastRenderedPageBreak/>
        <w:t>(2022) found that participants enrolled in the NHS Digital Diabetes Prevention Programme achieved reductions in HbA1c and body weight.</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The systematic review also concluded that digital interventions generally produced modest improvements in blood glucose management. However, the magnitude of benefit differed across studies, suggesting that effectiveness depends on factors such as intervention design, duration and participant engagement.</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Theme 2: Enhanced Self-Management</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All included studies reported improvements in self-management. Digital interventions enabled participants to monitor blood glucose, record dietary intake, increase physical activity and access educational resources more easily. Murray et al. (2017) reported that the </w:t>
      </w:r>
      <w:proofErr w:type="spellStart"/>
      <w:r w:rsidRPr="003E6D7D">
        <w:rPr>
          <w:rFonts w:ascii="Arial" w:hAnsi="Arial" w:cs="Arial"/>
          <w:color w:val="000000" w:themeColor="text1"/>
          <w:sz w:val="22"/>
          <w:szCs w:val="22"/>
        </w:rPr>
        <w:t>HeLP</w:t>
      </w:r>
      <w:proofErr w:type="spellEnd"/>
      <w:r w:rsidRPr="003E6D7D">
        <w:rPr>
          <w:rFonts w:ascii="Arial" w:hAnsi="Arial" w:cs="Arial"/>
          <w:color w:val="000000" w:themeColor="text1"/>
          <w:sz w:val="22"/>
          <w:szCs w:val="22"/>
        </w:rPr>
        <w:t>-Diabetes programme improved confidence in managing diabetes while reducing diabetes-related distress.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Several studies highlighted that personalised feedback from healthcare professionals encouraged adherence to medication and healthier lifestyle behaviours. These findings suggest that digital technologies can strengthen patient empowerment by supporting informed decision-making and long-term self-management.</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Theme 3: Increased Patient Engagement</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Three studies reported high levels of patient engagement and satisfaction with digital health interventions. Participants valued the flexibility and convenience of accessing healthcare remotely, reducing the need for frequent face-to-face appointments. Ross et al. (2020) found that wearable technology increased physical activity through continuous monitoring and feedback, while users of the </w:t>
      </w:r>
      <w:proofErr w:type="spellStart"/>
      <w:r w:rsidRPr="003E6D7D">
        <w:rPr>
          <w:rFonts w:ascii="Arial" w:hAnsi="Arial" w:cs="Arial"/>
          <w:color w:val="000000" w:themeColor="text1"/>
          <w:sz w:val="22"/>
          <w:szCs w:val="22"/>
        </w:rPr>
        <w:t>HeLP</w:t>
      </w:r>
      <w:proofErr w:type="spellEnd"/>
      <w:r w:rsidRPr="003E6D7D">
        <w:rPr>
          <w:rFonts w:ascii="Arial" w:hAnsi="Arial" w:cs="Arial"/>
          <w:color w:val="000000" w:themeColor="text1"/>
          <w:sz w:val="22"/>
          <w:szCs w:val="22"/>
        </w:rPr>
        <w:t>-Diabetes programme reported greater confidence and motivation to manage their condition.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The NHS Digital Diabetes Prevention Programme also improved access for individuals unable to attend traditional services, demonstrating the potential of digital healthcare to increase accessibility and patient participation.</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Theme 4: Barriers to Implementation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Despite positive outcomes, several barriers limited the effectiveness of digital interventions. Older adults and individuals with limited digital literacy experienced difficulties using digital </w:t>
      </w:r>
      <w:r w:rsidRPr="003E6D7D">
        <w:rPr>
          <w:rFonts w:ascii="Arial" w:hAnsi="Arial" w:cs="Arial"/>
          <w:color w:val="000000" w:themeColor="text1"/>
          <w:sz w:val="22"/>
          <w:szCs w:val="22"/>
        </w:rPr>
        <w:lastRenderedPageBreak/>
        <w:t>technologies, while limited access to smartphones, computers and reliable internet connections reduced participation for some groups.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Several studies also reported declining engagement over time, suggesting that technology alone may not sustain long-term behaviour change. Concerns regarding data security and confidentiality were identified as additional factors influencing patient acceptance. These findings indicate that digital interventions are most effective when supported by healthcare professionals and accompanied by appropriate technical assistance.</w: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Summary of Findings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Overall, the evidence suggests that digital health interventions can improve glycaemic control, strengthen self-management and increase patient engagement among adults with Type 2 diabetes. However, successful implementation depends on sustained patient engagement, digital literacy and equitable access to technology. Addressing these barriers is essential if digital healthcare is to achieve its full potential within UK health and social care services.</w:t>
      </w:r>
      <w:r w:rsidRPr="003E6D7D">
        <w:rPr>
          <w:rFonts w:ascii="Arial" w:hAnsi="Arial" w:cs="Arial"/>
          <w:color w:val="000000" w:themeColor="text1"/>
          <w:sz w:val="22"/>
          <w:szCs w:val="22"/>
        </w:rPr>
        <w:pict>
          <v:rect id="_x0000_i1029" style="width:0;height:1.5pt" o:hralign="center" o:hrstd="t" o:hr="t" fillcolor="#a0a0a0" stroked="f"/>
        </w:pict>
      </w:r>
    </w:p>
    <w:p w:rsidR="00DA31FD" w:rsidRPr="003E6D7D" w:rsidRDefault="00DA31FD" w:rsidP="00DA31FD">
      <w:pPr>
        <w:pStyle w:val="Heading1"/>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Discussion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This scoping review examined the effectiveness of digital health interventions in improving self-management and glycaemic control among adults with Type 2 diabetes in the UK. Overall, the evidence indicates that digital health interventions can improve diabetes management by supporting glycaemic control, promoting self-management and increasing patient engagement. However, their effectiveness depends on sustained patient participation, digital literacy and continued support from healthcare professionals.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Improved glycaemic control was the most consistent finding across the included studies. Wild et al. (2016) demonstrated that supported </w:t>
      </w:r>
      <w:proofErr w:type="spellStart"/>
      <w:r w:rsidRPr="003E6D7D">
        <w:rPr>
          <w:rFonts w:ascii="Arial" w:hAnsi="Arial" w:cs="Arial"/>
          <w:color w:val="000000" w:themeColor="text1"/>
          <w:sz w:val="22"/>
          <w:szCs w:val="22"/>
        </w:rPr>
        <w:t>telemonitoring</w:t>
      </w:r>
      <w:proofErr w:type="spellEnd"/>
      <w:r w:rsidRPr="003E6D7D">
        <w:rPr>
          <w:rFonts w:ascii="Arial" w:hAnsi="Arial" w:cs="Arial"/>
          <w:color w:val="000000" w:themeColor="text1"/>
          <w:sz w:val="22"/>
          <w:szCs w:val="22"/>
        </w:rPr>
        <w:t xml:space="preserve"> produced greater reductions in HbA1c than usual care, suggesting that remote monitoring combined with professional feedback enables earlier intervention and improved disease management. Similar findings were reported by Ross et al. (2022), whose evaluation of the NHS Digital Diabetes Prevention Programme identified improvements in HbA1c and weight management. These findings support the increasing integration of digital technologies into routine diabetes care within the NHS.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lastRenderedPageBreak/>
        <w:t xml:space="preserve">Although positive outcomes were reported across the evidence, improvements varied between studies. This variation may reflect differences in intervention type, participant characteristics, study duration and the level of professional support provided. Interventions combining technology with </w:t>
      </w:r>
      <w:proofErr w:type="spellStart"/>
      <w:r w:rsidRPr="003E6D7D">
        <w:rPr>
          <w:rFonts w:ascii="Arial" w:hAnsi="Arial" w:cs="Arial"/>
          <w:color w:val="000000" w:themeColor="text1"/>
          <w:sz w:val="22"/>
          <w:szCs w:val="22"/>
        </w:rPr>
        <w:t>ongoing</w:t>
      </w:r>
      <w:proofErr w:type="spellEnd"/>
      <w:r w:rsidRPr="003E6D7D">
        <w:rPr>
          <w:rFonts w:ascii="Arial" w:hAnsi="Arial" w:cs="Arial"/>
          <w:color w:val="000000" w:themeColor="text1"/>
          <w:sz w:val="22"/>
          <w:szCs w:val="22"/>
        </w:rPr>
        <w:t xml:space="preserve"> clinical support generally achieved better outcomes than those relying solely on digital platforms. This suggests that digital health should complement, rather than replace, traditional healthcare services.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Improved self-management also emerged as a key theme. Participants reported increased confidence in monitoring blood glucose, managing medication, improving dietary habits and maintaining physical activity. Murray et al. (2017) demonstrated that the </w:t>
      </w:r>
      <w:proofErr w:type="spellStart"/>
      <w:r w:rsidRPr="003E6D7D">
        <w:rPr>
          <w:rFonts w:ascii="Arial" w:hAnsi="Arial" w:cs="Arial"/>
          <w:color w:val="000000" w:themeColor="text1"/>
          <w:sz w:val="22"/>
          <w:szCs w:val="22"/>
        </w:rPr>
        <w:t>HeLP</w:t>
      </w:r>
      <w:proofErr w:type="spellEnd"/>
      <w:r w:rsidRPr="003E6D7D">
        <w:rPr>
          <w:rFonts w:ascii="Arial" w:hAnsi="Arial" w:cs="Arial"/>
          <w:color w:val="000000" w:themeColor="text1"/>
          <w:sz w:val="22"/>
          <w:szCs w:val="22"/>
        </w:rPr>
        <w:t>-Diabetes programme improved diabetes knowledge while reducing diabetes-related distress, highlighting the importance of education in supporting long-term behaviour change. As Type 2 diabetes requires continuous self-management, digital technologies can strengthen patient autonomy by providing timely information, personalised feedback and accessible educational resources.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Patient engagement was another important benefit. Participants valued the convenience and flexibility of remote consultations, online education and wearable technologies, particularly where attendance at face-to-face appointments was difficult. Digital interventions may therefore improve access to healthcare for individuals living in rural communities, those with mobility limitations and people balancing employment or caring responsibilities. These findings are consistent with NHS priorities to improve accessibility while reducing pressure on outpatient services.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Despite these advantages, the review identified important barriers to implementation. Digital exclusion remains a significant challenge, particularly among older adults, individuals from disadvantaged socioeconomic backgrounds and those with limited digital skills. Lack of access to suitable devices or reliable internet connectivity may reduce engagement and widen existing health inequalities. Healthcare professionals should therefore assess individual digital capability before recommending technology-based interventions and ensure that alternative methods of care remain available.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Another challenge identified across the studies was maintaining long-term engagement. Although many participants initially engaged well with digital interventions, sustained use often declined over time. Technology alone is unlikely to maintain behaviour change without regular encouragement, personalised feedback and </w:t>
      </w:r>
      <w:proofErr w:type="spellStart"/>
      <w:r w:rsidRPr="003E6D7D">
        <w:rPr>
          <w:rFonts w:ascii="Arial" w:hAnsi="Arial" w:cs="Arial"/>
          <w:color w:val="000000" w:themeColor="text1"/>
          <w:sz w:val="22"/>
          <w:szCs w:val="22"/>
        </w:rPr>
        <w:t>ongoing</w:t>
      </w:r>
      <w:proofErr w:type="spellEnd"/>
      <w:r w:rsidRPr="003E6D7D">
        <w:rPr>
          <w:rFonts w:ascii="Arial" w:hAnsi="Arial" w:cs="Arial"/>
          <w:color w:val="000000" w:themeColor="text1"/>
          <w:sz w:val="22"/>
          <w:szCs w:val="22"/>
        </w:rPr>
        <w:t xml:space="preserve"> clinical support. These findings reinforce the importance of integrating digital interventions within wider person-centred models of care rather than viewing them as standalone solutions.</w:t>
      </w:r>
    </w:p>
    <w:p w:rsidR="00DA31FD" w:rsidRPr="003E6D7D" w:rsidRDefault="00DA31FD" w:rsidP="00DA31FD">
      <w:pPr>
        <w:pStyle w:val="Heading3"/>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lastRenderedPageBreak/>
        <w:t>Strengths and Limitations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This review included evidence from randomised controlled trials, observational research and secondary evidence, providing a broad overview of current digital health interventions. Using multiple study designs strengthened understanding of both clinical effectiveness and patient experience.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However, several limitations should be acknowledged. Only five studies met the inclusion criteria, limiting the breadth of available evidence. The interventions differed considerably in design, duration and outcome measures, making direct comparison difficult. Restricting the review to English-language studies published between 2015 and 2025 may also have excluded relevant international evidence. As a scoping review, this study aimed to map available evidence rather than formally assess study quality or calculate intervention effectiveness.</w:t>
      </w:r>
    </w:p>
    <w:p w:rsidR="00DA31FD" w:rsidRPr="003E6D7D" w:rsidRDefault="00DA31FD" w:rsidP="00DA31FD">
      <w:pPr>
        <w:pStyle w:val="Heading3"/>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Implications for UK Health and Social Care Practice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The findings support continued investment in digital healthcare as part of NHS strategies for managing long-term conditions. Digital interventions have the potential to improve patient outcomes, increase access to care and promote self-management when integrated within existing healthcare pathways.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Healthcare professionals should adopt a person-centred approach by considering each individual's digital literacy, confidence and access to technology before recommending digital interventions. Appropriate education, technical support and </w:t>
      </w:r>
      <w:proofErr w:type="spellStart"/>
      <w:r w:rsidRPr="003E6D7D">
        <w:rPr>
          <w:rFonts w:ascii="Arial" w:hAnsi="Arial" w:cs="Arial"/>
          <w:color w:val="000000" w:themeColor="text1"/>
          <w:sz w:val="22"/>
          <w:szCs w:val="22"/>
        </w:rPr>
        <w:t>ongoing</w:t>
      </w:r>
      <w:proofErr w:type="spellEnd"/>
      <w:r w:rsidRPr="003E6D7D">
        <w:rPr>
          <w:rFonts w:ascii="Arial" w:hAnsi="Arial" w:cs="Arial"/>
          <w:color w:val="000000" w:themeColor="text1"/>
          <w:sz w:val="22"/>
          <w:szCs w:val="22"/>
        </w:rPr>
        <w:t xml:space="preserve"> professional input are essential to maximise engagement and reduce the risk of digital exclusion. Maintaining traditional face-to-face services remains important to ensure equitable access for individuals unable or unwilling to engage with digital healthcare.</w:t>
      </w:r>
    </w:p>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pict>
          <v:rect id="_x0000_i1030" style="width:0;height:1.5pt" o:hralign="center" o:hrstd="t" o:hr="t" fillcolor="#a0a0a0" stroked="f"/>
        </w:pict>
      </w:r>
    </w:p>
    <w:p w:rsidR="00DA31FD" w:rsidRPr="003E6D7D" w:rsidRDefault="00DA31FD" w:rsidP="00DA31FD">
      <w:pPr>
        <w:pStyle w:val="Heading1"/>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Conclusion</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Digital health interventions are becoming increasingly important in the management of Type 2 diabetes within the United Kingdom. This scoping review found that digital technologies can improve glycaemic control, enhance self-management and increase patient engagement, supporting the growing role of technology within NHS diabetes services. Interventions such as </w:t>
      </w:r>
      <w:proofErr w:type="spellStart"/>
      <w:r w:rsidRPr="003E6D7D">
        <w:rPr>
          <w:rFonts w:ascii="Arial" w:hAnsi="Arial" w:cs="Arial"/>
          <w:color w:val="000000" w:themeColor="text1"/>
          <w:sz w:val="22"/>
          <w:szCs w:val="22"/>
        </w:rPr>
        <w:t>telemonitoring</w:t>
      </w:r>
      <w:proofErr w:type="spellEnd"/>
      <w:r w:rsidRPr="003E6D7D">
        <w:rPr>
          <w:rFonts w:ascii="Arial" w:hAnsi="Arial" w:cs="Arial"/>
          <w:color w:val="000000" w:themeColor="text1"/>
          <w:sz w:val="22"/>
          <w:szCs w:val="22"/>
        </w:rPr>
        <w:t xml:space="preserve">, online education programmes and wearable devices </w:t>
      </w:r>
      <w:r w:rsidRPr="003E6D7D">
        <w:rPr>
          <w:rFonts w:ascii="Arial" w:hAnsi="Arial" w:cs="Arial"/>
          <w:color w:val="000000" w:themeColor="text1"/>
          <w:sz w:val="22"/>
          <w:szCs w:val="22"/>
        </w:rPr>
        <w:lastRenderedPageBreak/>
        <w:t>offer flexible approaches that complement traditional models of care and may improve access for many patients.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However, digital health is not without challenges. Digital literacy, unequal access to technology and declining long-term engagement remain significant barriers that must be addressed to ensure equitable implementation. The evidence suggests that digital interventions are most effective when combined with </w:t>
      </w:r>
      <w:proofErr w:type="spellStart"/>
      <w:r w:rsidRPr="003E6D7D">
        <w:rPr>
          <w:rFonts w:ascii="Arial" w:hAnsi="Arial" w:cs="Arial"/>
          <w:color w:val="000000" w:themeColor="text1"/>
          <w:sz w:val="22"/>
          <w:szCs w:val="22"/>
        </w:rPr>
        <w:t>ongoing</w:t>
      </w:r>
      <w:proofErr w:type="spellEnd"/>
      <w:r w:rsidRPr="003E6D7D">
        <w:rPr>
          <w:rFonts w:ascii="Arial" w:hAnsi="Arial" w:cs="Arial"/>
          <w:color w:val="000000" w:themeColor="text1"/>
          <w:sz w:val="22"/>
          <w:szCs w:val="22"/>
        </w:rPr>
        <w:t xml:space="preserve"> support from healthcare professionals rather than replacing conventional care.</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Overall, digital health represents a valuable addition to diabetes management, but successful implementation depends on integrating technology within person-centred healthcare that recognises the diverse needs and capabilities of individuals living with Type 2 diabetes.</w:t>
      </w:r>
    </w:p>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pict>
          <v:rect id="_x0000_i1031" style="width:0;height:1.5pt" o:hralign="center" o:hrstd="t" o:hr="t" fillcolor="#a0a0a0" stroked="f"/>
        </w:pict>
      </w:r>
    </w:p>
    <w:p w:rsidR="00DA31FD" w:rsidRPr="003E6D7D" w:rsidRDefault="00DA31FD" w:rsidP="00DA31FD">
      <w:pPr>
        <w:pStyle w:val="Heading1"/>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Recommendations</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Based on the findings of this review, the following recommendations are proposed:</w:t>
      </w:r>
    </w:p>
    <w:p w:rsidR="00DA31FD" w:rsidRPr="003E6D7D" w:rsidRDefault="00DA31FD" w:rsidP="00DA31FD">
      <w:pPr>
        <w:pStyle w:val="NormalWeb"/>
        <w:numPr>
          <w:ilvl w:val="0"/>
          <w:numId w:val="21"/>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Expand evidence-based digital diabetes services across the NHS while maintaining equitable access to face-to-face care.</w:t>
      </w:r>
    </w:p>
    <w:p w:rsidR="00DA31FD" w:rsidRPr="003E6D7D" w:rsidRDefault="00DA31FD" w:rsidP="00DA31FD">
      <w:pPr>
        <w:pStyle w:val="NormalWeb"/>
        <w:numPr>
          <w:ilvl w:val="0"/>
          <w:numId w:val="21"/>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Provide digital literacy training and technical support for patients who require assistance using digital technologies.</w:t>
      </w:r>
    </w:p>
    <w:p w:rsidR="00DA31FD" w:rsidRPr="003E6D7D" w:rsidRDefault="00DA31FD" w:rsidP="00DA31FD">
      <w:pPr>
        <w:pStyle w:val="NormalWeb"/>
        <w:numPr>
          <w:ilvl w:val="0"/>
          <w:numId w:val="21"/>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Encourage healthcare professionals to combine digital interventions with regular clinical review and personalised feedback.</w:t>
      </w:r>
    </w:p>
    <w:p w:rsidR="00DA31FD" w:rsidRPr="003E6D7D" w:rsidRDefault="00DA31FD" w:rsidP="00DA31FD">
      <w:pPr>
        <w:pStyle w:val="NormalWeb"/>
        <w:numPr>
          <w:ilvl w:val="0"/>
          <w:numId w:val="21"/>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Improve access to digital devices and internet services for disadvantaged populations to reduce health inequalities.</w:t>
      </w:r>
    </w:p>
    <w:p w:rsidR="00DA31FD" w:rsidRPr="003E6D7D" w:rsidRDefault="00DA31FD" w:rsidP="00DA31FD">
      <w:pPr>
        <w:pStyle w:val="NormalWeb"/>
        <w:numPr>
          <w:ilvl w:val="0"/>
          <w:numId w:val="21"/>
        </w:numPr>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Conduct further UK-based longitudinal research examining the long-term effectiveness, cost-effectiveness and patient acceptability of digital health interventions.</w:t>
      </w:r>
    </w:p>
    <w:p w:rsidR="00DA31FD" w:rsidRPr="003E6D7D" w:rsidRDefault="00DA31FD" w:rsidP="00DA31FD">
      <w:pPr>
        <w:spacing w:line="360" w:lineRule="auto"/>
        <w:jc w:val="both"/>
        <w:rPr>
          <w:rFonts w:ascii="Arial" w:hAnsi="Arial" w:cs="Arial"/>
          <w:color w:val="000000" w:themeColor="text1"/>
        </w:rPr>
      </w:pPr>
      <w:r w:rsidRPr="003E6D7D">
        <w:rPr>
          <w:rFonts w:ascii="Arial" w:hAnsi="Arial" w:cs="Arial"/>
          <w:color w:val="000000" w:themeColor="text1"/>
        </w:rPr>
        <w:pict>
          <v:rect id="_x0000_i1032" style="width:0;height:1.5pt" o:hralign="center" o:hrstd="t" o:hr="t" fillcolor="#a0a0a0" stroked="f"/>
        </w:pict>
      </w:r>
    </w:p>
    <w:p w:rsidR="00DA31FD" w:rsidRPr="003E6D7D" w:rsidRDefault="00DA31FD" w:rsidP="00DA31FD">
      <w:pPr>
        <w:pStyle w:val="Heading2"/>
        <w:spacing w:line="360" w:lineRule="auto"/>
        <w:jc w:val="both"/>
        <w:rPr>
          <w:rFonts w:ascii="Arial" w:hAnsi="Arial" w:cs="Arial"/>
          <w:b w:val="0"/>
          <w:color w:val="000000" w:themeColor="text1"/>
          <w:sz w:val="22"/>
          <w:szCs w:val="22"/>
        </w:rPr>
      </w:pPr>
      <w:r w:rsidRPr="003E6D7D">
        <w:rPr>
          <w:rFonts w:ascii="Arial" w:hAnsi="Arial" w:cs="Arial"/>
          <w:b w:val="0"/>
          <w:color w:val="000000" w:themeColor="text1"/>
          <w:sz w:val="22"/>
          <w:szCs w:val="22"/>
        </w:rPr>
        <w:t>Reference List (Harvard)</w:t>
      </w:r>
    </w:p>
    <w:p w:rsidR="00DA31FD" w:rsidRPr="003E6D7D" w:rsidRDefault="00DA31FD" w:rsidP="00DA31FD">
      <w:pPr>
        <w:pStyle w:val="NormalWeb"/>
        <w:spacing w:line="360" w:lineRule="auto"/>
        <w:jc w:val="both"/>
        <w:rPr>
          <w:rFonts w:ascii="Arial" w:hAnsi="Arial" w:cs="Arial"/>
          <w:color w:val="000000" w:themeColor="text1"/>
          <w:sz w:val="22"/>
          <w:szCs w:val="22"/>
        </w:rPr>
      </w:pPr>
      <w:proofErr w:type="spellStart"/>
      <w:r w:rsidRPr="003E6D7D">
        <w:rPr>
          <w:rFonts w:ascii="Arial" w:hAnsi="Arial" w:cs="Arial"/>
          <w:color w:val="000000" w:themeColor="text1"/>
          <w:sz w:val="22"/>
          <w:szCs w:val="22"/>
        </w:rPr>
        <w:t>Arksey</w:t>
      </w:r>
      <w:proofErr w:type="spellEnd"/>
      <w:r w:rsidRPr="003E6D7D">
        <w:rPr>
          <w:rFonts w:ascii="Arial" w:hAnsi="Arial" w:cs="Arial"/>
          <w:color w:val="000000" w:themeColor="text1"/>
          <w:sz w:val="22"/>
          <w:szCs w:val="22"/>
        </w:rPr>
        <w:t xml:space="preserve">, H. and O'Malley, L. (2005) 'Scoping studies: Towards a methodological framework', </w:t>
      </w:r>
      <w:r w:rsidRPr="003E6D7D">
        <w:rPr>
          <w:rStyle w:val="Emphasis"/>
          <w:rFonts w:ascii="Arial" w:hAnsi="Arial" w:cs="Arial"/>
          <w:color w:val="000000" w:themeColor="text1"/>
          <w:sz w:val="22"/>
          <w:szCs w:val="22"/>
        </w:rPr>
        <w:t>International Journal of Social Research Methodology</w:t>
      </w:r>
      <w:r w:rsidRPr="003E6D7D">
        <w:rPr>
          <w:rFonts w:ascii="Arial" w:hAnsi="Arial" w:cs="Arial"/>
          <w:color w:val="000000" w:themeColor="text1"/>
          <w:sz w:val="22"/>
          <w:szCs w:val="22"/>
        </w:rPr>
        <w:t>, 8(1), pp. 19–32.</w:t>
      </w:r>
    </w:p>
    <w:p w:rsidR="00DA31FD" w:rsidRPr="003E6D7D" w:rsidRDefault="00DA31FD" w:rsidP="00DA31FD">
      <w:pPr>
        <w:pStyle w:val="NormalWeb"/>
        <w:spacing w:line="360" w:lineRule="auto"/>
        <w:jc w:val="both"/>
        <w:rPr>
          <w:rFonts w:ascii="Arial" w:hAnsi="Arial" w:cs="Arial"/>
          <w:color w:val="000000" w:themeColor="text1"/>
          <w:sz w:val="22"/>
          <w:szCs w:val="22"/>
        </w:rPr>
      </w:pPr>
      <w:proofErr w:type="gramStart"/>
      <w:r w:rsidRPr="003E6D7D">
        <w:rPr>
          <w:rFonts w:ascii="Arial" w:hAnsi="Arial" w:cs="Arial"/>
          <w:color w:val="000000" w:themeColor="text1"/>
          <w:sz w:val="22"/>
          <w:szCs w:val="22"/>
        </w:rPr>
        <w:lastRenderedPageBreak/>
        <w:t xml:space="preserve">Diabetes UK (2024) </w:t>
      </w:r>
      <w:r w:rsidRPr="003E6D7D">
        <w:rPr>
          <w:rStyle w:val="Emphasis"/>
          <w:rFonts w:ascii="Arial" w:hAnsi="Arial" w:cs="Arial"/>
          <w:color w:val="000000" w:themeColor="text1"/>
          <w:sz w:val="22"/>
          <w:szCs w:val="22"/>
        </w:rPr>
        <w:t>Diabetes prevalence 2024</w:t>
      </w:r>
      <w:r w:rsidRPr="003E6D7D">
        <w:rPr>
          <w:rFonts w:ascii="Arial" w:hAnsi="Arial" w:cs="Arial"/>
          <w:color w:val="000000" w:themeColor="text1"/>
          <w:sz w:val="22"/>
          <w:szCs w:val="22"/>
        </w:rPr>
        <w:t>.</w:t>
      </w:r>
      <w:proofErr w:type="gramEnd"/>
      <w:r w:rsidRPr="003E6D7D">
        <w:rPr>
          <w:rFonts w:ascii="Arial" w:hAnsi="Arial" w:cs="Arial"/>
          <w:color w:val="000000" w:themeColor="text1"/>
          <w:sz w:val="22"/>
          <w:szCs w:val="22"/>
        </w:rPr>
        <w:t xml:space="preserve"> London: Diabetes UK. Available at: </w:t>
      </w:r>
      <w:hyperlink r:id="rId9" w:tgtFrame="_new" w:history="1">
        <w:r w:rsidRPr="003E6D7D">
          <w:rPr>
            <w:rStyle w:val="Hyperlink"/>
            <w:rFonts w:ascii="Arial" w:eastAsiaTheme="majorEastAsia" w:hAnsi="Arial" w:cs="Arial"/>
            <w:color w:val="000000" w:themeColor="text1"/>
            <w:sz w:val="22"/>
            <w:szCs w:val="22"/>
          </w:rPr>
          <w:t>https://www.diabetes.org.uk</w:t>
        </w:r>
      </w:hyperlink>
      <w:r w:rsidRPr="003E6D7D">
        <w:rPr>
          <w:rFonts w:ascii="Arial" w:hAnsi="Arial" w:cs="Arial"/>
          <w:color w:val="000000" w:themeColor="text1"/>
          <w:sz w:val="22"/>
          <w:szCs w:val="22"/>
        </w:rPr>
        <w:t xml:space="preserve"> (Accessed: 20 July 2026).</w:t>
      </w:r>
    </w:p>
    <w:p w:rsidR="00DA31FD" w:rsidRPr="003E6D7D" w:rsidRDefault="00DA31FD" w:rsidP="00DA31FD">
      <w:pPr>
        <w:pStyle w:val="NormalWeb"/>
        <w:spacing w:line="360" w:lineRule="auto"/>
        <w:jc w:val="both"/>
        <w:rPr>
          <w:rFonts w:ascii="Arial" w:hAnsi="Arial" w:cs="Arial"/>
          <w:color w:val="000000" w:themeColor="text1"/>
          <w:sz w:val="22"/>
          <w:szCs w:val="22"/>
        </w:rPr>
      </w:pPr>
      <w:proofErr w:type="gramStart"/>
      <w:r w:rsidRPr="003E6D7D">
        <w:rPr>
          <w:rFonts w:ascii="Arial" w:hAnsi="Arial" w:cs="Arial"/>
          <w:color w:val="000000" w:themeColor="text1"/>
          <w:sz w:val="22"/>
          <w:szCs w:val="22"/>
        </w:rPr>
        <w:t xml:space="preserve">International Diabetes Federation (2025) </w:t>
      </w:r>
      <w:r w:rsidRPr="003E6D7D">
        <w:rPr>
          <w:rStyle w:val="Emphasis"/>
          <w:rFonts w:ascii="Arial" w:hAnsi="Arial" w:cs="Arial"/>
          <w:color w:val="000000" w:themeColor="text1"/>
          <w:sz w:val="22"/>
          <w:szCs w:val="22"/>
        </w:rPr>
        <w:t>IDF Diabetes Atlas</w:t>
      </w:r>
      <w:r w:rsidRPr="003E6D7D">
        <w:rPr>
          <w:rFonts w:ascii="Arial" w:hAnsi="Arial" w:cs="Arial"/>
          <w:color w:val="000000" w:themeColor="text1"/>
          <w:sz w:val="22"/>
          <w:szCs w:val="22"/>
        </w:rPr>
        <w:t>.</w:t>
      </w:r>
      <w:proofErr w:type="gramEnd"/>
      <w:r w:rsidRPr="003E6D7D">
        <w:rPr>
          <w:rFonts w:ascii="Arial" w:hAnsi="Arial" w:cs="Arial"/>
          <w:color w:val="000000" w:themeColor="text1"/>
          <w:sz w:val="22"/>
          <w:szCs w:val="22"/>
        </w:rPr>
        <w:t xml:space="preserve"> </w:t>
      </w:r>
      <w:proofErr w:type="gramStart"/>
      <w:r w:rsidRPr="003E6D7D">
        <w:rPr>
          <w:rFonts w:ascii="Arial" w:hAnsi="Arial" w:cs="Arial"/>
          <w:color w:val="000000" w:themeColor="text1"/>
          <w:sz w:val="22"/>
          <w:szCs w:val="22"/>
        </w:rPr>
        <w:t xml:space="preserve">11th </w:t>
      </w:r>
      <w:proofErr w:type="spellStart"/>
      <w:r w:rsidRPr="003E6D7D">
        <w:rPr>
          <w:rFonts w:ascii="Arial" w:hAnsi="Arial" w:cs="Arial"/>
          <w:color w:val="000000" w:themeColor="text1"/>
          <w:sz w:val="22"/>
          <w:szCs w:val="22"/>
        </w:rPr>
        <w:t>edn</w:t>
      </w:r>
      <w:proofErr w:type="spellEnd"/>
      <w:r w:rsidRPr="003E6D7D">
        <w:rPr>
          <w:rFonts w:ascii="Arial" w:hAnsi="Arial" w:cs="Arial"/>
          <w:color w:val="000000" w:themeColor="text1"/>
          <w:sz w:val="22"/>
          <w:szCs w:val="22"/>
        </w:rPr>
        <w:t>.</w:t>
      </w:r>
      <w:proofErr w:type="gramEnd"/>
      <w:r w:rsidRPr="003E6D7D">
        <w:rPr>
          <w:rFonts w:ascii="Arial" w:hAnsi="Arial" w:cs="Arial"/>
          <w:color w:val="000000" w:themeColor="text1"/>
          <w:sz w:val="22"/>
          <w:szCs w:val="22"/>
        </w:rPr>
        <w:t xml:space="preserve"> Brussels: International Diabetes Federation.</w:t>
      </w:r>
    </w:p>
    <w:p w:rsidR="00DA31FD" w:rsidRPr="003E6D7D" w:rsidRDefault="00DA31FD" w:rsidP="00DA31FD">
      <w:pPr>
        <w:pStyle w:val="NormalWeb"/>
        <w:spacing w:line="360" w:lineRule="auto"/>
        <w:jc w:val="both"/>
        <w:rPr>
          <w:rFonts w:ascii="Arial" w:hAnsi="Arial" w:cs="Arial"/>
          <w:color w:val="000000" w:themeColor="text1"/>
          <w:sz w:val="22"/>
          <w:szCs w:val="22"/>
        </w:rPr>
      </w:pPr>
      <w:proofErr w:type="gramStart"/>
      <w:r w:rsidRPr="003E6D7D">
        <w:rPr>
          <w:rFonts w:ascii="Arial" w:hAnsi="Arial" w:cs="Arial"/>
          <w:color w:val="000000" w:themeColor="text1"/>
          <w:sz w:val="22"/>
          <w:szCs w:val="22"/>
        </w:rPr>
        <w:t xml:space="preserve">Joanna Briggs Institute (2024) </w:t>
      </w:r>
      <w:r w:rsidRPr="003E6D7D">
        <w:rPr>
          <w:rStyle w:val="Emphasis"/>
          <w:rFonts w:ascii="Arial" w:hAnsi="Arial" w:cs="Arial"/>
          <w:color w:val="000000" w:themeColor="text1"/>
          <w:sz w:val="22"/>
          <w:szCs w:val="22"/>
        </w:rPr>
        <w:t>JBI Manual for Evidence Synthesis</w:t>
      </w:r>
      <w:r w:rsidRPr="003E6D7D">
        <w:rPr>
          <w:rFonts w:ascii="Arial" w:hAnsi="Arial" w:cs="Arial"/>
          <w:color w:val="000000" w:themeColor="text1"/>
          <w:sz w:val="22"/>
          <w:szCs w:val="22"/>
        </w:rPr>
        <w:t>.</w:t>
      </w:r>
      <w:proofErr w:type="gramEnd"/>
      <w:r w:rsidRPr="003E6D7D">
        <w:rPr>
          <w:rFonts w:ascii="Arial" w:hAnsi="Arial" w:cs="Arial"/>
          <w:color w:val="000000" w:themeColor="text1"/>
          <w:sz w:val="22"/>
          <w:szCs w:val="22"/>
        </w:rPr>
        <w:t xml:space="preserve"> Adelaide: Joanna Briggs Institute. Available at: </w:t>
      </w:r>
      <w:hyperlink r:id="rId10" w:tgtFrame="_new" w:history="1">
        <w:r w:rsidRPr="003E6D7D">
          <w:rPr>
            <w:rStyle w:val="Hyperlink"/>
            <w:rFonts w:ascii="Arial" w:eastAsiaTheme="majorEastAsia" w:hAnsi="Arial" w:cs="Arial"/>
            <w:color w:val="000000" w:themeColor="text1"/>
            <w:sz w:val="22"/>
            <w:szCs w:val="22"/>
          </w:rPr>
          <w:t>https://jbi-global-wiki.refined.site/space/MANUAL</w:t>
        </w:r>
      </w:hyperlink>
      <w:r w:rsidRPr="003E6D7D">
        <w:rPr>
          <w:rFonts w:ascii="Arial" w:hAnsi="Arial" w:cs="Arial"/>
          <w:color w:val="000000" w:themeColor="text1"/>
          <w:sz w:val="22"/>
          <w:szCs w:val="22"/>
        </w:rPr>
        <w:t xml:space="preserve"> (Accessed: 20 July 2026).</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Murray, E., Sweeting, M., </w:t>
      </w:r>
      <w:proofErr w:type="spellStart"/>
      <w:r w:rsidRPr="003E6D7D">
        <w:rPr>
          <w:rFonts w:ascii="Arial" w:hAnsi="Arial" w:cs="Arial"/>
          <w:color w:val="000000" w:themeColor="text1"/>
          <w:sz w:val="22"/>
          <w:szCs w:val="22"/>
        </w:rPr>
        <w:t>Dack</w:t>
      </w:r>
      <w:proofErr w:type="spellEnd"/>
      <w:r w:rsidRPr="003E6D7D">
        <w:rPr>
          <w:rFonts w:ascii="Arial" w:hAnsi="Arial" w:cs="Arial"/>
          <w:color w:val="000000" w:themeColor="text1"/>
          <w:sz w:val="22"/>
          <w:szCs w:val="22"/>
        </w:rPr>
        <w:t>, C., et al. (2017) 'Web-based self-management support for people with type 2 diabetes (</w:t>
      </w:r>
      <w:proofErr w:type="spellStart"/>
      <w:r w:rsidRPr="003E6D7D">
        <w:rPr>
          <w:rFonts w:ascii="Arial" w:hAnsi="Arial" w:cs="Arial"/>
          <w:color w:val="000000" w:themeColor="text1"/>
          <w:sz w:val="22"/>
          <w:szCs w:val="22"/>
        </w:rPr>
        <w:t>HeLP</w:t>
      </w:r>
      <w:proofErr w:type="spellEnd"/>
      <w:r w:rsidRPr="003E6D7D">
        <w:rPr>
          <w:rFonts w:ascii="Arial" w:hAnsi="Arial" w:cs="Arial"/>
          <w:color w:val="000000" w:themeColor="text1"/>
          <w:sz w:val="22"/>
          <w:szCs w:val="22"/>
        </w:rPr>
        <w:t xml:space="preserve">-Diabetes): A randomised controlled trial', </w:t>
      </w:r>
      <w:r w:rsidRPr="003E6D7D">
        <w:rPr>
          <w:rStyle w:val="Emphasis"/>
          <w:rFonts w:ascii="Arial" w:hAnsi="Arial" w:cs="Arial"/>
          <w:color w:val="000000" w:themeColor="text1"/>
          <w:sz w:val="22"/>
          <w:szCs w:val="22"/>
        </w:rPr>
        <w:t>Journal of Medical Internet Research</w:t>
      </w:r>
      <w:r w:rsidRPr="003E6D7D">
        <w:rPr>
          <w:rFonts w:ascii="Arial" w:hAnsi="Arial" w:cs="Arial"/>
          <w:color w:val="000000" w:themeColor="text1"/>
          <w:sz w:val="22"/>
          <w:szCs w:val="22"/>
        </w:rPr>
        <w:t>, 19(4), e102.</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National Institute for Health and Care Excellence (2022) </w:t>
      </w:r>
      <w:r w:rsidRPr="003E6D7D">
        <w:rPr>
          <w:rStyle w:val="Emphasis"/>
          <w:rFonts w:ascii="Arial" w:hAnsi="Arial" w:cs="Arial"/>
          <w:color w:val="000000" w:themeColor="text1"/>
          <w:sz w:val="22"/>
          <w:szCs w:val="22"/>
        </w:rPr>
        <w:t>Type 2 diabetes in adults: management (NG28)</w:t>
      </w:r>
      <w:r w:rsidRPr="003E6D7D">
        <w:rPr>
          <w:rFonts w:ascii="Arial" w:hAnsi="Arial" w:cs="Arial"/>
          <w:color w:val="000000" w:themeColor="text1"/>
          <w:sz w:val="22"/>
          <w:szCs w:val="22"/>
        </w:rPr>
        <w:t xml:space="preserve">. London: NICE. Available at: </w:t>
      </w:r>
      <w:hyperlink r:id="rId11" w:tgtFrame="_new" w:history="1">
        <w:r w:rsidRPr="003E6D7D">
          <w:rPr>
            <w:rStyle w:val="Hyperlink"/>
            <w:rFonts w:ascii="Arial" w:eastAsiaTheme="majorEastAsia" w:hAnsi="Arial" w:cs="Arial"/>
            <w:color w:val="000000" w:themeColor="text1"/>
            <w:sz w:val="22"/>
            <w:szCs w:val="22"/>
          </w:rPr>
          <w:t>https://www.nice.org.uk/guidance/ng28</w:t>
        </w:r>
      </w:hyperlink>
      <w:r w:rsidRPr="003E6D7D">
        <w:rPr>
          <w:rFonts w:ascii="Arial" w:hAnsi="Arial" w:cs="Arial"/>
          <w:color w:val="000000" w:themeColor="text1"/>
          <w:sz w:val="22"/>
          <w:szCs w:val="22"/>
        </w:rPr>
        <w:t xml:space="preserve"> (Accessed: 20 July 2026).</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NHS England (2019) </w:t>
      </w:r>
      <w:r w:rsidRPr="003E6D7D">
        <w:rPr>
          <w:rStyle w:val="Emphasis"/>
          <w:rFonts w:ascii="Arial" w:hAnsi="Arial" w:cs="Arial"/>
          <w:color w:val="000000" w:themeColor="text1"/>
          <w:sz w:val="22"/>
          <w:szCs w:val="22"/>
        </w:rPr>
        <w:t>The NHS Long Term Plan</w:t>
      </w:r>
      <w:r w:rsidRPr="003E6D7D">
        <w:rPr>
          <w:rFonts w:ascii="Arial" w:hAnsi="Arial" w:cs="Arial"/>
          <w:color w:val="000000" w:themeColor="text1"/>
          <w:sz w:val="22"/>
          <w:szCs w:val="22"/>
        </w:rPr>
        <w:t xml:space="preserve">. London: NHS England. Available at: </w:t>
      </w:r>
      <w:hyperlink r:id="rId12" w:tgtFrame="_new" w:history="1">
        <w:r w:rsidRPr="003E6D7D">
          <w:rPr>
            <w:rStyle w:val="Hyperlink"/>
            <w:rFonts w:ascii="Arial" w:eastAsiaTheme="majorEastAsia" w:hAnsi="Arial" w:cs="Arial"/>
            <w:color w:val="000000" w:themeColor="text1"/>
            <w:sz w:val="22"/>
            <w:szCs w:val="22"/>
          </w:rPr>
          <w:t>https://www.longtermplan.nhs.uk</w:t>
        </w:r>
      </w:hyperlink>
      <w:r w:rsidRPr="003E6D7D">
        <w:rPr>
          <w:rFonts w:ascii="Arial" w:hAnsi="Arial" w:cs="Arial"/>
          <w:color w:val="000000" w:themeColor="text1"/>
          <w:sz w:val="22"/>
          <w:szCs w:val="22"/>
        </w:rPr>
        <w:t xml:space="preserve"> (Accessed: 20 July 2026).</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Page, M.J., </w:t>
      </w:r>
      <w:proofErr w:type="spellStart"/>
      <w:r w:rsidRPr="003E6D7D">
        <w:rPr>
          <w:rFonts w:ascii="Arial" w:hAnsi="Arial" w:cs="Arial"/>
          <w:color w:val="000000" w:themeColor="text1"/>
          <w:sz w:val="22"/>
          <w:szCs w:val="22"/>
        </w:rPr>
        <w:t>Moher</w:t>
      </w:r>
      <w:proofErr w:type="spellEnd"/>
      <w:r w:rsidRPr="003E6D7D">
        <w:rPr>
          <w:rFonts w:ascii="Arial" w:hAnsi="Arial" w:cs="Arial"/>
          <w:color w:val="000000" w:themeColor="text1"/>
          <w:sz w:val="22"/>
          <w:szCs w:val="22"/>
        </w:rPr>
        <w:t xml:space="preserve">, D., </w:t>
      </w:r>
      <w:proofErr w:type="spellStart"/>
      <w:r w:rsidRPr="003E6D7D">
        <w:rPr>
          <w:rFonts w:ascii="Arial" w:hAnsi="Arial" w:cs="Arial"/>
          <w:color w:val="000000" w:themeColor="text1"/>
          <w:sz w:val="22"/>
          <w:szCs w:val="22"/>
        </w:rPr>
        <w:t>Bossuyt</w:t>
      </w:r>
      <w:proofErr w:type="spellEnd"/>
      <w:r w:rsidRPr="003E6D7D">
        <w:rPr>
          <w:rFonts w:ascii="Arial" w:hAnsi="Arial" w:cs="Arial"/>
          <w:color w:val="000000" w:themeColor="text1"/>
          <w:sz w:val="22"/>
          <w:szCs w:val="22"/>
        </w:rPr>
        <w:t xml:space="preserve">, P.M., et al. (2021) 'PRISMA 2020 statement: An updated guideline for reporting systematic reviews', </w:t>
      </w:r>
      <w:r w:rsidRPr="003E6D7D">
        <w:rPr>
          <w:rStyle w:val="Emphasis"/>
          <w:rFonts w:ascii="Arial" w:hAnsi="Arial" w:cs="Arial"/>
          <w:color w:val="000000" w:themeColor="text1"/>
          <w:sz w:val="22"/>
          <w:szCs w:val="22"/>
        </w:rPr>
        <w:t>BMJ</w:t>
      </w:r>
      <w:r w:rsidRPr="003E6D7D">
        <w:rPr>
          <w:rFonts w:ascii="Arial" w:hAnsi="Arial" w:cs="Arial"/>
          <w:color w:val="000000" w:themeColor="text1"/>
          <w:sz w:val="22"/>
          <w:szCs w:val="22"/>
        </w:rPr>
        <w:t>, 372, n71.</w:t>
      </w:r>
    </w:p>
    <w:p w:rsidR="00DA31FD" w:rsidRPr="003E6D7D" w:rsidRDefault="00DA31FD" w:rsidP="00DA31FD">
      <w:pPr>
        <w:pStyle w:val="NormalWeb"/>
        <w:spacing w:line="360" w:lineRule="auto"/>
        <w:jc w:val="both"/>
        <w:rPr>
          <w:rFonts w:ascii="Arial" w:hAnsi="Arial" w:cs="Arial"/>
          <w:color w:val="000000" w:themeColor="text1"/>
          <w:sz w:val="22"/>
          <w:szCs w:val="22"/>
        </w:rPr>
      </w:pPr>
      <w:proofErr w:type="spellStart"/>
      <w:r w:rsidRPr="003E6D7D">
        <w:rPr>
          <w:rFonts w:ascii="Arial" w:hAnsi="Arial" w:cs="Arial"/>
          <w:color w:val="000000" w:themeColor="text1"/>
          <w:sz w:val="22"/>
          <w:szCs w:val="22"/>
        </w:rPr>
        <w:t>Tricco</w:t>
      </w:r>
      <w:proofErr w:type="spellEnd"/>
      <w:r w:rsidRPr="003E6D7D">
        <w:rPr>
          <w:rFonts w:ascii="Arial" w:hAnsi="Arial" w:cs="Arial"/>
          <w:color w:val="000000" w:themeColor="text1"/>
          <w:sz w:val="22"/>
          <w:szCs w:val="22"/>
        </w:rPr>
        <w:t xml:space="preserve">, A.C., Lillie, E., </w:t>
      </w:r>
      <w:proofErr w:type="spellStart"/>
      <w:r w:rsidRPr="003E6D7D">
        <w:rPr>
          <w:rFonts w:ascii="Arial" w:hAnsi="Arial" w:cs="Arial"/>
          <w:color w:val="000000" w:themeColor="text1"/>
          <w:sz w:val="22"/>
          <w:szCs w:val="22"/>
        </w:rPr>
        <w:t>Zarin</w:t>
      </w:r>
      <w:proofErr w:type="spellEnd"/>
      <w:r w:rsidRPr="003E6D7D">
        <w:rPr>
          <w:rFonts w:ascii="Arial" w:hAnsi="Arial" w:cs="Arial"/>
          <w:color w:val="000000" w:themeColor="text1"/>
          <w:sz w:val="22"/>
          <w:szCs w:val="22"/>
        </w:rPr>
        <w:t>, W., et al. (2018) 'PRISMA Extension for Scoping Reviews (PRISMA-</w:t>
      </w:r>
      <w:proofErr w:type="spellStart"/>
      <w:r w:rsidRPr="003E6D7D">
        <w:rPr>
          <w:rFonts w:ascii="Arial" w:hAnsi="Arial" w:cs="Arial"/>
          <w:color w:val="000000" w:themeColor="text1"/>
          <w:sz w:val="22"/>
          <w:szCs w:val="22"/>
        </w:rPr>
        <w:t>ScR</w:t>
      </w:r>
      <w:proofErr w:type="spellEnd"/>
      <w:r w:rsidRPr="003E6D7D">
        <w:rPr>
          <w:rFonts w:ascii="Arial" w:hAnsi="Arial" w:cs="Arial"/>
          <w:color w:val="000000" w:themeColor="text1"/>
          <w:sz w:val="22"/>
          <w:szCs w:val="22"/>
        </w:rPr>
        <w:t xml:space="preserve">): Checklist and explanation', </w:t>
      </w:r>
      <w:r w:rsidRPr="003E6D7D">
        <w:rPr>
          <w:rStyle w:val="Emphasis"/>
          <w:rFonts w:ascii="Arial" w:hAnsi="Arial" w:cs="Arial"/>
          <w:color w:val="000000" w:themeColor="text1"/>
          <w:sz w:val="22"/>
          <w:szCs w:val="22"/>
        </w:rPr>
        <w:t>Annals of Internal Medicine</w:t>
      </w:r>
      <w:r w:rsidRPr="003E6D7D">
        <w:rPr>
          <w:rFonts w:ascii="Arial" w:hAnsi="Arial" w:cs="Arial"/>
          <w:color w:val="000000" w:themeColor="text1"/>
          <w:sz w:val="22"/>
          <w:szCs w:val="22"/>
        </w:rPr>
        <w:t>, 169(7), pp. 467–473.</w:t>
      </w:r>
    </w:p>
    <w:p w:rsidR="00DA31FD" w:rsidRPr="003E6D7D" w:rsidRDefault="00DA31FD" w:rsidP="00DA31FD">
      <w:pPr>
        <w:pStyle w:val="NormalWeb"/>
        <w:spacing w:line="360" w:lineRule="auto"/>
        <w:jc w:val="both"/>
        <w:rPr>
          <w:rFonts w:ascii="Arial" w:hAnsi="Arial" w:cs="Arial"/>
          <w:color w:val="000000" w:themeColor="text1"/>
          <w:sz w:val="22"/>
          <w:szCs w:val="22"/>
        </w:rPr>
      </w:pPr>
      <w:proofErr w:type="gramStart"/>
      <w:r w:rsidRPr="003E6D7D">
        <w:rPr>
          <w:rFonts w:ascii="Arial" w:hAnsi="Arial" w:cs="Arial"/>
          <w:color w:val="000000" w:themeColor="text1"/>
          <w:sz w:val="22"/>
          <w:szCs w:val="22"/>
        </w:rPr>
        <w:t xml:space="preserve">UK Government (2018) </w:t>
      </w:r>
      <w:r w:rsidRPr="003E6D7D">
        <w:rPr>
          <w:rStyle w:val="Emphasis"/>
          <w:rFonts w:ascii="Arial" w:hAnsi="Arial" w:cs="Arial"/>
          <w:color w:val="000000" w:themeColor="text1"/>
          <w:sz w:val="22"/>
          <w:szCs w:val="22"/>
        </w:rPr>
        <w:t>Data Protection Act 2018</w:t>
      </w:r>
      <w:r w:rsidRPr="003E6D7D">
        <w:rPr>
          <w:rFonts w:ascii="Arial" w:hAnsi="Arial" w:cs="Arial"/>
          <w:color w:val="000000" w:themeColor="text1"/>
          <w:sz w:val="22"/>
          <w:szCs w:val="22"/>
        </w:rPr>
        <w:t>.</w:t>
      </w:r>
      <w:proofErr w:type="gramEnd"/>
      <w:r w:rsidRPr="003E6D7D">
        <w:rPr>
          <w:rFonts w:ascii="Arial" w:hAnsi="Arial" w:cs="Arial"/>
          <w:color w:val="000000" w:themeColor="text1"/>
          <w:sz w:val="22"/>
          <w:szCs w:val="22"/>
        </w:rPr>
        <w:t xml:space="preserve"> London: The Stationery Office. Available at: </w:t>
      </w:r>
      <w:hyperlink r:id="rId13" w:tgtFrame="_new" w:history="1">
        <w:r w:rsidRPr="003E6D7D">
          <w:rPr>
            <w:rStyle w:val="Hyperlink"/>
            <w:rFonts w:ascii="Arial" w:eastAsiaTheme="majorEastAsia" w:hAnsi="Arial" w:cs="Arial"/>
            <w:color w:val="000000" w:themeColor="text1"/>
            <w:sz w:val="22"/>
            <w:szCs w:val="22"/>
          </w:rPr>
          <w:t>https://www.legislation.gov.uk/ukpga/2018/12/contents</w:t>
        </w:r>
      </w:hyperlink>
      <w:r w:rsidRPr="003E6D7D">
        <w:rPr>
          <w:rFonts w:ascii="Arial" w:hAnsi="Arial" w:cs="Arial"/>
          <w:color w:val="000000" w:themeColor="text1"/>
          <w:sz w:val="22"/>
          <w:szCs w:val="22"/>
        </w:rPr>
        <w:t xml:space="preserve"> (Accessed: 20 July 2026).</w:t>
      </w:r>
    </w:p>
    <w:p w:rsidR="00DA31FD" w:rsidRPr="003E6D7D" w:rsidRDefault="00DA31FD" w:rsidP="00DA31FD">
      <w:pPr>
        <w:pStyle w:val="NormalWeb"/>
        <w:spacing w:line="360" w:lineRule="auto"/>
        <w:jc w:val="both"/>
        <w:rPr>
          <w:rFonts w:ascii="Arial" w:hAnsi="Arial" w:cs="Arial"/>
          <w:color w:val="000000" w:themeColor="text1"/>
          <w:sz w:val="22"/>
          <w:szCs w:val="22"/>
        </w:rPr>
      </w:pPr>
      <w:proofErr w:type="gramStart"/>
      <w:r w:rsidRPr="003E6D7D">
        <w:rPr>
          <w:rFonts w:ascii="Arial" w:hAnsi="Arial" w:cs="Arial"/>
          <w:color w:val="000000" w:themeColor="text1"/>
          <w:sz w:val="22"/>
          <w:szCs w:val="22"/>
        </w:rPr>
        <w:t xml:space="preserve">UK Government (2021) </w:t>
      </w:r>
      <w:r w:rsidRPr="003E6D7D">
        <w:rPr>
          <w:rStyle w:val="Emphasis"/>
          <w:rFonts w:ascii="Arial" w:hAnsi="Arial" w:cs="Arial"/>
          <w:color w:val="000000" w:themeColor="text1"/>
          <w:sz w:val="22"/>
          <w:szCs w:val="22"/>
        </w:rPr>
        <w:t>UK General Data Protection Regulation (UK GDPR)</w:t>
      </w:r>
      <w:r w:rsidRPr="003E6D7D">
        <w:rPr>
          <w:rFonts w:ascii="Arial" w:hAnsi="Arial" w:cs="Arial"/>
          <w:color w:val="000000" w:themeColor="text1"/>
          <w:sz w:val="22"/>
          <w:szCs w:val="22"/>
        </w:rPr>
        <w:t>.</w:t>
      </w:r>
      <w:proofErr w:type="gramEnd"/>
      <w:r w:rsidRPr="003E6D7D">
        <w:rPr>
          <w:rFonts w:ascii="Arial" w:hAnsi="Arial" w:cs="Arial"/>
          <w:color w:val="000000" w:themeColor="text1"/>
          <w:sz w:val="22"/>
          <w:szCs w:val="22"/>
        </w:rPr>
        <w:t xml:space="preserve"> Available at: </w:t>
      </w:r>
      <w:hyperlink r:id="rId14" w:tgtFrame="_new" w:history="1">
        <w:r w:rsidRPr="003E6D7D">
          <w:rPr>
            <w:rStyle w:val="Hyperlink"/>
            <w:rFonts w:ascii="Arial" w:eastAsiaTheme="majorEastAsia" w:hAnsi="Arial" w:cs="Arial"/>
            <w:color w:val="000000" w:themeColor="text1"/>
            <w:sz w:val="22"/>
            <w:szCs w:val="22"/>
          </w:rPr>
          <w:t>https://www.legislation.gov.uk</w:t>
        </w:r>
      </w:hyperlink>
      <w:r w:rsidRPr="003E6D7D">
        <w:rPr>
          <w:rFonts w:ascii="Arial" w:hAnsi="Arial" w:cs="Arial"/>
          <w:color w:val="000000" w:themeColor="text1"/>
          <w:sz w:val="22"/>
          <w:szCs w:val="22"/>
        </w:rPr>
        <w:t xml:space="preserve"> (Accessed: 20 July 2026).</w:t>
      </w:r>
    </w:p>
    <w:p w:rsidR="00DA31FD" w:rsidRPr="003E6D7D" w:rsidRDefault="00DA31FD" w:rsidP="00DA31FD">
      <w:pPr>
        <w:pStyle w:val="NormalWeb"/>
        <w:spacing w:line="360" w:lineRule="auto"/>
        <w:jc w:val="both"/>
        <w:rPr>
          <w:rFonts w:ascii="Arial" w:hAnsi="Arial" w:cs="Arial"/>
          <w:color w:val="000000" w:themeColor="text1"/>
          <w:sz w:val="22"/>
          <w:szCs w:val="22"/>
        </w:rPr>
      </w:pPr>
      <w:r w:rsidRPr="003E6D7D">
        <w:rPr>
          <w:rFonts w:ascii="Arial" w:hAnsi="Arial" w:cs="Arial"/>
          <w:color w:val="000000" w:themeColor="text1"/>
          <w:sz w:val="22"/>
          <w:szCs w:val="22"/>
        </w:rPr>
        <w:t xml:space="preserve">Wild, S.H., Hanley, J., Lewis, S.C., et al. (2016) 'Supported </w:t>
      </w:r>
      <w:proofErr w:type="spellStart"/>
      <w:r w:rsidRPr="003E6D7D">
        <w:rPr>
          <w:rFonts w:ascii="Arial" w:hAnsi="Arial" w:cs="Arial"/>
          <w:color w:val="000000" w:themeColor="text1"/>
          <w:sz w:val="22"/>
          <w:szCs w:val="22"/>
        </w:rPr>
        <w:t>telemonitoring</w:t>
      </w:r>
      <w:proofErr w:type="spellEnd"/>
      <w:r w:rsidRPr="003E6D7D">
        <w:rPr>
          <w:rFonts w:ascii="Arial" w:hAnsi="Arial" w:cs="Arial"/>
          <w:color w:val="000000" w:themeColor="text1"/>
          <w:sz w:val="22"/>
          <w:szCs w:val="22"/>
        </w:rPr>
        <w:t xml:space="preserve"> and glycaemic control in people with Type 2 diabetes: The </w:t>
      </w:r>
      <w:proofErr w:type="spellStart"/>
      <w:r w:rsidRPr="003E6D7D">
        <w:rPr>
          <w:rFonts w:ascii="Arial" w:hAnsi="Arial" w:cs="Arial"/>
          <w:color w:val="000000" w:themeColor="text1"/>
          <w:sz w:val="22"/>
          <w:szCs w:val="22"/>
        </w:rPr>
        <w:t>Telescot</w:t>
      </w:r>
      <w:proofErr w:type="spellEnd"/>
      <w:r w:rsidRPr="003E6D7D">
        <w:rPr>
          <w:rFonts w:ascii="Arial" w:hAnsi="Arial" w:cs="Arial"/>
          <w:color w:val="000000" w:themeColor="text1"/>
          <w:sz w:val="22"/>
          <w:szCs w:val="22"/>
        </w:rPr>
        <w:t xml:space="preserve"> Diabetes Pragmatic Multicentre Randomised Controlled Trial', </w:t>
      </w:r>
      <w:proofErr w:type="spellStart"/>
      <w:r w:rsidRPr="003E6D7D">
        <w:rPr>
          <w:rStyle w:val="Emphasis"/>
          <w:rFonts w:ascii="Arial" w:hAnsi="Arial" w:cs="Arial"/>
          <w:color w:val="000000" w:themeColor="text1"/>
          <w:sz w:val="22"/>
          <w:szCs w:val="22"/>
        </w:rPr>
        <w:t>PLoS</w:t>
      </w:r>
      <w:proofErr w:type="spellEnd"/>
      <w:r w:rsidRPr="003E6D7D">
        <w:rPr>
          <w:rStyle w:val="Emphasis"/>
          <w:rFonts w:ascii="Arial" w:hAnsi="Arial" w:cs="Arial"/>
          <w:color w:val="000000" w:themeColor="text1"/>
          <w:sz w:val="22"/>
          <w:szCs w:val="22"/>
        </w:rPr>
        <w:t xml:space="preserve"> Medicine</w:t>
      </w:r>
      <w:r w:rsidRPr="003E6D7D">
        <w:rPr>
          <w:rFonts w:ascii="Arial" w:hAnsi="Arial" w:cs="Arial"/>
          <w:color w:val="000000" w:themeColor="text1"/>
          <w:sz w:val="22"/>
          <w:szCs w:val="22"/>
        </w:rPr>
        <w:t>, 13(7), e1002098.</w:t>
      </w:r>
    </w:p>
    <w:p w:rsidR="00A1506C" w:rsidRDefault="00A1506C"/>
    <w:sectPr w:rsidR="00A1506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24269" w:rsidRDefault="00E24269" w:rsidP="003E6D7D">
      <w:pPr>
        <w:spacing w:after="0" w:line="240" w:lineRule="auto"/>
      </w:pPr>
      <w:r>
        <w:separator/>
      </w:r>
    </w:p>
  </w:endnote>
  <w:endnote w:type="continuationSeparator" w:id="0">
    <w:p w:rsidR="00E24269" w:rsidRDefault="00E24269" w:rsidP="003E6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9269799"/>
      <w:docPartObj>
        <w:docPartGallery w:val="Page Numbers (Bottom of Page)"/>
        <w:docPartUnique/>
      </w:docPartObj>
    </w:sdtPr>
    <w:sdtEndPr>
      <w:rPr>
        <w:color w:val="808080" w:themeColor="background1" w:themeShade="80"/>
        <w:spacing w:val="60"/>
      </w:rPr>
    </w:sdtEndPr>
    <w:sdtContent>
      <w:p w:rsidR="00231253" w:rsidRDefault="00231253">
        <w:pPr>
          <w:pStyle w:val="Footer"/>
          <w:pBdr>
            <w:top w:val="single" w:sz="4" w:space="1" w:color="D9D9D9" w:themeColor="background1" w:themeShade="D9"/>
          </w:pBdr>
          <w:jc w:val="right"/>
        </w:pPr>
        <w:r>
          <w:fldChar w:fldCharType="begin"/>
        </w:r>
        <w:r>
          <w:instrText xml:space="preserve"> PAGE   \* MERGEFORMAT </w:instrText>
        </w:r>
        <w:r>
          <w:fldChar w:fldCharType="separate"/>
        </w:r>
        <w:r w:rsidR="004577D1">
          <w:rPr>
            <w:noProof/>
          </w:rPr>
          <w:t>4</w:t>
        </w:r>
        <w:r>
          <w:rPr>
            <w:noProof/>
          </w:rPr>
          <w:fldChar w:fldCharType="end"/>
        </w:r>
        <w:r>
          <w:t xml:space="preserve"> | </w:t>
        </w:r>
        <w:r>
          <w:rPr>
            <w:color w:val="808080" w:themeColor="background1" w:themeShade="80"/>
            <w:spacing w:val="60"/>
          </w:rPr>
          <w:t>Page</w:t>
        </w:r>
      </w:p>
    </w:sdtContent>
  </w:sdt>
  <w:p w:rsidR="00231253" w:rsidRDefault="0023125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24269" w:rsidRDefault="00E24269" w:rsidP="003E6D7D">
      <w:pPr>
        <w:spacing w:after="0" w:line="240" w:lineRule="auto"/>
      </w:pPr>
      <w:r>
        <w:separator/>
      </w:r>
    </w:p>
  </w:footnote>
  <w:footnote w:type="continuationSeparator" w:id="0">
    <w:p w:rsidR="00E24269" w:rsidRDefault="00E24269" w:rsidP="003E6D7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577D1" w:rsidRDefault="004577D1" w:rsidP="004577D1">
    <w:pPr>
      <w:pStyle w:val="Header"/>
      <w:jc w:val="right"/>
    </w:pPr>
    <w:r>
      <w:rPr>
        <w:noProof/>
        <w:lang w:eastAsia="en-GB"/>
      </w:rPr>
      <mc:AlternateContent>
        <mc:Choice Requires="wps">
          <w:drawing>
            <wp:inline distT="0" distB="0" distL="0" distR="0" wp14:anchorId="1B3EA2D2" wp14:editId="4CF91666">
              <wp:extent cx="304800" cy="304800"/>
              <wp:effectExtent l="0" t="0" r="0" b="0"/>
              <wp:docPr id="1" name="Rectangle 1" descr="Image result for uwtsd birmingh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 o:spid="_x0000_s1026" alt="Description: Image result for uwtsd birmingh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YzJ/YM4CAADhBQAADgAAAAAAAAAAAAAAAAAuAgAAZHJzL2Uyb0RvYy54bWxQSwEC&#10;LQAUAAYACAAAACEATKDpLNgAAAADAQAADwAAAAAAAAAAAAAAAAAoBQAAZHJzL2Rvd25yZXYueG1s&#10;UEsFBgAAAAAEAAQA8wAAAC0GAAAAAA==&#10;" filled="f" stroked="f">
              <o:lock v:ext="edit" aspectratio="t"/>
              <w10:anchorlock/>
            </v:rect>
          </w:pict>
        </mc:Fallback>
      </mc:AlternateContent>
    </w:r>
    <w:r w:rsidRPr="004577D1">
      <mc:AlternateContent>
        <mc:Choice Requires="wps">
          <w:drawing>
            <wp:inline distT="0" distB="0" distL="0" distR="0" wp14:anchorId="0ADD252B" wp14:editId="60E79B7D">
              <wp:extent cx="304800" cy="304800"/>
              <wp:effectExtent l="0" t="0" r="0" b="0"/>
              <wp:docPr id="2" name="Rectangle 2" descr="Image result for uwtsd birmingh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2" o:spid="_x0000_s1026" alt="Description: Image result for uwtsd birmingh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BPvyDD0AIAAOEFAAAOAAAAAAAAAAAAAAAAAC4CAABkcnMvZTJvRG9jLnhtbFBL&#10;AQItABQABgAIAAAAIQBMoOks2AAAAAMBAAAPAAAAAAAAAAAAAAAAACoFAABkcnMvZG93bnJldi54&#10;bWxQSwUGAAAAAAQABADzAAAALwYAAAAA&#10;" filled="f" stroked="f">
              <o:lock v:ext="edit" aspectratio="t"/>
              <w10:anchorlock/>
            </v:rect>
          </w:pict>
        </mc:Fallback>
      </mc:AlternateContent>
    </w:r>
    <w:r>
      <w:rPr>
        <w:noProof/>
        <w:lang w:eastAsia="en-GB"/>
      </w:rPr>
      <mc:AlternateContent>
        <mc:Choice Requires="wps">
          <w:drawing>
            <wp:inline distT="0" distB="0" distL="0" distR="0" wp14:anchorId="30450572" wp14:editId="62EEA3A1">
              <wp:extent cx="304800" cy="304800"/>
              <wp:effectExtent l="0" t="0" r="0" b="0"/>
              <wp:docPr id="3" name="AutoShape 4" descr="Image result for uwtsd birmingh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4" o:spid="_x0000_s1026" alt="Description: Image result for uwtsd birmingh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xl4d584CAADhBQAADgAAAAAAAAAAAAAAAAAuAgAAZHJzL2Uyb0RvYy54bWxQSwEC&#10;LQAUAAYACAAAACEATKDpLNgAAAADAQAADwAAAAAAAAAAAAAAAAAoBQAAZHJzL2Rvd25yZXYueG1s&#10;UEsFBgAAAAAEAAQA8wAAAC0GAAAAAA==&#10;" filled="f" stroked="f">
              <o:lock v:ext="edit" aspectratio="t"/>
              <w10:anchorlock/>
            </v:rect>
          </w:pict>
        </mc:Fallback>
      </mc:AlternateContent>
    </w:r>
    <w:r>
      <w:rPr>
        <w:noProof/>
        <w:lang w:eastAsia="en-GB"/>
      </w:rPr>
      <mc:AlternateContent>
        <mc:Choice Requires="wps">
          <w:drawing>
            <wp:inline distT="0" distB="0" distL="0" distR="0" wp14:anchorId="780840AF" wp14:editId="6FA67AAC">
              <wp:extent cx="304800" cy="304800"/>
              <wp:effectExtent l="0" t="0" r="0" b="0"/>
              <wp:docPr id="4" name="AutoShape 6" descr="Image result for uwtsd birmingham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6" o:spid="_x0000_s1026" alt="Description: Image result for uwtsd birmingham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" filled="f" stroked="f">
              <o:lock v:ext="edit" aspectratio="t"/>
              <w10:anchorlock/>
            </v:rect>
          </w:pict>
        </mc:Fallback>
      </mc:AlternateContent>
    </w:r>
    <w:r>
      <w:rPr>
        <w:noProof/>
        <w:lang w:eastAsia="en-GB"/>
      </w:rPr>
      <mc:AlternateContent>
        <mc:Choice Requires="wps">
          <w:drawing>
            <wp:inline distT="0" distB="0" distL="0" distR="0" wp14:anchorId="60BD177C" wp14:editId="513AEBC1">
              <wp:extent cx="304800" cy="304800"/>
              <wp:effectExtent l="0" t="0" r="0" b="0"/>
              <wp:docPr id="5" name="AutoShape 8" descr="Uwtsd Birmingham Campu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8" o:spid="_x0000_s1026" alt="Description: Uwtsd Birmingham Campu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CZEPwxxwIAANcFAAAOAAAAAAAAAAAAAAAAAC4CAABkcnMvZTJvRG9jLnhtbFBLAQItABQABgAI&#10;AAAAIQBMoOks2AAAAAMBAAAPAAAAAAAAAAAAAAAAACEFAABkcnMvZG93bnJldi54bWxQSwUGAAAA&#10;AAQABADzAAAAJgYAAAAA&#10;" filled="f" stroked="f">
              <o:lock v:ext="edit" aspectratio="t"/>
              <w10:anchorlock/>
            </v:rect>
          </w:pict>
        </mc:Fallback>
      </mc:AlternateContent>
    </w:r>
    <w:r>
      <w:rPr>
        <w:noProof/>
        <w:lang w:eastAsia="en-GB"/>
      </w:rPr>
      <w:drawing>
        <wp:inline distT="0" distB="0" distL="0" distR="0" wp14:anchorId="5C7320AE" wp14:editId="47B99DAF">
          <wp:extent cx="434340" cy="434340"/>
          <wp:effectExtent l="0" t="0"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34340" cy="434340"/>
                  </a:xfrm>
                  <a:prstGeom prst="rect">
                    <a:avLst/>
                  </a:prstGeom>
                  <a:noFill/>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D79B7"/>
    <w:multiLevelType w:val="multilevel"/>
    <w:tmpl w:val="4D924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BE92D6E"/>
    <w:multiLevelType w:val="multilevel"/>
    <w:tmpl w:val="36548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FB82DA7"/>
    <w:multiLevelType w:val="multilevel"/>
    <w:tmpl w:val="32AC4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6B435E2"/>
    <w:multiLevelType w:val="multilevel"/>
    <w:tmpl w:val="9E20C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46C0838"/>
    <w:multiLevelType w:val="multilevel"/>
    <w:tmpl w:val="0E8A2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88C3726"/>
    <w:multiLevelType w:val="multilevel"/>
    <w:tmpl w:val="DE945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E872CEA"/>
    <w:multiLevelType w:val="multilevel"/>
    <w:tmpl w:val="A08A5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FE65A37"/>
    <w:multiLevelType w:val="multilevel"/>
    <w:tmpl w:val="5044D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18B6E3D"/>
    <w:multiLevelType w:val="multilevel"/>
    <w:tmpl w:val="D0ACF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6162DA7"/>
    <w:multiLevelType w:val="multilevel"/>
    <w:tmpl w:val="2DC41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CBF1B4C"/>
    <w:multiLevelType w:val="multilevel"/>
    <w:tmpl w:val="F24E2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0583F5A"/>
    <w:multiLevelType w:val="multilevel"/>
    <w:tmpl w:val="2D7E9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34439EF"/>
    <w:multiLevelType w:val="multilevel"/>
    <w:tmpl w:val="9AB24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4721DBE"/>
    <w:multiLevelType w:val="multilevel"/>
    <w:tmpl w:val="5D82A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52F500C"/>
    <w:multiLevelType w:val="multilevel"/>
    <w:tmpl w:val="604CC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C522656"/>
    <w:multiLevelType w:val="multilevel"/>
    <w:tmpl w:val="E73EC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F1D61D5"/>
    <w:multiLevelType w:val="multilevel"/>
    <w:tmpl w:val="F0569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544473C"/>
    <w:multiLevelType w:val="multilevel"/>
    <w:tmpl w:val="2C529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5585D0C"/>
    <w:multiLevelType w:val="multilevel"/>
    <w:tmpl w:val="C5641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3EA4CF9"/>
    <w:multiLevelType w:val="multilevel"/>
    <w:tmpl w:val="7C9E4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E532AA1"/>
    <w:multiLevelType w:val="multilevel"/>
    <w:tmpl w:val="27B23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2C249F3"/>
    <w:multiLevelType w:val="multilevel"/>
    <w:tmpl w:val="6E66A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7AF84197"/>
    <w:multiLevelType w:val="multilevel"/>
    <w:tmpl w:val="F328F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7"/>
  </w:num>
  <w:num w:numId="3">
    <w:abstractNumId w:val="5"/>
  </w:num>
  <w:num w:numId="4">
    <w:abstractNumId w:val="6"/>
  </w:num>
  <w:num w:numId="5">
    <w:abstractNumId w:val="7"/>
  </w:num>
  <w:num w:numId="6">
    <w:abstractNumId w:val="14"/>
  </w:num>
  <w:num w:numId="7">
    <w:abstractNumId w:val="16"/>
  </w:num>
  <w:num w:numId="8">
    <w:abstractNumId w:val="12"/>
  </w:num>
  <w:num w:numId="9">
    <w:abstractNumId w:val="10"/>
  </w:num>
  <w:num w:numId="10">
    <w:abstractNumId w:val="18"/>
  </w:num>
  <w:num w:numId="11">
    <w:abstractNumId w:val="22"/>
  </w:num>
  <w:num w:numId="12">
    <w:abstractNumId w:val="0"/>
  </w:num>
  <w:num w:numId="13">
    <w:abstractNumId w:val="19"/>
  </w:num>
  <w:num w:numId="14">
    <w:abstractNumId w:val="13"/>
  </w:num>
  <w:num w:numId="15">
    <w:abstractNumId w:val="3"/>
  </w:num>
  <w:num w:numId="16">
    <w:abstractNumId w:val="20"/>
  </w:num>
  <w:num w:numId="17">
    <w:abstractNumId w:val="1"/>
  </w:num>
  <w:num w:numId="18">
    <w:abstractNumId w:val="4"/>
  </w:num>
  <w:num w:numId="19">
    <w:abstractNumId w:val="2"/>
  </w:num>
  <w:num w:numId="20">
    <w:abstractNumId w:val="11"/>
  </w:num>
  <w:num w:numId="21">
    <w:abstractNumId w:val="15"/>
  </w:num>
  <w:num w:numId="22">
    <w:abstractNumId w:val="9"/>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506C"/>
    <w:rsid w:val="001C2499"/>
    <w:rsid w:val="00231253"/>
    <w:rsid w:val="003E6D7D"/>
    <w:rsid w:val="004577D1"/>
    <w:rsid w:val="00A1506C"/>
    <w:rsid w:val="00DA31FD"/>
    <w:rsid w:val="00E24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150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1506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1506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06C"/>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A1506C"/>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A150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1506C"/>
    <w:rPr>
      <w:b/>
      <w:bCs/>
    </w:rPr>
  </w:style>
  <w:style w:type="character" w:customStyle="1" w:styleId="Heading2Char">
    <w:name w:val="Heading 2 Char"/>
    <w:basedOn w:val="DefaultParagraphFont"/>
    <w:link w:val="Heading2"/>
    <w:uiPriority w:val="9"/>
    <w:semiHidden/>
    <w:rsid w:val="00A1506C"/>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DA31FD"/>
    <w:rPr>
      <w:i/>
      <w:iCs/>
    </w:rPr>
  </w:style>
  <w:style w:type="character" w:styleId="Hyperlink">
    <w:name w:val="Hyperlink"/>
    <w:basedOn w:val="DefaultParagraphFont"/>
    <w:uiPriority w:val="99"/>
    <w:semiHidden/>
    <w:unhideWhenUsed/>
    <w:rsid w:val="00DA31FD"/>
    <w:rPr>
      <w:color w:val="0000FF"/>
      <w:u w:val="single"/>
    </w:rPr>
  </w:style>
  <w:style w:type="paragraph" w:styleId="Header">
    <w:name w:val="header"/>
    <w:basedOn w:val="Normal"/>
    <w:link w:val="HeaderChar"/>
    <w:uiPriority w:val="99"/>
    <w:unhideWhenUsed/>
    <w:rsid w:val="003E6D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D7D"/>
  </w:style>
  <w:style w:type="paragraph" w:styleId="Footer">
    <w:name w:val="footer"/>
    <w:basedOn w:val="Normal"/>
    <w:link w:val="FooterChar"/>
    <w:uiPriority w:val="99"/>
    <w:unhideWhenUsed/>
    <w:rsid w:val="003E6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D7D"/>
  </w:style>
  <w:style w:type="paragraph" w:styleId="BalloonText">
    <w:name w:val="Balloon Text"/>
    <w:basedOn w:val="Normal"/>
    <w:link w:val="BalloonTextChar"/>
    <w:uiPriority w:val="99"/>
    <w:semiHidden/>
    <w:unhideWhenUsed/>
    <w:rsid w:val="004577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7D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150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1506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1506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06C"/>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A1506C"/>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A150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1506C"/>
    <w:rPr>
      <w:b/>
      <w:bCs/>
    </w:rPr>
  </w:style>
  <w:style w:type="character" w:customStyle="1" w:styleId="Heading2Char">
    <w:name w:val="Heading 2 Char"/>
    <w:basedOn w:val="DefaultParagraphFont"/>
    <w:link w:val="Heading2"/>
    <w:uiPriority w:val="9"/>
    <w:semiHidden/>
    <w:rsid w:val="00A1506C"/>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DA31FD"/>
    <w:rPr>
      <w:i/>
      <w:iCs/>
    </w:rPr>
  </w:style>
  <w:style w:type="character" w:styleId="Hyperlink">
    <w:name w:val="Hyperlink"/>
    <w:basedOn w:val="DefaultParagraphFont"/>
    <w:uiPriority w:val="99"/>
    <w:semiHidden/>
    <w:unhideWhenUsed/>
    <w:rsid w:val="00DA31FD"/>
    <w:rPr>
      <w:color w:val="0000FF"/>
      <w:u w:val="single"/>
    </w:rPr>
  </w:style>
  <w:style w:type="paragraph" w:styleId="Header">
    <w:name w:val="header"/>
    <w:basedOn w:val="Normal"/>
    <w:link w:val="HeaderChar"/>
    <w:uiPriority w:val="99"/>
    <w:unhideWhenUsed/>
    <w:rsid w:val="003E6D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D7D"/>
  </w:style>
  <w:style w:type="paragraph" w:styleId="Footer">
    <w:name w:val="footer"/>
    <w:basedOn w:val="Normal"/>
    <w:link w:val="FooterChar"/>
    <w:uiPriority w:val="99"/>
    <w:unhideWhenUsed/>
    <w:rsid w:val="003E6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D7D"/>
  </w:style>
  <w:style w:type="paragraph" w:styleId="BalloonText">
    <w:name w:val="Balloon Text"/>
    <w:basedOn w:val="Normal"/>
    <w:link w:val="BalloonTextChar"/>
    <w:uiPriority w:val="99"/>
    <w:semiHidden/>
    <w:unhideWhenUsed/>
    <w:rsid w:val="004577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7D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9535716">
      <w:bodyDiv w:val="1"/>
      <w:marLeft w:val="0"/>
      <w:marRight w:val="0"/>
      <w:marTop w:val="0"/>
      <w:marBottom w:val="0"/>
      <w:divBdr>
        <w:top w:val="none" w:sz="0" w:space="0" w:color="auto"/>
        <w:left w:val="none" w:sz="0" w:space="0" w:color="auto"/>
        <w:bottom w:val="none" w:sz="0" w:space="0" w:color="auto"/>
        <w:right w:val="none" w:sz="0" w:space="0" w:color="auto"/>
      </w:divBdr>
    </w:div>
    <w:div w:id="309212557">
      <w:bodyDiv w:val="1"/>
      <w:marLeft w:val="0"/>
      <w:marRight w:val="0"/>
      <w:marTop w:val="0"/>
      <w:marBottom w:val="0"/>
      <w:divBdr>
        <w:top w:val="none" w:sz="0" w:space="0" w:color="auto"/>
        <w:left w:val="none" w:sz="0" w:space="0" w:color="auto"/>
        <w:bottom w:val="none" w:sz="0" w:space="0" w:color="auto"/>
        <w:right w:val="none" w:sz="0" w:space="0" w:color="auto"/>
      </w:divBdr>
    </w:div>
    <w:div w:id="357850359">
      <w:bodyDiv w:val="1"/>
      <w:marLeft w:val="0"/>
      <w:marRight w:val="0"/>
      <w:marTop w:val="0"/>
      <w:marBottom w:val="0"/>
      <w:divBdr>
        <w:top w:val="none" w:sz="0" w:space="0" w:color="auto"/>
        <w:left w:val="none" w:sz="0" w:space="0" w:color="auto"/>
        <w:bottom w:val="none" w:sz="0" w:space="0" w:color="auto"/>
        <w:right w:val="none" w:sz="0" w:space="0" w:color="auto"/>
      </w:divBdr>
      <w:divsChild>
        <w:div w:id="10879949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82103760">
      <w:bodyDiv w:val="1"/>
      <w:marLeft w:val="0"/>
      <w:marRight w:val="0"/>
      <w:marTop w:val="0"/>
      <w:marBottom w:val="0"/>
      <w:divBdr>
        <w:top w:val="none" w:sz="0" w:space="0" w:color="auto"/>
        <w:left w:val="none" w:sz="0" w:space="0" w:color="auto"/>
        <w:bottom w:val="none" w:sz="0" w:space="0" w:color="auto"/>
        <w:right w:val="none" w:sz="0" w:space="0" w:color="auto"/>
      </w:divBdr>
    </w:div>
    <w:div w:id="550969292">
      <w:bodyDiv w:val="1"/>
      <w:marLeft w:val="0"/>
      <w:marRight w:val="0"/>
      <w:marTop w:val="0"/>
      <w:marBottom w:val="0"/>
      <w:divBdr>
        <w:top w:val="none" w:sz="0" w:space="0" w:color="auto"/>
        <w:left w:val="none" w:sz="0" w:space="0" w:color="auto"/>
        <w:bottom w:val="none" w:sz="0" w:space="0" w:color="auto"/>
        <w:right w:val="none" w:sz="0" w:space="0" w:color="auto"/>
      </w:divBdr>
    </w:div>
    <w:div w:id="695273075">
      <w:bodyDiv w:val="1"/>
      <w:marLeft w:val="0"/>
      <w:marRight w:val="0"/>
      <w:marTop w:val="0"/>
      <w:marBottom w:val="0"/>
      <w:divBdr>
        <w:top w:val="none" w:sz="0" w:space="0" w:color="auto"/>
        <w:left w:val="none" w:sz="0" w:space="0" w:color="auto"/>
        <w:bottom w:val="none" w:sz="0" w:space="0" w:color="auto"/>
        <w:right w:val="none" w:sz="0" w:space="0" w:color="auto"/>
      </w:divBdr>
    </w:div>
    <w:div w:id="720058004">
      <w:bodyDiv w:val="1"/>
      <w:marLeft w:val="0"/>
      <w:marRight w:val="0"/>
      <w:marTop w:val="0"/>
      <w:marBottom w:val="0"/>
      <w:divBdr>
        <w:top w:val="none" w:sz="0" w:space="0" w:color="auto"/>
        <w:left w:val="none" w:sz="0" w:space="0" w:color="auto"/>
        <w:bottom w:val="none" w:sz="0" w:space="0" w:color="auto"/>
        <w:right w:val="none" w:sz="0" w:space="0" w:color="auto"/>
      </w:divBdr>
    </w:div>
    <w:div w:id="875657486">
      <w:bodyDiv w:val="1"/>
      <w:marLeft w:val="0"/>
      <w:marRight w:val="0"/>
      <w:marTop w:val="0"/>
      <w:marBottom w:val="0"/>
      <w:divBdr>
        <w:top w:val="none" w:sz="0" w:space="0" w:color="auto"/>
        <w:left w:val="none" w:sz="0" w:space="0" w:color="auto"/>
        <w:bottom w:val="none" w:sz="0" w:space="0" w:color="auto"/>
        <w:right w:val="none" w:sz="0" w:space="0" w:color="auto"/>
      </w:divBdr>
    </w:div>
    <w:div w:id="1118372908">
      <w:bodyDiv w:val="1"/>
      <w:marLeft w:val="0"/>
      <w:marRight w:val="0"/>
      <w:marTop w:val="0"/>
      <w:marBottom w:val="0"/>
      <w:divBdr>
        <w:top w:val="none" w:sz="0" w:space="0" w:color="auto"/>
        <w:left w:val="none" w:sz="0" w:space="0" w:color="auto"/>
        <w:bottom w:val="none" w:sz="0" w:space="0" w:color="auto"/>
        <w:right w:val="none" w:sz="0" w:space="0" w:color="auto"/>
      </w:divBdr>
    </w:div>
    <w:div w:id="1119954064">
      <w:bodyDiv w:val="1"/>
      <w:marLeft w:val="0"/>
      <w:marRight w:val="0"/>
      <w:marTop w:val="0"/>
      <w:marBottom w:val="0"/>
      <w:divBdr>
        <w:top w:val="none" w:sz="0" w:space="0" w:color="auto"/>
        <w:left w:val="none" w:sz="0" w:space="0" w:color="auto"/>
        <w:bottom w:val="none" w:sz="0" w:space="0" w:color="auto"/>
        <w:right w:val="none" w:sz="0" w:space="0" w:color="auto"/>
      </w:divBdr>
    </w:div>
    <w:div w:id="1144665494">
      <w:bodyDiv w:val="1"/>
      <w:marLeft w:val="0"/>
      <w:marRight w:val="0"/>
      <w:marTop w:val="0"/>
      <w:marBottom w:val="0"/>
      <w:divBdr>
        <w:top w:val="none" w:sz="0" w:space="0" w:color="auto"/>
        <w:left w:val="none" w:sz="0" w:space="0" w:color="auto"/>
        <w:bottom w:val="none" w:sz="0" w:space="0" w:color="auto"/>
        <w:right w:val="none" w:sz="0" w:space="0" w:color="auto"/>
      </w:divBdr>
    </w:div>
    <w:div w:id="1174955375">
      <w:bodyDiv w:val="1"/>
      <w:marLeft w:val="0"/>
      <w:marRight w:val="0"/>
      <w:marTop w:val="0"/>
      <w:marBottom w:val="0"/>
      <w:divBdr>
        <w:top w:val="none" w:sz="0" w:space="0" w:color="auto"/>
        <w:left w:val="none" w:sz="0" w:space="0" w:color="auto"/>
        <w:bottom w:val="none" w:sz="0" w:space="0" w:color="auto"/>
        <w:right w:val="none" w:sz="0" w:space="0" w:color="auto"/>
      </w:divBdr>
    </w:div>
    <w:div w:id="1210068240">
      <w:bodyDiv w:val="1"/>
      <w:marLeft w:val="0"/>
      <w:marRight w:val="0"/>
      <w:marTop w:val="0"/>
      <w:marBottom w:val="0"/>
      <w:divBdr>
        <w:top w:val="none" w:sz="0" w:space="0" w:color="auto"/>
        <w:left w:val="none" w:sz="0" w:space="0" w:color="auto"/>
        <w:bottom w:val="none" w:sz="0" w:space="0" w:color="auto"/>
        <w:right w:val="none" w:sz="0" w:space="0" w:color="auto"/>
      </w:divBdr>
    </w:div>
    <w:div w:id="1246257628">
      <w:bodyDiv w:val="1"/>
      <w:marLeft w:val="0"/>
      <w:marRight w:val="0"/>
      <w:marTop w:val="0"/>
      <w:marBottom w:val="0"/>
      <w:divBdr>
        <w:top w:val="none" w:sz="0" w:space="0" w:color="auto"/>
        <w:left w:val="none" w:sz="0" w:space="0" w:color="auto"/>
        <w:bottom w:val="none" w:sz="0" w:space="0" w:color="auto"/>
        <w:right w:val="none" w:sz="0" w:space="0" w:color="auto"/>
      </w:divBdr>
    </w:div>
    <w:div w:id="1356926272">
      <w:bodyDiv w:val="1"/>
      <w:marLeft w:val="0"/>
      <w:marRight w:val="0"/>
      <w:marTop w:val="0"/>
      <w:marBottom w:val="0"/>
      <w:divBdr>
        <w:top w:val="none" w:sz="0" w:space="0" w:color="auto"/>
        <w:left w:val="none" w:sz="0" w:space="0" w:color="auto"/>
        <w:bottom w:val="none" w:sz="0" w:space="0" w:color="auto"/>
        <w:right w:val="none" w:sz="0" w:space="0" w:color="auto"/>
      </w:divBdr>
    </w:div>
    <w:div w:id="1514033412">
      <w:bodyDiv w:val="1"/>
      <w:marLeft w:val="0"/>
      <w:marRight w:val="0"/>
      <w:marTop w:val="0"/>
      <w:marBottom w:val="0"/>
      <w:divBdr>
        <w:top w:val="none" w:sz="0" w:space="0" w:color="auto"/>
        <w:left w:val="none" w:sz="0" w:space="0" w:color="auto"/>
        <w:bottom w:val="none" w:sz="0" w:space="0" w:color="auto"/>
        <w:right w:val="none" w:sz="0" w:space="0" w:color="auto"/>
      </w:divBdr>
    </w:div>
    <w:div w:id="1625312969">
      <w:bodyDiv w:val="1"/>
      <w:marLeft w:val="0"/>
      <w:marRight w:val="0"/>
      <w:marTop w:val="0"/>
      <w:marBottom w:val="0"/>
      <w:divBdr>
        <w:top w:val="none" w:sz="0" w:space="0" w:color="auto"/>
        <w:left w:val="none" w:sz="0" w:space="0" w:color="auto"/>
        <w:bottom w:val="none" w:sz="0" w:space="0" w:color="auto"/>
        <w:right w:val="none" w:sz="0" w:space="0" w:color="auto"/>
      </w:divBdr>
    </w:div>
    <w:div w:id="1682124053">
      <w:bodyDiv w:val="1"/>
      <w:marLeft w:val="0"/>
      <w:marRight w:val="0"/>
      <w:marTop w:val="0"/>
      <w:marBottom w:val="0"/>
      <w:divBdr>
        <w:top w:val="none" w:sz="0" w:space="0" w:color="auto"/>
        <w:left w:val="none" w:sz="0" w:space="0" w:color="auto"/>
        <w:bottom w:val="none" w:sz="0" w:space="0" w:color="auto"/>
        <w:right w:val="none" w:sz="0" w:space="0" w:color="auto"/>
      </w:divBdr>
    </w:div>
    <w:div w:id="1830751674">
      <w:bodyDiv w:val="1"/>
      <w:marLeft w:val="0"/>
      <w:marRight w:val="0"/>
      <w:marTop w:val="0"/>
      <w:marBottom w:val="0"/>
      <w:divBdr>
        <w:top w:val="none" w:sz="0" w:space="0" w:color="auto"/>
        <w:left w:val="none" w:sz="0" w:space="0" w:color="auto"/>
        <w:bottom w:val="none" w:sz="0" w:space="0" w:color="auto"/>
        <w:right w:val="none" w:sz="0" w:space="0" w:color="auto"/>
      </w:divBdr>
    </w:div>
    <w:div w:id="1957371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2018/12/conten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longtermplan.nhs.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ice.org.uk/guidance/ng28"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jbi-global-wiki.refined.site/space/MANUAL" TargetMode="External"/><Relationship Id="rId4" Type="http://schemas.microsoft.com/office/2007/relationships/stylesWithEffects" Target="stylesWithEffects.xml"/><Relationship Id="rId9" Type="http://schemas.openxmlformats.org/officeDocument/2006/relationships/hyperlink" Target="https://www.diabetes.org.uk" TargetMode="External"/><Relationship Id="rId14" Type="http://schemas.openxmlformats.org/officeDocument/2006/relationships/hyperlink" Target="https://www.legislation.gov.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02AE2D-585B-4816-AA99-86FFB8FFF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15</Pages>
  <Words>4317</Words>
  <Characters>24609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Pluto</dc:creator>
  <cp:lastModifiedBy>Pluto</cp:lastModifiedBy>
  <cp:revision>3</cp:revision>
  <dcterms:created xsi:type="dcterms:W3CDTF">2026-07-20T08:56:00Z</dcterms:created>
  <dcterms:modified xsi:type="dcterms:W3CDTF">2026-07-20T09:35:00Z</dcterms:modified>
</cp:coreProperties>
</file>