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6F7B16" w14:textId="77777777" w:rsidR="00FD5CBE" w:rsidRDefault="00FD5CBE">
      <w:pPr>
        <w:spacing w:line="360" w:lineRule="auto"/>
        <w:jc w:val="center"/>
        <w:rPr>
          <w:rFonts w:ascii="Arial" w:eastAsia="Arial" w:hAnsi="Arial" w:cs="Arial"/>
          <w:b/>
          <w:i/>
          <w:sz w:val="32"/>
          <w:szCs w:val="32"/>
        </w:rPr>
      </w:pPr>
    </w:p>
    <w:p w14:paraId="247513E1" w14:textId="77777777" w:rsidR="00FD5CBE" w:rsidRDefault="00FD5CBE">
      <w:pPr>
        <w:spacing w:line="360" w:lineRule="auto"/>
        <w:jc w:val="center"/>
        <w:rPr>
          <w:rFonts w:ascii="Arial" w:eastAsia="Arial" w:hAnsi="Arial" w:cs="Arial"/>
          <w:b/>
          <w:i/>
          <w:sz w:val="32"/>
          <w:szCs w:val="32"/>
        </w:rPr>
      </w:pPr>
    </w:p>
    <w:p w14:paraId="1BF4AC13" w14:textId="77777777" w:rsidR="00FD5CBE" w:rsidRDefault="00FD5CBE">
      <w:pPr>
        <w:spacing w:line="360" w:lineRule="auto"/>
        <w:jc w:val="center"/>
        <w:rPr>
          <w:rFonts w:ascii="Arial" w:eastAsia="Arial" w:hAnsi="Arial" w:cs="Arial"/>
          <w:b/>
          <w:i/>
          <w:sz w:val="32"/>
          <w:szCs w:val="32"/>
        </w:rPr>
      </w:pPr>
    </w:p>
    <w:p w14:paraId="00000002" w14:textId="77777777" w:rsidR="00B701EC" w:rsidRPr="00FD5CBE" w:rsidRDefault="00BE4328">
      <w:pPr>
        <w:spacing w:line="360" w:lineRule="auto"/>
        <w:jc w:val="center"/>
        <w:rPr>
          <w:rFonts w:ascii="Arial" w:eastAsia="Arial" w:hAnsi="Arial" w:cs="Arial"/>
          <w:i/>
          <w:sz w:val="32"/>
          <w:szCs w:val="32"/>
        </w:rPr>
      </w:pPr>
      <w:r w:rsidRPr="00FD5CBE">
        <w:rPr>
          <w:rFonts w:ascii="Arial" w:eastAsia="Arial" w:hAnsi="Arial" w:cs="Arial"/>
          <w:i/>
          <w:sz w:val="32"/>
          <w:szCs w:val="32"/>
        </w:rPr>
        <w:t>A Critical Analysis of Mrs. Mann’s Case within the UK Health and Social Care Framework</w:t>
      </w:r>
    </w:p>
    <w:p w14:paraId="00000003" w14:textId="77777777" w:rsidR="00B701EC" w:rsidRDefault="00B701EC">
      <w:pPr>
        <w:spacing w:line="360" w:lineRule="auto"/>
        <w:rPr>
          <w:rFonts w:ascii="Arial" w:eastAsia="Arial" w:hAnsi="Arial" w:cs="Arial"/>
          <w:sz w:val="22"/>
          <w:szCs w:val="22"/>
        </w:rPr>
      </w:pPr>
    </w:p>
    <w:p w14:paraId="00000004" w14:textId="77777777" w:rsidR="00B701EC" w:rsidRDefault="00B701EC">
      <w:pPr>
        <w:spacing w:line="360" w:lineRule="auto"/>
        <w:rPr>
          <w:rFonts w:ascii="Arial" w:eastAsia="Arial" w:hAnsi="Arial" w:cs="Arial"/>
          <w:sz w:val="22"/>
          <w:szCs w:val="22"/>
        </w:rPr>
      </w:pPr>
    </w:p>
    <w:p w14:paraId="00000005" w14:textId="77777777" w:rsidR="00B701EC" w:rsidRDefault="00B701EC">
      <w:pPr>
        <w:spacing w:line="360" w:lineRule="auto"/>
        <w:rPr>
          <w:rFonts w:ascii="Arial" w:eastAsia="Arial" w:hAnsi="Arial" w:cs="Arial"/>
          <w:sz w:val="22"/>
          <w:szCs w:val="22"/>
        </w:rPr>
      </w:pPr>
    </w:p>
    <w:p w14:paraId="00000006" w14:textId="77777777" w:rsidR="00B701EC" w:rsidRDefault="00B701EC">
      <w:pPr>
        <w:spacing w:line="360" w:lineRule="auto"/>
        <w:rPr>
          <w:rFonts w:ascii="Arial" w:eastAsia="Arial" w:hAnsi="Arial" w:cs="Arial"/>
          <w:sz w:val="22"/>
          <w:szCs w:val="22"/>
        </w:rPr>
      </w:pPr>
    </w:p>
    <w:p w14:paraId="00000007" w14:textId="77777777" w:rsidR="00B701EC" w:rsidRDefault="00B701EC">
      <w:pPr>
        <w:spacing w:line="360" w:lineRule="auto"/>
        <w:rPr>
          <w:rFonts w:ascii="Arial" w:eastAsia="Arial" w:hAnsi="Arial" w:cs="Arial"/>
          <w:sz w:val="22"/>
          <w:szCs w:val="22"/>
        </w:rPr>
      </w:pPr>
    </w:p>
    <w:p w14:paraId="00000008" w14:textId="77777777" w:rsidR="00B701EC" w:rsidRDefault="00B701EC">
      <w:pPr>
        <w:spacing w:line="360" w:lineRule="auto"/>
        <w:rPr>
          <w:rFonts w:ascii="Arial" w:eastAsia="Arial" w:hAnsi="Arial" w:cs="Arial"/>
          <w:sz w:val="22"/>
          <w:szCs w:val="22"/>
        </w:rPr>
      </w:pPr>
    </w:p>
    <w:p w14:paraId="00000009" w14:textId="77777777" w:rsidR="00B701EC" w:rsidRDefault="00B701EC">
      <w:pPr>
        <w:spacing w:line="360" w:lineRule="auto"/>
        <w:rPr>
          <w:rFonts w:ascii="Arial" w:eastAsia="Arial" w:hAnsi="Arial" w:cs="Arial"/>
          <w:sz w:val="22"/>
          <w:szCs w:val="22"/>
        </w:rPr>
      </w:pPr>
    </w:p>
    <w:p w14:paraId="0000000A" w14:textId="77777777" w:rsidR="00B701EC" w:rsidRDefault="00B701EC">
      <w:pPr>
        <w:spacing w:line="360" w:lineRule="auto"/>
        <w:rPr>
          <w:rFonts w:ascii="Arial" w:eastAsia="Arial" w:hAnsi="Arial" w:cs="Arial"/>
          <w:sz w:val="22"/>
          <w:szCs w:val="22"/>
        </w:rPr>
      </w:pPr>
    </w:p>
    <w:p w14:paraId="0000000B" w14:textId="77777777" w:rsidR="00B701EC" w:rsidRDefault="00B701EC">
      <w:pPr>
        <w:spacing w:line="360" w:lineRule="auto"/>
        <w:rPr>
          <w:rFonts w:ascii="Arial" w:eastAsia="Arial" w:hAnsi="Arial" w:cs="Arial"/>
          <w:sz w:val="22"/>
          <w:szCs w:val="22"/>
        </w:rPr>
      </w:pPr>
    </w:p>
    <w:p w14:paraId="0000000C" w14:textId="77777777" w:rsidR="00B701EC" w:rsidRDefault="00B701EC">
      <w:pPr>
        <w:spacing w:line="360" w:lineRule="auto"/>
        <w:rPr>
          <w:rFonts w:ascii="Arial" w:eastAsia="Arial" w:hAnsi="Arial" w:cs="Arial"/>
          <w:sz w:val="22"/>
          <w:szCs w:val="22"/>
        </w:rPr>
      </w:pPr>
    </w:p>
    <w:p w14:paraId="0000000D" w14:textId="77777777" w:rsidR="00B701EC" w:rsidRDefault="00B701EC">
      <w:pPr>
        <w:spacing w:line="360" w:lineRule="auto"/>
        <w:rPr>
          <w:rFonts w:ascii="Arial" w:eastAsia="Arial" w:hAnsi="Arial" w:cs="Arial"/>
          <w:sz w:val="22"/>
          <w:szCs w:val="22"/>
        </w:rPr>
      </w:pPr>
    </w:p>
    <w:p w14:paraId="0000000E" w14:textId="77777777" w:rsidR="00B701EC" w:rsidRDefault="00B701EC">
      <w:pPr>
        <w:spacing w:line="360" w:lineRule="auto"/>
        <w:rPr>
          <w:rFonts w:ascii="Arial" w:eastAsia="Arial" w:hAnsi="Arial" w:cs="Arial"/>
          <w:sz w:val="22"/>
          <w:szCs w:val="22"/>
        </w:rPr>
      </w:pPr>
    </w:p>
    <w:p w14:paraId="0000000F" w14:textId="780DB6D5" w:rsidR="00B701EC" w:rsidRDefault="00BE4328">
      <w:pPr>
        <w:spacing w:line="360" w:lineRule="auto"/>
        <w:rPr>
          <w:rFonts w:ascii="Arial" w:eastAsia="Arial" w:hAnsi="Arial" w:cs="Arial"/>
          <w:i/>
          <w:sz w:val="22"/>
          <w:szCs w:val="22"/>
        </w:rPr>
      </w:pPr>
      <w:r>
        <w:rPr>
          <w:rFonts w:ascii="Arial" w:eastAsia="Arial" w:hAnsi="Arial" w:cs="Arial"/>
          <w:b/>
          <w:i/>
          <w:sz w:val="22"/>
          <w:szCs w:val="22"/>
        </w:rPr>
        <w:t>Student Name:</w:t>
      </w:r>
      <w:r>
        <w:rPr>
          <w:rFonts w:ascii="Arial" w:eastAsia="Arial" w:hAnsi="Arial" w:cs="Arial"/>
          <w:i/>
          <w:sz w:val="22"/>
          <w:szCs w:val="22"/>
        </w:rPr>
        <w:t xml:space="preserve"> </w:t>
      </w:r>
      <w:r w:rsidR="00AC085F">
        <w:rPr>
          <w:rFonts w:ascii="Arial" w:eastAsia="Arial" w:hAnsi="Arial" w:cs="Arial"/>
          <w:i/>
          <w:sz w:val="22"/>
          <w:szCs w:val="22"/>
        </w:rPr>
        <w:t xml:space="preserve">Janees Khan </w:t>
      </w:r>
    </w:p>
    <w:p w14:paraId="00000010" w14:textId="643E30C8" w:rsidR="00B701EC" w:rsidRDefault="00BE4328">
      <w:pPr>
        <w:spacing w:line="360" w:lineRule="auto"/>
        <w:rPr>
          <w:rFonts w:ascii="Arial" w:eastAsia="Arial" w:hAnsi="Arial" w:cs="Arial"/>
          <w:i/>
          <w:sz w:val="22"/>
          <w:szCs w:val="22"/>
        </w:rPr>
      </w:pPr>
      <w:r>
        <w:rPr>
          <w:rFonts w:ascii="Arial" w:eastAsia="Arial" w:hAnsi="Arial" w:cs="Arial"/>
          <w:b/>
          <w:i/>
          <w:sz w:val="22"/>
          <w:szCs w:val="22"/>
        </w:rPr>
        <w:t>Student Number:</w:t>
      </w:r>
      <w:r>
        <w:rPr>
          <w:rFonts w:ascii="Arial" w:eastAsia="Arial" w:hAnsi="Arial" w:cs="Arial"/>
          <w:i/>
          <w:sz w:val="22"/>
          <w:szCs w:val="22"/>
        </w:rPr>
        <w:t xml:space="preserve"> </w:t>
      </w:r>
      <w:r w:rsidR="00AC085F">
        <w:rPr>
          <w:rFonts w:ascii="Arial" w:eastAsia="Arial" w:hAnsi="Arial" w:cs="Arial"/>
          <w:i/>
          <w:sz w:val="22"/>
          <w:szCs w:val="22"/>
        </w:rPr>
        <w:t>2420113</w:t>
      </w:r>
    </w:p>
    <w:p w14:paraId="4C0C9551" w14:textId="77777777" w:rsidR="00983C1B" w:rsidRDefault="00BE4328">
      <w:pPr>
        <w:pStyle w:val="p1"/>
      </w:pPr>
      <w:r>
        <w:rPr>
          <w:rFonts w:ascii="Arial" w:eastAsia="Arial" w:hAnsi="Arial" w:cs="Arial"/>
          <w:b/>
          <w:i/>
          <w:sz w:val="22"/>
          <w:szCs w:val="22"/>
        </w:rPr>
        <w:t>Module Code:</w:t>
      </w:r>
      <w:r>
        <w:rPr>
          <w:rFonts w:ascii="Arial" w:eastAsia="Arial" w:hAnsi="Arial" w:cs="Arial"/>
          <w:i/>
          <w:sz w:val="22"/>
          <w:szCs w:val="22"/>
        </w:rPr>
        <w:t xml:space="preserve"> </w:t>
      </w:r>
      <w:r w:rsidR="00983C1B" w:rsidRPr="00A61C3C">
        <w:rPr>
          <w:rStyle w:val="s1"/>
          <w:b w:val="0"/>
          <w:bCs w:val="0"/>
        </w:rPr>
        <w:t>LCHS4003</w:t>
      </w:r>
    </w:p>
    <w:p w14:paraId="00000011" w14:textId="19C91F2B" w:rsidR="00B701EC" w:rsidRDefault="00B701EC">
      <w:pPr>
        <w:spacing w:line="360" w:lineRule="auto"/>
        <w:rPr>
          <w:rFonts w:ascii="Arial" w:eastAsia="Arial" w:hAnsi="Arial" w:cs="Arial"/>
          <w:i/>
          <w:sz w:val="22"/>
          <w:szCs w:val="22"/>
        </w:rPr>
      </w:pPr>
    </w:p>
    <w:p w14:paraId="6AB1CAD5" w14:textId="77777777" w:rsidR="00744E45" w:rsidRPr="00744E45" w:rsidRDefault="00BE4328">
      <w:pPr>
        <w:pStyle w:val="p1"/>
      </w:pPr>
      <w:r>
        <w:rPr>
          <w:rFonts w:ascii="Arial" w:eastAsia="Arial" w:hAnsi="Arial" w:cs="Arial"/>
          <w:b/>
          <w:i/>
          <w:sz w:val="22"/>
          <w:szCs w:val="22"/>
        </w:rPr>
        <w:t>Lecturer Name:</w:t>
      </w:r>
      <w:r>
        <w:rPr>
          <w:rFonts w:ascii="Arial" w:eastAsia="Arial" w:hAnsi="Arial" w:cs="Arial"/>
          <w:i/>
          <w:sz w:val="22"/>
          <w:szCs w:val="22"/>
        </w:rPr>
        <w:t xml:space="preserve"> </w:t>
      </w:r>
      <w:proofErr w:type="spellStart"/>
      <w:r w:rsidR="00744E45" w:rsidRPr="00744E45">
        <w:rPr>
          <w:rFonts w:ascii="UICTFontTextStyleBody" w:hAnsi="UICTFontTextStyleBody"/>
        </w:rPr>
        <w:t>Tsiwani</w:t>
      </w:r>
      <w:proofErr w:type="spellEnd"/>
      <w:r w:rsidR="00744E45" w:rsidRPr="00744E45">
        <w:rPr>
          <w:rFonts w:ascii="UICTFontTextStyleBody" w:hAnsi="UICTFontTextStyleBody"/>
        </w:rPr>
        <w:t xml:space="preserve"> </w:t>
      </w:r>
      <w:proofErr w:type="spellStart"/>
      <w:r w:rsidR="00744E45" w:rsidRPr="00744E45">
        <w:rPr>
          <w:rFonts w:ascii="UICTFontTextStyleBody" w:hAnsi="UICTFontTextStyleBody"/>
        </w:rPr>
        <w:t>Khumalo</w:t>
      </w:r>
      <w:proofErr w:type="spellEnd"/>
    </w:p>
    <w:p w14:paraId="00000012" w14:textId="41BF35FB" w:rsidR="00B701EC" w:rsidRDefault="00B701EC">
      <w:pPr>
        <w:spacing w:line="360" w:lineRule="auto"/>
        <w:rPr>
          <w:rFonts w:ascii="Arial" w:eastAsia="Arial" w:hAnsi="Arial" w:cs="Arial"/>
          <w:i/>
          <w:sz w:val="22"/>
          <w:szCs w:val="22"/>
        </w:rPr>
      </w:pPr>
    </w:p>
    <w:p w14:paraId="00000013" w14:textId="358E961E" w:rsidR="00B701EC" w:rsidRDefault="00BE4328">
      <w:pPr>
        <w:spacing w:line="360" w:lineRule="auto"/>
        <w:rPr>
          <w:rFonts w:ascii="Arial" w:eastAsia="Arial" w:hAnsi="Arial" w:cs="Arial"/>
          <w:sz w:val="22"/>
          <w:szCs w:val="22"/>
        </w:rPr>
      </w:pPr>
      <w:r>
        <w:br w:type="page"/>
      </w:r>
    </w:p>
    <w:p w14:paraId="00000014" w14:textId="77777777" w:rsidR="00B701EC" w:rsidRPr="00FD5CBE" w:rsidRDefault="00BE4328">
      <w:pPr>
        <w:spacing w:line="360" w:lineRule="auto"/>
        <w:jc w:val="both"/>
        <w:rPr>
          <w:rFonts w:ascii="Arial" w:eastAsia="Arial" w:hAnsi="Arial" w:cs="Arial"/>
          <w:sz w:val="22"/>
          <w:szCs w:val="22"/>
        </w:rPr>
      </w:pPr>
      <w:r w:rsidRPr="00FD5CBE">
        <w:rPr>
          <w:rFonts w:ascii="Arial" w:eastAsia="Arial" w:hAnsi="Arial" w:cs="Arial"/>
          <w:sz w:val="22"/>
          <w:szCs w:val="22"/>
        </w:rPr>
        <w:t>Table of Contents</w:t>
      </w:r>
    </w:p>
    <w:sdt>
      <w:sdtPr>
        <w:id w:val="58073161"/>
        <w:docPartObj>
          <w:docPartGallery w:val="Table of Contents"/>
          <w:docPartUnique/>
        </w:docPartObj>
      </w:sdtPr>
      <w:sdtEndPr/>
      <w:sdtContent>
        <w:p w14:paraId="00000015" w14:textId="77777777" w:rsidR="00B701EC" w:rsidRPr="00FD5CBE" w:rsidRDefault="00B701EC">
          <w:pPr>
            <w:widowControl w:val="0"/>
            <w:tabs>
              <w:tab w:val="right" w:leader="dot" w:pos="9360"/>
            </w:tabs>
            <w:spacing w:before="60" w:after="0" w:line="360" w:lineRule="auto"/>
            <w:rPr>
              <w:rFonts w:ascii="Arial" w:eastAsia="Arial" w:hAnsi="Arial" w:cs="Arial"/>
            </w:rPr>
          </w:pPr>
          <w:r w:rsidRPr="00FD5CBE">
            <w:fldChar w:fldCharType="begin"/>
          </w:r>
          <w:r w:rsidRPr="00FD5CBE">
            <w:instrText xml:space="preserve"> TOC \h \u \z \t "Heading 1,1,Heading 2,2,Heading 3,3,Heading 4,4,Heading 5,5,Heading 6,6,"</w:instrText>
          </w:r>
          <w:r w:rsidRPr="00FD5CBE">
            <w:fldChar w:fldCharType="separate"/>
          </w:r>
          <w:hyperlink w:anchor="_e543yuc9nmev">
            <w:r w:rsidRPr="00FD5CBE">
              <w:rPr>
                <w:rFonts w:ascii="Arial" w:eastAsia="Arial" w:hAnsi="Arial" w:cs="Arial"/>
              </w:rPr>
              <w:t>1. Introduction</w:t>
            </w:r>
            <w:r w:rsidRPr="00FD5CBE">
              <w:rPr>
                <w:rFonts w:ascii="Arial" w:eastAsia="Arial" w:hAnsi="Arial" w:cs="Arial"/>
              </w:rPr>
              <w:tab/>
            </w:r>
          </w:hyperlink>
          <w:r w:rsidRPr="00FD5CBE">
            <w:fldChar w:fldCharType="begin"/>
          </w:r>
          <w:r w:rsidRPr="00FD5CBE">
            <w:instrText xml:space="preserve"> PAGEREF _e543yuc9nmev \h </w:instrText>
          </w:r>
          <w:r w:rsidRPr="00FD5CBE">
            <w:fldChar w:fldCharType="separate"/>
          </w:r>
          <w:r w:rsidRPr="00FD5CBE">
            <w:rPr>
              <w:rFonts w:ascii="Arial" w:eastAsia="Arial" w:hAnsi="Arial" w:cs="Arial"/>
            </w:rPr>
            <w:t>3</w:t>
          </w:r>
          <w:r w:rsidRPr="00FD5CBE">
            <w:fldChar w:fldCharType="end"/>
          </w:r>
        </w:p>
        <w:p w14:paraId="00000016" w14:textId="77777777" w:rsidR="00B701EC" w:rsidRPr="00FD5CBE" w:rsidRDefault="00B701EC">
          <w:pPr>
            <w:widowControl w:val="0"/>
            <w:tabs>
              <w:tab w:val="right" w:leader="dot" w:pos="9360"/>
            </w:tabs>
            <w:spacing w:before="60" w:after="0" w:line="360" w:lineRule="auto"/>
            <w:rPr>
              <w:rFonts w:ascii="Arial" w:eastAsia="Arial" w:hAnsi="Arial" w:cs="Arial"/>
            </w:rPr>
          </w:pPr>
          <w:hyperlink w:anchor="_nd4jynoos08">
            <w:r w:rsidRPr="00FD5CBE">
              <w:rPr>
                <w:rFonts w:ascii="Arial" w:eastAsia="Arial" w:hAnsi="Arial" w:cs="Arial"/>
              </w:rPr>
              <w:t>2. Effective Communication in Health and Social Care</w:t>
            </w:r>
            <w:r w:rsidRPr="00FD5CBE">
              <w:rPr>
                <w:rFonts w:ascii="Arial" w:eastAsia="Arial" w:hAnsi="Arial" w:cs="Arial"/>
              </w:rPr>
              <w:tab/>
            </w:r>
          </w:hyperlink>
          <w:r w:rsidRPr="00FD5CBE">
            <w:fldChar w:fldCharType="begin"/>
          </w:r>
          <w:r w:rsidRPr="00FD5CBE">
            <w:instrText xml:space="preserve"> PAGEREF _nd4jynoos08 \h </w:instrText>
          </w:r>
          <w:r w:rsidRPr="00FD5CBE">
            <w:fldChar w:fldCharType="separate"/>
          </w:r>
          <w:r w:rsidRPr="00FD5CBE">
            <w:rPr>
              <w:rFonts w:ascii="Arial" w:eastAsia="Arial" w:hAnsi="Arial" w:cs="Arial"/>
            </w:rPr>
            <w:t>3</w:t>
          </w:r>
          <w:r w:rsidRPr="00FD5CBE">
            <w:fldChar w:fldCharType="end"/>
          </w:r>
        </w:p>
        <w:p w14:paraId="00000017" w14:textId="77777777" w:rsidR="00B701EC" w:rsidRPr="00FD5CBE" w:rsidRDefault="00B701EC">
          <w:pPr>
            <w:widowControl w:val="0"/>
            <w:tabs>
              <w:tab w:val="right" w:leader="dot" w:pos="9360"/>
            </w:tabs>
            <w:spacing w:before="60" w:after="0" w:line="360" w:lineRule="auto"/>
            <w:ind w:left="360"/>
            <w:rPr>
              <w:rFonts w:ascii="Arial" w:eastAsia="Arial" w:hAnsi="Arial" w:cs="Arial"/>
            </w:rPr>
          </w:pPr>
          <w:hyperlink w:anchor="_8w23pd3tbq3a">
            <w:r w:rsidRPr="00FD5CBE">
              <w:rPr>
                <w:rFonts w:ascii="Arial" w:eastAsia="Arial" w:hAnsi="Arial" w:cs="Arial"/>
              </w:rPr>
              <w:t>2.1 Importance of Communication in Mrs. Mann’s Case</w:t>
            </w:r>
            <w:r w:rsidRPr="00FD5CBE">
              <w:rPr>
                <w:rFonts w:ascii="Arial" w:eastAsia="Arial" w:hAnsi="Arial" w:cs="Arial"/>
              </w:rPr>
              <w:tab/>
            </w:r>
          </w:hyperlink>
          <w:r w:rsidRPr="00FD5CBE">
            <w:fldChar w:fldCharType="begin"/>
          </w:r>
          <w:r w:rsidRPr="00FD5CBE">
            <w:instrText xml:space="preserve"> PAGEREF _8w23pd3tbq3a \h </w:instrText>
          </w:r>
          <w:r w:rsidRPr="00FD5CBE">
            <w:fldChar w:fldCharType="separate"/>
          </w:r>
          <w:r w:rsidRPr="00FD5CBE">
            <w:rPr>
              <w:rFonts w:ascii="Arial" w:eastAsia="Arial" w:hAnsi="Arial" w:cs="Arial"/>
            </w:rPr>
            <w:t>3</w:t>
          </w:r>
          <w:r w:rsidRPr="00FD5CBE">
            <w:fldChar w:fldCharType="end"/>
          </w:r>
        </w:p>
        <w:p w14:paraId="00000018" w14:textId="77777777" w:rsidR="00B701EC" w:rsidRPr="00FD5CBE" w:rsidRDefault="00B701EC">
          <w:pPr>
            <w:widowControl w:val="0"/>
            <w:tabs>
              <w:tab w:val="right" w:leader="dot" w:pos="9360"/>
            </w:tabs>
            <w:spacing w:before="60" w:after="0" w:line="360" w:lineRule="auto"/>
            <w:ind w:left="360"/>
            <w:rPr>
              <w:rFonts w:ascii="Arial" w:eastAsia="Arial" w:hAnsi="Arial" w:cs="Arial"/>
            </w:rPr>
          </w:pPr>
          <w:hyperlink w:anchor="_ehfg3o4hoxn5">
            <w:r w:rsidRPr="00FD5CBE">
              <w:rPr>
                <w:rFonts w:ascii="Arial" w:eastAsia="Arial" w:hAnsi="Arial" w:cs="Arial"/>
              </w:rPr>
              <w:t>2.2 Addressing Language and Cultural Barriers</w:t>
            </w:r>
            <w:r w:rsidRPr="00FD5CBE">
              <w:rPr>
                <w:rFonts w:ascii="Arial" w:eastAsia="Arial" w:hAnsi="Arial" w:cs="Arial"/>
              </w:rPr>
              <w:tab/>
            </w:r>
          </w:hyperlink>
          <w:r w:rsidRPr="00FD5CBE">
            <w:fldChar w:fldCharType="begin"/>
          </w:r>
          <w:r w:rsidRPr="00FD5CBE">
            <w:instrText xml:space="preserve"> PAGEREF _ehfg3o4hoxn5 \h </w:instrText>
          </w:r>
          <w:r w:rsidRPr="00FD5CBE">
            <w:fldChar w:fldCharType="separate"/>
          </w:r>
          <w:r w:rsidRPr="00FD5CBE">
            <w:rPr>
              <w:rFonts w:ascii="Arial" w:eastAsia="Arial" w:hAnsi="Arial" w:cs="Arial"/>
            </w:rPr>
            <w:t>3</w:t>
          </w:r>
          <w:r w:rsidRPr="00FD5CBE">
            <w:fldChar w:fldCharType="end"/>
          </w:r>
        </w:p>
        <w:p w14:paraId="00000019" w14:textId="77777777" w:rsidR="00B701EC" w:rsidRPr="00FD5CBE" w:rsidRDefault="00B701EC">
          <w:pPr>
            <w:widowControl w:val="0"/>
            <w:tabs>
              <w:tab w:val="right" w:leader="dot" w:pos="9360"/>
            </w:tabs>
            <w:spacing w:before="60" w:after="0" w:line="360" w:lineRule="auto"/>
            <w:ind w:left="360"/>
            <w:rPr>
              <w:rFonts w:ascii="Arial" w:eastAsia="Arial" w:hAnsi="Arial" w:cs="Arial"/>
            </w:rPr>
          </w:pPr>
          <w:hyperlink w:anchor="_7hmznus443q4">
            <w:r w:rsidRPr="00FD5CBE">
              <w:rPr>
                <w:rFonts w:ascii="Arial" w:eastAsia="Arial" w:hAnsi="Arial" w:cs="Arial"/>
              </w:rPr>
              <w:t>2.3 Application of the Equality Act 2010</w:t>
            </w:r>
            <w:r w:rsidRPr="00FD5CBE">
              <w:rPr>
                <w:rFonts w:ascii="Arial" w:eastAsia="Arial" w:hAnsi="Arial" w:cs="Arial"/>
              </w:rPr>
              <w:tab/>
            </w:r>
          </w:hyperlink>
          <w:r w:rsidRPr="00FD5CBE">
            <w:fldChar w:fldCharType="begin"/>
          </w:r>
          <w:r w:rsidRPr="00FD5CBE">
            <w:instrText xml:space="preserve"> PAGEREF _7hmznus443q4 \h </w:instrText>
          </w:r>
          <w:r w:rsidRPr="00FD5CBE">
            <w:fldChar w:fldCharType="separate"/>
          </w:r>
          <w:r w:rsidRPr="00FD5CBE">
            <w:rPr>
              <w:rFonts w:ascii="Arial" w:eastAsia="Arial" w:hAnsi="Arial" w:cs="Arial"/>
            </w:rPr>
            <w:t>4</w:t>
          </w:r>
          <w:r w:rsidRPr="00FD5CBE">
            <w:fldChar w:fldCharType="end"/>
          </w:r>
        </w:p>
        <w:p w14:paraId="0000001A" w14:textId="77777777" w:rsidR="00B701EC" w:rsidRPr="00FD5CBE" w:rsidRDefault="00B701EC">
          <w:pPr>
            <w:widowControl w:val="0"/>
            <w:tabs>
              <w:tab w:val="right" w:leader="dot" w:pos="9360"/>
            </w:tabs>
            <w:spacing w:before="60" w:after="0" w:line="360" w:lineRule="auto"/>
            <w:ind w:left="360"/>
            <w:rPr>
              <w:rFonts w:ascii="Arial" w:eastAsia="Arial" w:hAnsi="Arial" w:cs="Arial"/>
            </w:rPr>
          </w:pPr>
          <w:hyperlink w:anchor="_kskc2ljyanrn">
            <w:r w:rsidRPr="00FD5CBE">
              <w:rPr>
                <w:rFonts w:ascii="Arial" w:eastAsia="Arial" w:hAnsi="Arial" w:cs="Arial"/>
              </w:rPr>
              <w:t>2.4 Use of a Communication Model</w:t>
            </w:r>
            <w:r w:rsidRPr="00FD5CBE">
              <w:rPr>
                <w:rFonts w:ascii="Arial" w:eastAsia="Arial" w:hAnsi="Arial" w:cs="Arial"/>
              </w:rPr>
              <w:tab/>
            </w:r>
          </w:hyperlink>
          <w:r w:rsidRPr="00FD5CBE">
            <w:fldChar w:fldCharType="begin"/>
          </w:r>
          <w:r w:rsidRPr="00FD5CBE">
            <w:instrText xml:space="preserve"> PAGEREF _kskc2ljyanrn \h </w:instrText>
          </w:r>
          <w:r w:rsidRPr="00FD5CBE">
            <w:fldChar w:fldCharType="separate"/>
          </w:r>
          <w:r w:rsidRPr="00FD5CBE">
            <w:rPr>
              <w:rFonts w:ascii="Arial" w:eastAsia="Arial" w:hAnsi="Arial" w:cs="Arial"/>
            </w:rPr>
            <w:t>4</w:t>
          </w:r>
          <w:r w:rsidRPr="00FD5CBE">
            <w:fldChar w:fldCharType="end"/>
          </w:r>
        </w:p>
        <w:p w14:paraId="0000001B" w14:textId="77777777" w:rsidR="00B701EC" w:rsidRPr="00FD5CBE" w:rsidRDefault="00B701EC">
          <w:pPr>
            <w:widowControl w:val="0"/>
            <w:tabs>
              <w:tab w:val="right" w:leader="dot" w:pos="9360"/>
            </w:tabs>
            <w:spacing w:before="60" w:after="0" w:line="360" w:lineRule="auto"/>
            <w:rPr>
              <w:rFonts w:ascii="Arial" w:eastAsia="Arial" w:hAnsi="Arial" w:cs="Arial"/>
            </w:rPr>
          </w:pPr>
          <w:hyperlink w:anchor="_9eff6i1hf216">
            <w:r w:rsidRPr="00FD5CBE">
              <w:rPr>
                <w:rFonts w:ascii="Arial" w:eastAsia="Arial" w:hAnsi="Arial" w:cs="Arial"/>
              </w:rPr>
              <w:t>3. Administrative Skills and Record-Keeping</w:t>
            </w:r>
            <w:r w:rsidRPr="00FD5CBE">
              <w:rPr>
                <w:rFonts w:ascii="Arial" w:eastAsia="Arial" w:hAnsi="Arial" w:cs="Arial"/>
              </w:rPr>
              <w:tab/>
            </w:r>
          </w:hyperlink>
          <w:r w:rsidRPr="00FD5CBE">
            <w:fldChar w:fldCharType="begin"/>
          </w:r>
          <w:r w:rsidRPr="00FD5CBE">
            <w:instrText xml:space="preserve"> PAGEREF _9eff6i1hf216 \h </w:instrText>
          </w:r>
          <w:r w:rsidRPr="00FD5CBE">
            <w:fldChar w:fldCharType="separate"/>
          </w:r>
          <w:r w:rsidRPr="00FD5CBE">
            <w:rPr>
              <w:rFonts w:ascii="Arial" w:eastAsia="Arial" w:hAnsi="Arial" w:cs="Arial"/>
            </w:rPr>
            <w:t>4</w:t>
          </w:r>
          <w:r w:rsidRPr="00FD5CBE">
            <w:fldChar w:fldCharType="end"/>
          </w:r>
        </w:p>
        <w:p w14:paraId="0000001C" w14:textId="77777777" w:rsidR="00B701EC" w:rsidRPr="00FD5CBE" w:rsidRDefault="00B701EC">
          <w:pPr>
            <w:widowControl w:val="0"/>
            <w:tabs>
              <w:tab w:val="right" w:leader="dot" w:pos="9360"/>
            </w:tabs>
            <w:spacing w:before="60" w:after="0" w:line="360" w:lineRule="auto"/>
            <w:ind w:left="360"/>
            <w:rPr>
              <w:rFonts w:ascii="Arial" w:eastAsia="Arial" w:hAnsi="Arial" w:cs="Arial"/>
            </w:rPr>
          </w:pPr>
          <w:hyperlink w:anchor="_a60ciitovq75">
            <w:r w:rsidRPr="00FD5CBE">
              <w:rPr>
                <w:rFonts w:ascii="Arial" w:eastAsia="Arial" w:hAnsi="Arial" w:cs="Arial"/>
              </w:rPr>
              <w:t>3.1 Importance of Accurate Documentation</w:t>
            </w:r>
            <w:r w:rsidRPr="00FD5CBE">
              <w:rPr>
                <w:rFonts w:ascii="Arial" w:eastAsia="Arial" w:hAnsi="Arial" w:cs="Arial"/>
              </w:rPr>
              <w:tab/>
            </w:r>
          </w:hyperlink>
          <w:r w:rsidRPr="00FD5CBE">
            <w:fldChar w:fldCharType="begin"/>
          </w:r>
          <w:r w:rsidRPr="00FD5CBE">
            <w:instrText xml:space="preserve"> PAGEREF _a60ciitovq75 \h </w:instrText>
          </w:r>
          <w:r w:rsidRPr="00FD5CBE">
            <w:fldChar w:fldCharType="separate"/>
          </w:r>
          <w:r w:rsidRPr="00FD5CBE">
            <w:rPr>
              <w:rFonts w:ascii="Arial" w:eastAsia="Arial" w:hAnsi="Arial" w:cs="Arial"/>
            </w:rPr>
            <w:t>4</w:t>
          </w:r>
          <w:r w:rsidRPr="00FD5CBE">
            <w:fldChar w:fldCharType="end"/>
          </w:r>
        </w:p>
        <w:p w14:paraId="0000001D" w14:textId="77777777" w:rsidR="00B701EC" w:rsidRPr="00FD5CBE" w:rsidRDefault="00B701EC">
          <w:pPr>
            <w:widowControl w:val="0"/>
            <w:tabs>
              <w:tab w:val="right" w:leader="dot" w:pos="9360"/>
            </w:tabs>
            <w:spacing w:before="60" w:after="0" w:line="360" w:lineRule="auto"/>
            <w:ind w:left="360"/>
            <w:rPr>
              <w:rFonts w:ascii="Arial" w:eastAsia="Arial" w:hAnsi="Arial" w:cs="Arial"/>
            </w:rPr>
          </w:pPr>
          <w:hyperlink w:anchor="_5jg1qn9afd0o">
            <w:r w:rsidRPr="00FD5CBE">
              <w:rPr>
                <w:rFonts w:ascii="Arial" w:eastAsia="Arial" w:hAnsi="Arial" w:cs="Arial"/>
              </w:rPr>
              <w:t>3.2 Risks of Poor Record Keeping</w:t>
            </w:r>
            <w:r w:rsidRPr="00FD5CBE">
              <w:rPr>
                <w:rFonts w:ascii="Arial" w:eastAsia="Arial" w:hAnsi="Arial" w:cs="Arial"/>
              </w:rPr>
              <w:tab/>
            </w:r>
          </w:hyperlink>
          <w:r w:rsidRPr="00FD5CBE">
            <w:fldChar w:fldCharType="begin"/>
          </w:r>
          <w:r w:rsidRPr="00FD5CBE">
            <w:instrText xml:space="preserve"> PAGEREF _5jg1qn9afd0o \h </w:instrText>
          </w:r>
          <w:r w:rsidRPr="00FD5CBE">
            <w:fldChar w:fldCharType="separate"/>
          </w:r>
          <w:r w:rsidRPr="00FD5CBE">
            <w:rPr>
              <w:rFonts w:ascii="Arial" w:eastAsia="Arial" w:hAnsi="Arial" w:cs="Arial"/>
            </w:rPr>
            <w:t>5</w:t>
          </w:r>
          <w:r w:rsidRPr="00FD5CBE">
            <w:fldChar w:fldCharType="end"/>
          </w:r>
        </w:p>
        <w:p w14:paraId="0000001E" w14:textId="77777777" w:rsidR="00B701EC" w:rsidRPr="00FD5CBE" w:rsidRDefault="00B701EC">
          <w:pPr>
            <w:widowControl w:val="0"/>
            <w:tabs>
              <w:tab w:val="right" w:leader="dot" w:pos="9360"/>
            </w:tabs>
            <w:spacing w:before="60" w:after="0" w:line="360" w:lineRule="auto"/>
            <w:ind w:left="360"/>
            <w:rPr>
              <w:rFonts w:ascii="Arial" w:eastAsia="Arial" w:hAnsi="Arial" w:cs="Arial"/>
            </w:rPr>
          </w:pPr>
          <w:hyperlink w:anchor="_o36p4vlnds2w">
            <w:r w:rsidRPr="00FD5CBE">
              <w:rPr>
                <w:rFonts w:ascii="Arial" w:eastAsia="Arial" w:hAnsi="Arial" w:cs="Arial"/>
              </w:rPr>
              <w:t>3.3 Data Protection Act 2018 &amp; Caldicott Principles</w:t>
            </w:r>
            <w:r w:rsidRPr="00FD5CBE">
              <w:rPr>
                <w:rFonts w:ascii="Arial" w:eastAsia="Arial" w:hAnsi="Arial" w:cs="Arial"/>
              </w:rPr>
              <w:tab/>
            </w:r>
          </w:hyperlink>
          <w:r w:rsidRPr="00FD5CBE">
            <w:fldChar w:fldCharType="begin"/>
          </w:r>
          <w:r w:rsidRPr="00FD5CBE">
            <w:instrText xml:space="preserve"> PAGEREF _o36p4vlnds2w \h </w:instrText>
          </w:r>
          <w:r w:rsidRPr="00FD5CBE">
            <w:fldChar w:fldCharType="separate"/>
          </w:r>
          <w:r w:rsidRPr="00FD5CBE">
            <w:rPr>
              <w:rFonts w:ascii="Arial" w:eastAsia="Arial" w:hAnsi="Arial" w:cs="Arial"/>
            </w:rPr>
            <w:t>5</w:t>
          </w:r>
          <w:r w:rsidRPr="00FD5CBE">
            <w:fldChar w:fldCharType="end"/>
          </w:r>
        </w:p>
        <w:p w14:paraId="0000001F" w14:textId="77777777" w:rsidR="00B701EC" w:rsidRPr="00FD5CBE" w:rsidRDefault="00B701EC">
          <w:pPr>
            <w:widowControl w:val="0"/>
            <w:tabs>
              <w:tab w:val="right" w:leader="dot" w:pos="9360"/>
            </w:tabs>
            <w:spacing w:before="60" w:after="0" w:line="360" w:lineRule="auto"/>
            <w:ind w:left="360"/>
            <w:rPr>
              <w:rFonts w:ascii="Arial" w:eastAsia="Arial" w:hAnsi="Arial" w:cs="Arial"/>
            </w:rPr>
          </w:pPr>
          <w:hyperlink w:anchor="_blbml1z81s8e">
            <w:r w:rsidRPr="00FD5CBE">
              <w:rPr>
                <w:rFonts w:ascii="Arial" w:eastAsia="Arial" w:hAnsi="Arial" w:cs="Arial"/>
              </w:rPr>
              <w:t>3.4 Policy Frameworks (NMC Code, CQC Standards)</w:t>
            </w:r>
            <w:r w:rsidRPr="00FD5CBE">
              <w:rPr>
                <w:rFonts w:ascii="Arial" w:eastAsia="Arial" w:hAnsi="Arial" w:cs="Arial"/>
              </w:rPr>
              <w:tab/>
            </w:r>
          </w:hyperlink>
          <w:r w:rsidRPr="00FD5CBE">
            <w:fldChar w:fldCharType="begin"/>
          </w:r>
          <w:r w:rsidRPr="00FD5CBE">
            <w:instrText xml:space="preserve"> PAGEREF _blbml1z81s8e \h </w:instrText>
          </w:r>
          <w:r w:rsidRPr="00FD5CBE">
            <w:fldChar w:fldCharType="separate"/>
          </w:r>
          <w:r w:rsidRPr="00FD5CBE">
            <w:rPr>
              <w:rFonts w:ascii="Arial" w:eastAsia="Arial" w:hAnsi="Arial" w:cs="Arial"/>
            </w:rPr>
            <w:t>5</w:t>
          </w:r>
          <w:r w:rsidRPr="00FD5CBE">
            <w:fldChar w:fldCharType="end"/>
          </w:r>
        </w:p>
        <w:p w14:paraId="00000020" w14:textId="77777777" w:rsidR="00B701EC" w:rsidRPr="00FD5CBE" w:rsidRDefault="00B701EC">
          <w:pPr>
            <w:widowControl w:val="0"/>
            <w:tabs>
              <w:tab w:val="right" w:leader="dot" w:pos="9360"/>
            </w:tabs>
            <w:spacing w:before="60" w:after="0" w:line="360" w:lineRule="auto"/>
            <w:rPr>
              <w:rFonts w:ascii="Arial" w:eastAsia="Arial" w:hAnsi="Arial" w:cs="Arial"/>
            </w:rPr>
          </w:pPr>
          <w:hyperlink w:anchor="_knxglwaa315">
            <w:r w:rsidRPr="00FD5CBE">
              <w:rPr>
                <w:rFonts w:ascii="Arial" w:eastAsia="Arial" w:hAnsi="Arial" w:cs="Arial"/>
              </w:rPr>
              <w:t>4. Collaborative Working in Health and Social Care</w:t>
            </w:r>
            <w:r w:rsidRPr="00FD5CBE">
              <w:rPr>
                <w:rFonts w:ascii="Arial" w:eastAsia="Arial" w:hAnsi="Arial" w:cs="Arial"/>
              </w:rPr>
              <w:tab/>
            </w:r>
          </w:hyperlink>
          <w:r w:rsidRPr="00FD5CBE">
            <w:fldChar w:fldCharType="begin"/>
          </w:r>
          <w:r w:rsidRPr="00FD5CBE">
            <w:instrText xml:space="preserve"> PAGEREF _knxglwaa315 \h </w:instrText>
          </w:r>
          <w:r w:rsidRPr="00FD5CBE">
            <w:fldChar w:fldCharType="separate"/>
          </w:r>
          <w:r w:rsidRPr="00FD5CBE">
            <w:rPr>
              <w:rFonts w:ascii="Arial" w:eastAsia="Arial" w:hAnsi="Arial" w:cs="Arial"/>
            </w:rPr>
            <w:t>5</w:t>
          </w:r>
          <w:r w:rsidRPr="00FD5CBE">
            <w:fldChar w:fldCharType="end"/>
          </w:r>
        </w:p>
        <w:p w14:paraId="00000021" w14:textId="77777777" w:rsidR="00B701EC" w:rsidRPr="00FD5CBE" w:rsidRDefault="00B701EC">
          <w:pPr>
            <w:widowControl w:val="0"/>
            <w:tabs>
              <w:tab w:val="right" w:leader="dot" w:pos="9360"/>
            </w:tabs>
            <w:spacing w:before="60" w:after="0" w:line="360" w:lineRule="auto"/>
            <w:ind w:left="360"/>
            <w:rPr>
              <w:rFonts w:ascii="Arial" w:eastAsia="Arial" w:hAnsi="Arial" w:cs="Arial"/>
            </w:rPr>
          </w:pPr>
          <w:hyperlink w:anchor="_bg08zdfnuuzg">
            <w:r w:rsidRPr="00FD5CBE">
              <w:rPr>
                <w:rFonts w:ascii="Arial" w:eastAsia="Arial" w:hAnsi="Arial" w:cs="Arial"/>
              </w:rPr>
              <w:t>4.1 Importance of Multi-Agency Collaboration</w:t>
            </w:r>
            <w:r w:rsidRPr="00FD5CBE">
              <w:rPr>
                <w:rFonts w:ascii="Arial" w:eastAsia="Arial" w:hAnsi="Arial" w:cs="Arial"/>
              </w:rPr>
              <w:tab/>
            </w:r>
          </w:hyperlink>
          <w:r w:rsidRPr="00FD5CBE">
            <w:fldChar w:fldCharType="begin"/>
          </w:r>
          <w:r w:rsidRPr="00FD5CBE">
            <w:instrText xml:space="preserve"> PAGEREF _bg08zdfnuuzg \h </w:instrText>
          </w:r>
          <w:r w:rsidRPr="00FD5CBE">
            <w:fldChar w:fldCharType="separate"/>
          </w:r>
          <w:r w:rsidRPr="00FD5CBE">
            <w:rPr>
              <w:rFonts w:ascii="Arial" w:eastAsia="Arial" w:hAnsi="Arial" w:cs="Arial"/>
            </w:rPr>
            <w:t>5</w:t>
          </w:r>
          <w:r w:rsidRPr="00FD5CBE">
            <w:fldChar w:fldCharType="end"/>
          </w:r>
        </w:p>
        <w:p w14:paraId="00000022" w14:textId="77777777" w:rsidR="00B701EC" w:rsidRPr="00FD5CBE" w:rsidRDefault="00B701EC">
          <w:pPr>
            <w:widowControl w:val="0"/>
            <w:tabs>
              <w:tab w:val="right" w:leader="dot" w:pos="9360"/>
            </w:tabs>
            <w:spacing w:before="60" w:after="0" w:line="360" w:lineRule="auto"/>
            <w:ind w:left="360"/>
            <w:rPr>
              <w:rFonts w:ascii="Arial" w:eastAsia="Arial" w:hAnsi="Arial" w:cs="Arial"/>
            </w:rPr>
          </w:pPr>
          <w:hyperlink w:anchor="_rhsiojo5tcgj">
            <w:r w:rsidRPr="00FD5CBE">
              <w:rPr>
                <w:rFonts w:ascii="Arial" w:eastAsia="Arial" w:hAnsi="Arial" w:cs="Arial"/>
              </w:rPr>
              <w:t>4.2 Approaches to Effective Collaboration</w:t>
            </w:r>
            <w:r w:rsidRPr="00FD5CBE">
              <w:rPr>
                <w:rFonts w:ascii="Arial" w:eastAsia="Arial" w:hAnsi="Arial" w:cs="Arial"/>
              </w:rPr>
              <w:tab/>
            </w:r>
          </w:hyperlink>
          <w:r w:rsidRPr="00FD5CBE">
            <w:fldChar w:fldCharType="begin"/>
          </w:r>
          <w:r w:rsidRPr="00FD5CBE">
            <w:instrText xml:space="preserve"> PAGEREF _rhsiojo5tcgj \h </w:instrText>
          </w:r>
          <w:r w:rsidRPr="00FD5CBE">
            <w:fldChar w:fldCharType="separate"/>
          </w:r>
          <w:r w:rsidRPr="00FD5CBE">
            <w:rPr>
              <w:rFonts w:ascii="Arial" w:eastAsia="Arial" w:hAnsi="Arial" w:cs="Arial"/>
            </w:rPr>
            <w:t>6</w:t>
          </w:r>
          <w:r w:rsidRPr="00FD5CBE">
            <w:fldChar w:fldCharType="end"/>
          </w:r>
        </w:p>
        <w:p w14:paraId="00000023" w14:textId="77777777" w:rsidR="00B701EC" w:rsidRPr="00FD5CBE" w:rsidRDefault="00B701EC">
          <w:pPr>
            <w:widowControl w:val="0"/>
            <w:tabs>
              <w:tab w:val="right" w:leader="dot" w:pos="9360"/>
            </w:tabs>
            <w:spacing w:before="60" w:after="0" w:line="360" w:lineRule="auto"/>
            <w:ind w:left="360"/>
            <w:rPr>
              <w:rFonts w:ascii="Arial" w:eastAsia="Arial" w:hAnsi="Arial" w:cs="Arial"/>
            </w:rPr>
          </w:pPr>
          <w:hyperlink w:anchor="_5t288m7vegvn">
            <w:r w:rsidRPr="00FD5CBE">
              <w:rPr>
                <w:rFonts w:ascii="Arial" w:eastAsia="Arial" w:hAnsi="Arial" w:cs="Arial"/>
              </w:rPr>
              <w:t>4.3 Challenges and Strategies</w:t>
            </w:r>
            <w:r w:rsidRPr="00FD5CBE">
              <w:rPr>
                <w:rFonts w:ascii="Arial" w:eastAsia="Arial" w:hAnsi="Arial" w:cs="Arial"/>
              </w:rPr>
              <w:tab/>
            </w:r>
          </w:hyperlink>
          <w:r w:rsidRPr="00FD5CBE">
            <w:fldChar w:fldCharType="begin"/>
          </w:r>
          <w:r w:rsidRPr="00FD5CBE">
            <w:instrText xml:space="preserve"> PAGEREF _5t288m7vegvn \h </w:instrText>
          </w:r>
          <w:r w:rsidRPr="00FD5CBE">
            <w:fldChar w:fldCharType="separate"/>
          </w:r>
          <w:r w:rsidRPr="00FD5CBE">
            <w:rPr>
              <w:rFonts w:ascii="Arial" w:eastAsia="Arial" w:hAnsi="Arial" w:cs="Arial"/>
            </w:rPr>
            <w:t>6</w:t>
          </w:r>
          <w:r w:rsidRPr="00FD5CBE">
            <w:fldChar w:fldCharType="end"/>
          </w:r>
        </w:p>
        <w:p w14:paraId="00000024" w14:textId="77777777" w:rsidR="00B701EC" w:rsidRPr="00FD5CBE" w:rsidRDefault="00B701EC">
          <w:pPr>
            <w:widowControl w:val="0"/>
            <w:tabs>
              <w:tab w:val="right" w:leader="dot" w:pos="9360"/>
            </w:tabs>
            <w:spacing w:before="60" w:after="0" w:line="360" w:lineRule="auto"/>
            <w:rPr>
              <w:rFonts w:ascii="Arial" w:eastAsia="Arial" w:hAnsi="Arial" w:cs="Arial"/>
            </w:rPr>
          </w:pPr>
          <w:hyperlink w:anchor="_80rcmam1gi9c">
            <w:r w:rsidRPr="00FD5CBE">
              <w:rPr>
                <w:rFonts w:ascii="Arial" w:eastAsia="Arial" w:hAnsi="Arial" w:cs="Arial"/>
              </w:rPr>
              <w:t>5. Conclusion</w:t>
            </w:r>
            <w:r w:rsidRPr="00FD5CBE">
              <w:rPr>
                <w:rFonts w:ascii="Arial" w:eastAsia="Arial" w:hAnsi="Arial" w:cs="Arial"/>
              </w:rPr>
              <w:tab/>
            </w:r>
          </w:hyperlink>
          <w:r w:rsidRPr="00FD5CBE">
            <w:fldChar w:fldCharType="begin"/>
          </w:r>
          <w:r w:rsidRPr="00FD5CBE">
            <w:instrText xml:space="preserve"> PAGEREF _80rcmam1gi9c \h </w:instrText>
          </w:r>
          <w:r w:rsidRPr="00FD5CBE">
            <w:fldChar w:fldCharType="separate"/>
          </w:r>
          <w:r w:rsidRPr="00FD5CBE">
            <w:rPr>
              <w:rFonts w:ascii="Arial" w:eastAsia="Arial" w:hAnsi="Arial" w:cs="Arial"/>
            </w:rPr>
            <w:t>6</w:t>
          </w:r>
          <w:r w:rsidRPr="00FD5CBE">
            <w:fldChar w:fldCharType="end"/>
          </w:r>
          <w:r w:rsidRPr="00FD5CBE">
            <w:fldChar w:fldCharType="end"/>
          </w:r>
        </w:p>
      </w:sdtContent>
    </w:sdt>
    <w:p w14:paraId="00000025" w14:textId="77777777" w:rsidR="00B701EC" w:rsidRPr="00FD5CBE" w:rsidRDefault="00BE4328">
      <w:pPr>
        <w:spacing w:line="360" w:lineRule="auto"/>
        <w:jc w:val="both"/>
        <w:rPr>
          <w:rFonts w:ascii="Arial" w:eastAsia="Arial" w:hAnsi="Arial" w:cs="Arial"/>
          <w:sz w:val="22"/>
          <w:szCs w:val="22"/>
        </w:rPr>
      </w:pPr>
      <w:r w:rsidRPr="00FD5CBE">
        <w:br w:type="page"/>
      </w:r>
    </w:p>
    <w:p w14:paraId="00000026" w14:textId="77777777" w:rsidR="00B701EC" w:rsidRDefault="00BE4328">
      <w:pPr>
        <w:pStyle w:val="Heading2"/>
        <w:spacing w:line="360" w:lineRule="auto"/>
        <w:jc w:val="both"/>
        <w:rPr>
          <w:rFonts w:ascii="Arial" w:eastAsia="Arial" w:hAnsi="Arial" w:cs="Arial"/>
          <w:b/>
          <w:color w:val="000000"/>
          <w:sz w:val="28"/>
          <w:szCs w:val="28"/>
        </w:rPr>
      </w:pPr>
      <w:bookmarkStart w:id="0" w:name="_e543yuc9nmev" w:colFirst="0" w:colLast="0"/>
      <w:bookmarkEnd w:id="0"/>
      <w:r>
        <w:rPr>
          <w:rFonts w:ascii="Arial" w:eastAsia="Arial" w:hAnsi="Arial" w:cs="Arial"/>
          <w:b/>
          <w:color w:val="000000"/>
          <w:sz w:val="28"/>
          <w:szCs w:val="28"/>
        </w:rPr>
        <w:t xml:space="preserve">1. Introduction </w:t>
      </w:r>
    </w:p>
    <w:p w14:paraId="430011CA" w14:textId="5CDE24FA" w:rsidR="00D27D55" w:rsidRPr="00D27D55" w:rsidRDefault="00D27D55">
      <w:pPr>
        <w:spacing w:line="360" w:lineRule="auto"/>
        <w:jc w:val="both"/>
        <w:rPr>
          <w:rFonts w:ascii="Arial" w:eastAsia="Arial" w:hAnsi="Arial" w:cs="Arial"/>
          <w:sz w:val="22"/>
          <w:szCs w:val="22"/>
          <w:highlight w:val="yellow"/>
        </w:rPr>
      </w:pPr>
      <w:r w:rsidRPr="00D27D55">
        <w:rPr>
          <w:rFonts w:ascii="Arial" w:eastAsia="Arial" w:hAnsi="Arial" w:cs="Arial"/>
          <w:sz w:val="22"/>
          <w:szCs w:val="22"/>
        </w:rPr>
        <w:t xml:space="preserve">A 72-year-old woman who underwent hip replacement surgery, Mrs Mann is a vulnerable service user of the health and social care system of the UK. Her case is an important example of critical failures and opportunities in communication, documentation, and collaborative practice. As a result of residing alone and inadequate proficiency in English, I need domiciliary care and physiotherapy. The principles of safe care delivery and shared decision-making have a basis in effective communication, especially in the case of a linguistic or cultural barrier (Hughes et al., 2024). This is the same with accuracy in administration, which must ensure avoidance of harmful effects since improper handling of documentation has been demonstrated to cause displeasure with care and lack of trust (Marier et al., 2024). In addition, the care continuity and the decrease in fragmentation are augmented by multi-agency collaboration between carers, physiotherapists and GPs (Skinner, </w:t>
      </w:r>
      <w:proofErr w:type="spellStart"/>
      <w:r w:rsidRPr="00D27D55">
        <w:rPr>
          <w:rFonts w:ascii="Arial" w:eastAsia="Arial" w:hAnsi="Arial" w:cs="Arial"/>
          <w:sz w:val="22"/>
          <w:szCs w:val="22"/>
        </w:rPr>
        <w:t>Veenstra</w:t>
      </w:r>
      <w:proofErr w:type="spellEnd"/>
      <w:r w:rsidRPr="00D27D55">
        <w:rPr>
          <w:rFonts w:ascii="Arial" w:eastAsia="Arial" w:hAnsi="Arial" w:cs="Arial"/>
          <w:sz w:val="22"/>
          <w:szCs w:val="22"/>
        </w:rPr>
        <w:t xml:space="preserve"> and </w:t>
      </w:r>
      <w:proofErr w:type="spellStart"/>
      <w:r w:rsidRPr="00D27D55">
        <w:rPr>
          <w:rFonts w:ascii="Arial" w:eastAsia="Arial" w:hAnsi="Arial" w:cs="Arial"/>
          <w:sz w:val="22"/>
          <w:szCs w:val="22"/>
        </w:rPr>
        <w:t>Sogstad</w:t>
      </w:r>
      <w:proofErr w:type="spellEnd"/>
      <w:r w:rsidRPr="00D27D55">
        <w:rPr>
          <w:rFonts w:ascii="Arial" w:eastAsia="Arial" w:hAnsi="Arial" w:cs="Arial"/>
          <w:sz w:val="22"/>
          <w:szCs w:val="22"/>
        </w:rPr>
        <w:t>, 2021). It is in this report that the three pillars are critically reviewed and how they are all assembled in the care journey of Mrs Mann.</w:t>
      </w:r>
    </w:p>
    <w:p w14:paraId="00000028" w14:textId="77777777" w:rsidR="00B701EC" w:rsidRPr="00D27D55" w:rsidRDefault="00BE4328">
      <w:pPr>
        <w:pStyle w:val="Heading2"/>
        <w:spacing w:line="360" w:lineRule="auto"/>
        <w:jc w:val="both"/>
        <w:rPr>
          <w:rFonts w:ascii="Arial" w:eastAsia="Arial" w:hAnsi="Arial" w:cs="Arial"/>
          <w:b/>
          <w:color w:val="000000"/>
          <w:sz w:val="28"/>
          <w:szCs w:val="28"/>
        </w:rPr>
      </w:pPr>
      <w:bookmarkStart w:id="1" w:name="_nd4jynoos08" w:colFirst="0" w:colLast="0"/>
      <w:bookmarkEnd w:id="1"/>
      <w:r w:rsidRPr="00D27D55">
        <w:rPr>
          <w:rFonts w:ascii="Arial" w:eastAsia="Arial" w:hAnsi="Arial" w:cs="Arial"/>
          <w:b/>
          <w:color w:val="000000"/>
          <w:sz w:val="28"/>
          <w:szCs w:val="28"/>
        </w:rPr>
        <w:t>2. Effective Communication in Health and Social Care</w:t>
      </w:r>
    </w:p>
    <w:p w14:paraId="00000029" w14:textId="77777777" w:rsidR="00B701EC" w:rsidRPr="00D27D55" w:rsidRDefault="00BE4328">
      <w:pPr>
        <w:pStyle w:val="Heading3"/>
        <w:spacing w:line="360" w:lineRule="auto"/>
        <w:jc w:val="both"/>
        <w:rPr>
          <w:rFonts w:ascii="Arial" w:eastAsia="Arial" w:hAnsi="Arial" w:cs="Arial"/>
          <w:b/>
          <w:color w:val="000000"/>
          <w:sz w:val="26"/>
          <w:szCs w:val="26"/>
        </w:rPr>
      </w:pPr>
      <w:bookmarkStart w:id="2" w:name="_8w23pd3tbq3a" w:colFirst="0" w:colLast="0"/>
      <w:bookmarkEnd w:id="2"/>
      <w:r w:rsidRPr="00D27D55">
        <w:rPr>
          <w:rFonts w:ascii="Arial" w:eastAsia="Arial" w:hAnsi="Arial" w:cs="Arial"/>
          <w:b/>
          <w:color w:val="000000"/>
          <w:sz w:val="26"/>
          <w:szCs w:val="26"/>
        </w:rPr>
        <w:t>2.1 Importance of Communication in Mrs. Mann’s Case</w:t>
      </w:r>
    </w:p>
    <w:p w14:paraId="3CAFE908" w14:textId="34F66422" w:rsidR="00D27D55" w:rsidRPr="00D27D55" w:rsidRDefault="00D27D55">
      <w:pPr>
        <w:spacing w:line="360" w:lineRule="auto"/>
        <w:jc w:val="both"/>
        <w:rPr>
          <w:rFonts w:ascii="Arial" w:eastAsia="Arial" w:hAnsi="Arial" w:cs="Arial"/>
          <w:sz w:val="22"/>
          <w:szCs w:val="22"/>
          <w:highlight w:val="yellow"/>
        </w:rPr>
      </w:pPr>
      <w:r w:rsidRPr="00D27D55">
        <w:rPr>
          <w:rFonts w:ascii="Arial" w:eastAsia="Arial" w:hAnsi="Arial" w:cs="Arial"/>
          <w:sz w:val="22"/>
          <w:szCs w:val="22"/>
        </w:rPr>
        <w:t>Patient safety and dignity are possible through communication and are essential in complicated cases like that of Mrs Mann. Nevertheless, her medication adjustment was delayed directly in relation to the difficulties in communication, and this fact proved that any lapse in information transfer could cause a disruption in clinical performance. Based on the data provided by the NHS, such incidents are commonplace and can be avoided in case patient-focused communication is exercised in an understandable and timely fashion (Lee et al., 2021). Also, respect and inclusive communication promote trust, which is vital to the care of the elderly, enhancing adherence and the general level of engagement (Prestwich, Flanagan and Khan, 2025). The continuity of care is, thus, grounded in communication and risk reduction.</w:t>
      </w:r>
    </w:p>
    <w:p w14:paraId="0000002B" w14:textId="77777777" w:rsidR="00B701EC" w:rsidRPr="00D27D55" w:rsidRDefault="00BE4328">
      <w:pPr>
        <w:pStyle w:val="Heading3"/>
        <w:spacing w:line="360" w:lineRule="auto"/>
        <w:jc w:val="both"/>
        <w:rPr>
          <w:rFonts w:ascii="Arial" w:eastAsia="Arial" w:hAnsi="Arial" w:cs="Arial"/>
          <w:b/>
          <w:color w:val="000000"/>
          <w:sz w:val="26"/>
          <w:szCs w:val="26"/>
        </w:rPr>
      </w:pPr>
      <w:bookmarkStart w:id="3" w:name="_ehfg3o4hoxn5" w:colFirst="0" w:colLast="0"/>
      <w:bookmarkEnd w:id="3"/>
      <w:r w:rsidRPr="00D27D55">
        <w:rPr>
          <w:rFonts w:ascii="Arial" w:eastAsia="Arial" w:hAnsi="Arial" w:cs="Arial"/>
          <w:b/>
          <w:color w:val="000000"/>
          <w:sz w:val="26"/>
          <w:szCs w:val="26"/>
        </w:rPr>
        <w:t>2.2 Addressing Language and Cultural Barriers</w:t>
      </w:r>
    </w:p>
    <w:p w14:paraId="0000002C" w14:textId="267E057D" w:rsidR="00B701EC" w:rsidRDefault="00BE4328">
      <w:pPr>
        <w:spacing w:line="360" w:lineRule="auto"/>
        <w:jc w:val="both"/>
        <w:rPr>
          <w:rFonts w:ascii="Arial" w:eastAsia="Arial" w:hAnsi="Arial" w:cs="Arial"/>
          <w:sz w:val="22"/>
          <w:szCs w:val="22"/>
        </w:rPr>
      </w:pPr>
      <w:r w:rsidRPr="00D27D55">
        <w:rPr>
          <w:rFonts w:ascii="Arial" w:eastAsia="Arial" w:hAnsi="Arial" w:cs="Arial"/>
          <w:sz w:val="22"/>
          <w:szCs w:val="22"/>
        </w:rPr>
        <w:t>The language barrier, which prevented Mrs</w:t>
      </w:r>
      <w:r w:rsidRPr="00D27D55">
        <w:rPr>
          <w:rFonts w:ascii="Arial" w:eastAsia="Arial" w:hAnsi="Arial" w:cs="Arial"/>
          <w:sz w:val="22"/>
          <w:szCs w:val="22"/>
        </w:rPr>
        <w:t xml:space="preserve"> Mann from receiving equitable and safe care, is explained by her limited English skills. The use of her daughter as an interpreter alone reduces confidentiality and accuracy, which is similarly considered in the context of NHS settings (</w:t>
      </w:r>
      <w:proofErr w:type="spellStart"/>
      <w:r w:rsidRPr="00D27D55">
        <w:rPr>
          <w:rFonts w:ascii="Arial" w:eastAsia="Arial" w:hAnsi="Arial" w:cs="Arial"/>
          <w:sz w:val="22"/>
          <w:szCs w:val="22"/>
        </w:rPr>
        <w:t>Srivastava</w:t>
      </w:r>
      <w:proofErr w:type="spellEnd"/>
      <w:r w:rsidRPr="00D27D55">
        <w:rPr>
          <w:rFonts w:ascii="Arial" w:eastAsia="Arial" w:hAnsi="Arial" w:cs="Arial"/>
          <w:sz w:val="22"/>
          <w:szCs w:val="22"/>
        </w:rPr>
        <w:t xml:space="preserve">, </w:t>
      </w:r>
      <w:proofErr w:type="spellStart"/>
      <w:r w:rsidRPr="00D27D55">
        <w:rPr>
          <w:rFonts w:ascii="Arial" w:eastAsia="Arial" w:hAnsi="Arial" w:cs="Arial"/>
          <w:sz w:val="22"/>
          <w:szCs w:val="22"/>
        </w:rPr>
        <w:t>Pinidiya</w:t>
      </w:r>
      <w:proofErr w:type="spellEnd"/>
      <w:r w:rsidRPr="00D27D55">
        <w:rPr>
          <w:rFonts w:ascii="Arial" w:eastAsia="Arial" w:hAnsi="Arial" w:cs="Arial"/>
          <w:sz w:val="22"/>
          <w:szCs w:val="22"/>
        </w:rPr>
        <w:t xml:space="preserve"> and Marsh, 2025).</w:t>
      </w:r>
      <w:r>
        <w:rPr>
          <w:rFonts w:ascii="Arial" w:eastAsia="Arial" w:hAnsi="Arial" w:cs="Arial"/>
          <w:sz w:val="22"/>
          <w:szCs w:val="22"/>
        </w:rPr>
        <w:t xml:space="preserve"> It is also essential to be culturally sensitive, </w:t>
      </w:r>
      <w:proofErr w:type="spellStart"/>
      <w:r>
        <w:rPr>
          <w:rFonts w:ascii="Arial" w:eastAsia="Arial" w:hAnsi="Arial" w:cs="Arial"/>
          <w:sz w:val="22"/>
          <w:szCs w:val="22"/>
        </w:rPr>
        <w:t>honouring</w:t>
      </w:r>
      <w:proofErr w:type="spellEnd"/>
      <w:r>
        <w:rPr>
          <w:rFonts w:ascii="Arial" w:eastAsia="Arial" w:hAnsi="Arial" w:cs="Arial"/>
          <w:sz w:val="22"/>
          <w:szCs w:val="22"/>
        </w:rPr>
        <w:t xml:space="preserve"> her beliefs, language, and customs and respecting her dignity and trust (</w:t>
      </w:r>
      <w:proofErr w:type="spellStart"/>
      <w:r>
        <w:rPr>
          <w:rFonts w:ascii="Arial" w:eastAsia="Arial" w:hAnsi="Arial" w:cs="Arial"/>
          <w:sz w:val="22"/>
          <w:szCs w:val="22"/>
        </w:rPr>
        <w:t>Puthoopparambil</w:t>
      </w:r>
      <w:proofErr w:type="spellEnd"/>
      <w:r>
        <w:rPr>
          <w:rFonts w:ascii="Arial" w:eastAsia="Arial" w:hAnsi="Arial" w:cs="Arial"/>
          <w:sz w:val="22"/>
          <w:szCs w:val="22"/>
        </w:rPr>
        <w:t xml:space="preserve">, </w:t>
      </w:r>
      <w:proofErr w:type="spellStart"/>
      <w:r>
        <w:rPr>
          <w:rFonts w:ascii="Arial" w:eastAsia="Arial" w:hAnsi="Arial" w:cs="Arial"/>
          <w:sz w:val="22"/>
          <w:szCs w:val="22"/>
        </w:rPr>
        <w:t>Phelan</w:t>
      </w:r>
      <w:proofErr w:type="spellEnd"/>
      <w:r>
        <w:rPr>
          <w:rFonts w:ascii="Arial" w:eastAsia="Arial" w:hAnsi="Arial" w:cs="Arial"/>
          <w:sz w:val="22"/>
          <w:szCs w:val="22"/>
        </w:rPr>
        <w:t xml:space="preserve">, and </w:t>
      </w:r>
      <w:proofErr w:type="spellStart"/>
      <w:r>
        <w:rPr>
          <w:rFonts w:ascii="Arial" w:eastAsia="Arial" w:hAnsi="Arial" w:cs="Arial"/>
          <w:sz w:val="22"/>
          <w:szCs w:val="22"/>
        </w:rPr>
        <w:t>MacFarlane</w:t>
      </w:r>
      <w:proofErr w:type="spellEnd"/>
      <w:r>
        <w:rPr>
          <w:rFonts w:ascii="Arial" w:eastAsia="Arial" w:hAnsi="Arial" w:cs="Arial"/>
          <w:sz w:val="22"/>
          <w:szCs w:val="22"/>
        </w:rPr>
        <w:t>, 2021). Qualified interpreters, translated resources, illustrat</w:t>
      </w:r>
      <w:r>
        <w:rPr>
          <w:rFonts w:ascii="Arial" w:eastAsia="Arial" w:hAnsi="Arial" w:cs="Arial"/>
          <w:sz w:val="22"/>
          <w:szCs w:val="22"/>
        </w:rPr>
        <w:t xml:space="preserve">ions and basic Urdu-trained staff members are effective measures to raise awareness and </w:t>
      </w:r>
      <w:proofErr w:type="spellStart"/>
      <w:r>
        <w:rPr>
          <w:rFonts w:ascii="Arial" w:eastAsia="Arial" w:hAnsi="Arial" w:cs="Arial"/>
          <w:sz w:val="22"/>
          <w:szCs w:val="22"/>
        </w:rPr>
        <w:t>minimise</w:t>
      </w:r>
      <w:proofErr w:type="spellEnd"/>
      <w:r>
        <w:rPr>
          <w:rFonts w:ascii="Arial" w:eastAsia="Arial" w:hAnsi="Arial" w:cs="Arial"/>
          <w:sz w:val="22"/>
          <w:szCs w:val="22"/>
        </w:rPr>
        <w:t xml:space="preserve"> harm (Patel </w:t>
      </w:r>
      <w:r w:rsidR="00FD5CBE" w:rsidRPr="00FD5CBE">
        <w:rPr>
          <w:rFonts w:ascii="Arial" w:eastAsia="Arial" w:hAnsi="Arial" w:cs="Arial"/>
          <w:i/>
          <w:iCs/>
          <w:sz w:val="22"/>
          <w:szCs w:val="22"/>
        </w:rPr>
        <w:t>et al</w:t>
      </w:r>
      <w:r>
        <w:rPr>
          <w:rFonts w:ascii="Arial" w:eastAsia="Arial" w:hAnsi="Arial" w:cs="Arial"/>
          <w:sz w:val="22"/>
          <w:szCs w:val="22"/>
        </w:rPr>
        <w:t>., 2022). In the absence of these, communication gaps may worsen health disparities.</w:t>
      </w:r>
    </w:p>
    <w:p w14:paraId="0000002D" w14:textId="77777777" w:rsidR="00B701EC" w:rsidRDefault="00BE4328">
      <w:pPr>
        <w:pStyle w:val="Heading3"/>
        <w:spacing w:line="360" w:lineRule="auto"/>
        <w:jc w:val="both"/>
        <w:rPr>
          <w:rFonts w:ascii="Arial" w:eastAsia="Arial" w:hAnsi="Arial" w:cs="Arial"/>
          <w:b/>
          <w:color w:val="000000"/>
          <w:sz w:val="26"/>
          <w:szCs w:val="26"/>
        </w:rPr>
      </w:pPr>
      <w:bookmarkStart w:id="4" w:name="_7hmznus443q4" w:colFirst="0" w:colLast="0"/>
      <w:bookmarkEnd w:id="4"/>
      <w:r>
        <w:rPr>
          <w:rFonts w:ascii="Arial" w:eastAsia="Arial" w:hAnsi="Arial" w:cs="Arial"/>
          <w:b/>
          <w:color w:val="000000"/>
          <w:sz w:val="26"/>
          <w:szCs w:val="26"/>
        </w:rPr>
        <w:t>2.3 Application of the Equality Act 2010</w:t>
      </w:r>
    </w:p>
    <w:p w14:paraId="0000002E" w14:textId="4A29B4B2" w:rsidR="00B701EC" w:rsidRDefault="00BE4328">
      <w:pPr>
        <w:spacing w:line="360" w:lineRule="auto"/>
        <w:jc w:val="both"/>
        <w:rPr>
          <w:rFonts w:ascii="Arial" w:eastAsia="Arial" w:hAnsi="Arial" w:cs="Arial"/>
          <w:sz w:val="22"/>
          <w:szCs w:val="22"/>
        </w:rPr>
      </w:pPr>
      <w:r>
        <w:rPr>
          <w:rFonts w:ascii="Arial" w:eastAsia="Arial" w:hAnsi="Arial" w:cs="Arial"/>
          <w:sz w:val="22"/>
          <w:szCs w:val="22"/>
        </w:rPr>
        <w:t xml:space="preserve">The Equality Act 2010 requires the provision of care without any form of discrimination to people such as Mrs Mann, an elderly adult who speaks Urdu, regardless of language or ethnicity. It imposes the legal obligation to make a reasonable adjustment, which could include using an interpreter or culturally sensitive resources to eliminate communication barriers (Marmot </w:t>
      </w:r>
      <w:r w:rsidR="00FD5CBE" w:rsidRPr="00FD5CBE">
        <w:rPr>
          <w:rFonts w:ascii="Arial" w:eastAsia="Arial" w:hAnsi="Arial" w:cs="Arial"/>
          <w:i/>
          <w:iCs/>
          <w:sz w:val="22"/>
          <w:szCs w:val="22"/>
        </w:rPr>
        <w:t>et al</w:t>
      </w:r>
      <w:r>
        <w:rPr>
          <w:rFonts w:ascii="Arial" w:eastAsia="Arial" w:hAnsi="Arial" w:cs="Arial"/>
          <w:sz w:val="22"/>
          <w:szCs w:val="22"/>
        </w:rPr>
        <w:t xml:space="preserve">., 2020). Inclusive communication is also equitable in terms of access, dignity, and safety, and avoids indirect discrimination built into </w:t>
      </w:r>
      <w:proofErr w:type="spellStart"/>
      <w:r>
        <w:rPr>
          <w:rFonts w:ascii="Arial" w:eastAsia="Arial" w:hAnsi="Arial" w:cs="Arial"/>
          <w:sz w:val="22"/>
          <w:szCs w:val="22"/>
        </w:rPr>
        <w:t>standardised</w:t>
      </w:r>
      <w:proofErr w:type="spellEnd"/>
      <w:r>
        <w:rPr>
          <w:rFonts w:ascii="Arial" w:eastAsia="Arial" w:hAnsi="Arial" w:cs="Arial"/>
          <w:sz w:val="22"/>
          <w:szCs w:val="22"/>
        </w:rPr>
        <w:t xml:space="preserve"> English-only practices (</w:t>
      </w:r>
      <w:proofErr w:type="spellStart"/>
      <w:r>
        <w:rPr>
          <w:rFonts w:ascii="Arial" w:eastAsia="Arial" w:hAnsi="Arial" w:cs="Arial"/>
          <w:sz w:val="22"/>
          <w:szCs w:val="22"/>
        </w:rPr>
        <w:t>Bécares</w:t>
      </w:r>
      <w:proofErr w:type="spellEnd"/>
      <w:r>
        <w:rPr>
          <w:rFonts w:ascii="Arial" w:eastAsia="Arial" w:hAnsi="Arial" w:cs="Arial"/>
          <w:sz w:val="22"/>
          <w:szCs w:val="22"/>
        </w:rPr>
        <w:t xml:space="preserve"> and </w:t>
      </w:r>
      <w:proofErr w:type="spellStart"/>
      <w:r>
        <w:rPr>
          <w:rFonts w:ascii="Arial" w:eastAsia="Arial" w:hAnsi="Arial" w:cs="Arial"/>
          <w:sz w:val="22"/>
          <w:szCs w:val="22"/>
        </w:rPr>
        <w:t>Nazroo</w:t>
      </w:r>
      <w:proofErr w:type="spellEnd"/>
      <w:r>
        <w:rPr>
          <w:rFonts w:ascii="Arial" w:eastAsia="Arial" w:hAnsi="Arial" w:cs="Arial"/>
          <w:sz w:val="22"/>
          <w:szCs w:val="22"/>
        </w:rPr>
        <w:t xml:space="preserve">, 2020). Services should be </w:t>
      </w:r>
      <w:proofErr w:type="spellStart"/>
      <w:r>
        <w:rPr>
          <w:rFonts w:ascii="Arial" w:eastAsia="Arial" w:hAnsi="Arial" w:cs="Arial"/>
          <w:sz w:val="22"/>
          <w:szCs w:val="22"/>
        </w:rPr>
        <w:t>individualised</w:t>
      </w:r>
      <w:proofErr w:type="spellEnd"/>
      <w:r>
        <w:rPr>
          <w:rFonts w:ascii="Arial" w:eastAsia="Arial" w:hAnsi="Arial" w:cs="Arial"/>
          <w:sz w:val="22"/>
          <w:szCs w:val="22"/>
        </w:rPr>
        <w:t xml:space="preserve"> according to the needs of languages and cultures, or the violation of ethical standards and statutory requirements risks both.</w:t>
      </w:r>
    </w:p>
    <w:p w14:paraId="0000002F" w14:textId="77777777" w:rsidR="00B701EC" w:rsidRDefault="00BE4328">
      <w:pPr>
        <w:pStyle w:val="Heading3"/>
        <w:spacing w:line="360" w:lineRule="auto"/>
        <w:jc w:val="both"/>
        <w:rPr>
          <w:rFonts w:ascii="Arial" w:eastAsia="Arial" w:hAnsi="Arial" w:cs="Arial"/>
          <w:b/>
          <w:color w:val="000000"/>
          <w:sz w:val="26"/>
          <w:szCs w:val="26"/>
        </w:rPr>
      </w:pPr>
      <w:bookmarkStart w:id="5" w:name="_kskc2ljyanrn" w:colFirst="0" w:colLast="0"/>
      <w:bookmarkEnd w:id="5"/>
      <w:r>
        <w:rPr>
          <w:rFonts w:ascii="Arial" w:eastAsia="Arial" w:hAnsi="Arial" w:cs="Arial"/>
          <w:b/>
          <w:color w:val="000000"/>
          <w:sz w:val="26"/>
          <w:szCs w:val="26"/>
        </w:rPr>
        <w:t>2.4 Use of a Communication Model</w:t>
      </w:r>
    </w:p>
    <w:p w14:paraId="00000030" w14:textId="77777777" w:rsidR="00B701EC" w:rsidRDefault="00BE4328">
      <w:pPr>
        <w:spacing w:line="360" w:lineRule="auto"/>
        <w:jc w:val="both"/>
        <w:rPr>
          <w:rFonts w:ascii="Arial" w:eastAsia="Arial" w:hAnsi="Arial" w:cs="Arial"/>
          <w:sz w:val="22"/>
          <w:szCs w:val="22"/>
        </w:rPr>
      </w:pPr>
      <w:r>
        <w:rPr>
          <w:rFonts w:ascii="Arial" w:eastAsia="Arial" w:hAnsi="Arial" w:cs="Arial"/>
          <w:sz w:val="22"/>
          <w:szCs w:val="22"/>
        </w:rPr>
        <w:t xml:space="preserve">The Shannon-Weaver model provides insight into the breakdown of communication in the case of Mrs Mann. In this linear model, the sender, message, channel, receiver, and noise (in this case, the language barrier that distorts care instructions) comprise the elements (Wheeler, Tripp, and Natarajan, 2023). Mrs Mann speaks very little English, which is semantic noise that hinders the message clarity and poses a risk. Using this model, care staff can </w:t>
      </w:r>
      <w:proofErr w:type="spellStart"/>
      <w:r>
        <w:rPr>
          <w:rFonts w:ascii="Arial" w:eastAsia="Arial" w:hAnsi="Arial" w:cs="Arial"/>
          <w:sz w:val="22"/>
          <w:szCs w:val="22"/>
        </w:rPr>
        <w:t>recognise</w:t>
      </w:r>
      <w:proofErr w:type="spellEnd"/>
      <w:r>
        <w:rPr>
          <w:rFonts w:ascii="Arial" w:eastAsia="Arial" w:hAnsi="Arial" w:cs="Arial"/>
          <w:sz w:val="22"/>
          <w:szCs w:val="22"/>
        </w:rPr>
        <w:t xml:space="preserve"> weak links, such as a lack of interpreters or poorly adapted communication strategies, and address them to deliver safe, </w:t>
      </w:r>
      <w:proofErr w:type="spellStart"/>
      <w:r>
        <w:rPr>
          <w:rFonts w:ascii="Arial" w:eastAsia="Arial" w:hAnsi="Arial" w:cs="Arial"/>
          <w:sz w:val="22"/>
          <w:szCs w:val="22"/>
        </w:rPr>
        <w:t>person-centred</w:t>
      </w:r>
      <w:proofErr w:type="spellEnd"/>
      <w:r>
        <w:rPr>
          <w:rFonts w:ascii="Arial" w:eastAsia="Arial" w:hAnsi="Arial" w:cs="Arial"/>
          <w:sz w:val="22"/>
          <w:szCs w:val="22"/>
        </w:rPr>
        <w:t xml:space="preserve"> care. Shannon-Weaver, therefore, promotes formal, participatory care communication in cases where linguistic diversity exists.</w:t>
      </w:r>
    </w:p>
    <w:p w14:paraId="00000031" w14:textId="77777777" w:rsidR="00B701EC" w:rsidRDefault="00BE4328">
      <w:pPr>
        <w:pStyle w:val="Heading2"/>
        <w:spacing w:line="360" w:lineRule="auto"/>
        <w:jc w:val="both"/>
        <w:rPr>
          <w:rFonts w:ascii="Arial" w:eastAsia="Arial" w:hAnsi="Arial" w:cs="Arial"/>
          <w:b/>
          <w:color w:val="000000"/>
          <w:sz w:val="28"/>
          <w:szCs w:val="28"/>
        </w:rPr>
      </w:pPr>
      <w:bookmarkStart w:id="6" w:name="_9eff6i1hf216" w:colFirst="0" w:colLast="0"/>
      <w:bookmarkEnd w:id="6"/>
      <w:r>
        <w:rPr>
          <w:rFonts w:ascii="Arial" w:eastAsia="Arial" w:hAnsi="Arial" w:cs="Arial"/>
          <w:b/>
          <w:color w:val="000000"/>
          <w:sz w:val="28"/>
          <w:szCs w:val="28"/>
        </w:rPr>
        <w:t>3. Administrative Skills and Record-Keeping</w:t>
      </w:r>
    </w:p>
    <w:p w14:paraId="00000032" w14:textId="77777777" w:rsidR="00B701EC" w:rsidRDefault="00BE4328">
      <w:pPr>
        <w:pStyle w:val="Heading3"/>
        <w:spacing w:line="360" w:lineRule="auto"/>
        <w:jc w:val="both"/>
        <w:rPr>
          <w:rFonts w:ascii="Arial" w:eastAsia="Arial" w:hAnsi="Arial" w:cs="Arial"/>
          <w:b/>
          <w:color w:val="000000"/>
          <w:sz w:val="26"/>
          <w:szCs w:val="26"/>
        </w:rPr>
      </w:pPr>
      <w:bookmarkStart w:id="7" w:name="_a60ciitovq75" w:colFirst="0" w:colLast="0"/>
      <w:bookmarkEnd w:id="7"/>
      <w:r>
        <w:rPr>
          <w:rFonts w:ascii="Arial" w:eastAsia="Arial" w:hAnsi="Arial" w:cs="Arial"/>
          <w:b/>
          <w:color w:val="000000"/>
          <w:sz w:val="26"/>
          <w:szCs w:val="26"/>
        </w:rPr>
        <w:t>3.1 Importance of Accurate Documentation</w:t>
      </w:r>
    </w:p>
    <w:p w14:paraId="00000033" w14:textId="77777777" w:rsidR="00B701EC" w:rsidRDefault="00BE4328">
      <w:pPr>
        <w:spacing w:line="360" w:lineRule="auto"/>
        <w:jc w:val="both"/>
        <w:rPr>
          <w:rFonts w:ascii="Arial" w:eastAsia="Arial" w:hAnsi="Arial" w:cs="Arial"/>
          <w:sz w:val="22"/>
          <w:szCs w:val="22"/>
        </w:rPr>
      </w:pPr>
      <w:r>
        <w:rPr>
          <w:rFonts w:ascii="Arial" w:eastAsia="Arial" w:hAnsi="Arial" w:cs="Arial"/>
          <w:sz w:val="22"/>
          <w:szCs w:val="22"/>
        </w:rPr>
        <w:t>Health and social care record keeping is the process of systematically maintaining records of care, medication, and treatment plans. Proper documentation protects the patient, continuity in the handovers and legal accountability. For example, surgical care transition records have led to fewer clinical errors and better outcomes (Gall, Meney, and Macdonald, 2021). On the contrary, unsteady or absent data increases the risk of litigation and poor coordination (</w:t>
      </w:r>
      <w:proofErr w:type="spellStart"/>
      <w:r>
        <w:rPr>
          <w:rFonts w:ascii="Arial" w:eastAsia="Arial" w:hAnsi="Arial" w:cs="Arial"/>
          <w:sz w:val="22"/>
          <w:szCs w:val="22"/>
        </w:rPr>
        <w:t>Koroma</w:t>
      </w:r>
      <w:proofErr w:type="spellEnd"/>
      <w:r>
        <w:rPr>
          <w:rFonts w:ascii="Arial" w:eastAsia="Arial" w:hAnsi="Arial" w:cs="Arial"/>
          <w:sz w:val="22"/>
          <w:szCs w:val="22"/>
        </w:rPr>
        <w:t xml:space="preserve">, </w:t>
      </w:r>
      <w:proofErr w:type="spellStart"/>
      <w:r>
        <w:rPr>
          <w:rFonts w:ascii="Arial" w:eastAsia="Arial" w:hAnsi="Arial" w:cs="Arial"/>
          <w:sz w:val="22"/>
          <w:szCs w:val="22"/>
        </w:rPr>
        <w:t>Shehrazi</w:t>
      </w:r>
      <w:proofErr w:type="spellEnd"/>
      <w:r>
        <w:rPr>
          <w:rFonts w:ascii="Arial" w:eastAsia="Arial" w:hAnsi="Arial" w:cs="Arial"/>
          <w:sz w:val="22"/>
          <w:szCs w:val="22"/>
        </w:rPr>
        <w:t xml:space="preserve"> and </w:t>
      </w:r>
      <w:proofErr w:type="spellStart"/>
      <w:r>
        <w:rPr>
          <w:rFonts w:ascii="Arial" w:eastAsia="Arial" w:hAnsi="Arial" w:cs="Arial"/>
          <w:sz w:val="22"/>
          <w:szCs w:val="22"/>
        </w:rPr>
        <w:t>Shetty</w:t>
      </w:r>
      <w:proofErr w:type="spellEnd"/>
      <w:r>
        <w:rPr>
          <w:rFonts w:ascii="Arial" w:eastAsia="Arial" w:hAnsi="Arial" w:cs="Arial"/>
          <w:sz w:val="22"/>
          <w:szCs w:val="22"/>
        </w:rPr>
        <w:t>, 2022), underscoring its legal and clinical significance.</w:t>
      </w:r>
    </w:p>
    <w:p w14:paraId="00000034" w14:textId="77777777" w:rsidR="00B701EC" w:rsidRDefault="00BE4328">
      <w:pPr>
        <w:pStyle w:val="Heading3"/>
        <w:spacing w:line="360" w:lineRule="auto"/>
        <w:jc w:val="both"/>
        <w:rPr>
          <w:rFonts w:ascii="Arial" w:eastAsia="Arial" w:hAnsi="Arial" w:cs="Arial"/>
          <w:b/>
          <w:color w:val="000000"/>
          <w:sz w:val="26"/>
          <w:szCs w:val="26"/>
        </w:rPr>
      </w:pPr>
      <w:bookmarkStart w:id="8" w:name="_5jg1qn9afd0o" w:colFirst="0" w:colLast="0"/>
      <w:bookmarkEnd w:id="8"/>
      <w:r>
        <w:rPr>
          <w:rFonts w:ascii="Arial" w:eastAsia="Arial" w:hAnsi="Arial" w:cs="Arial"/>
          <w:b/>
          <w:color w:val="000000"/>
          <w:sz w:val="26"/>
          <w:szCs w:val="26"/>
        </w:rPr>
        <w:t>3.2 Risks of Poor Record Keeping</w:t>
      </w:r>
    </w:p>
    <w:p w14:paraId="00000035" w14:textId="28ACA59A" w:rsidR="00B701EC" w:rsidRDefault="00BE4328">
      <w:pPr>
        <w:spacing w:line="360" w:lineRule="auto"/>
        <w:jc w:val="both"/>
        <w:rPr>
          <w:rFonts w:ascii="Arial" w:eastAsia="Arial" w:hAnsi="Arial" w:cs="Arial"/>
          <w:sz w:val="22"/>
          <w:szCs w:val="22"/>
        </w:rPr>
      </w:pPr>
      <w:r>
        <w:rPr>
          <w:rFonts w:ascii="Arial" w:eastAsia="Arial" w:hAnsi="Arial" w:cs="Arial"/>
          <w:sz w:val="22"/>
          <w:szCs w:val="22"/>
        </w:rPr>
        <w:t xml:space="preserve">The critical incident of poor medication adjustment due to inadequate documentation with Mrs. Mann is representative of a health and social care system-wide risk. Missed records lead to medication errors, especially during transitions of care (Walsh </w:t>
      </w:r>
      <w:r w:rsidR="00FD5CBE" w:rsidRPr="00FD5CBE">
        <w:rPr>
          <w:rFonts w:ascii="Arial" w:eastAsia="Arial" w:hAnsi="Arial" w:cs="Arial"/>
          <w:i/>
          <w:iCs/>
          <w:sz w:val="22"/>
          <w:szCs w:val="22"/>
        </w:rPr>
        <w:t>et al</w:t>
      </w:r>
      <w:r>
        <w:rPr>
          <w:rFonts w:ascii="Arial" w:eastAsia="Arial" w:hAnsi="Arial" w:cs="Arial"/>
          <w:sz w:val="22"/>
          <w:szCs w:val="22"/>
        </w:rPr>
        <w:t>., 2023). These omissions endanger patient safety and heighten legal responsibility (Blease, 2023). Thus, excellent, prompt records of medication are crucial to prevent injury and hold them accountable (</w:t>
      </w:r>
      <w:proofErr w:type="spellStart"/>
      <w:r>
        <w:rPr>
          <w:rFonts w:ascii="Arial" w:eastAsia="Arial" w:hAnsi="Arial" w:cs="Arial"/>
          <w:sz w:val="22"/>
          <w:szCs w:val="22"/>
        </w:rPr>
        <w:t>Alrowily</w:t>
      </w:r>
      <w:proofErr w:type="spellEnd"/>
      <w:r>
        <w:rPr>
          <w:rFonts w:ascii="Arial" w:eastAsia="Arial" w:hAnsi="Arial" w:cs="Arial"/>
          <w:sz w:val="22"/>
          <w:szCs w:val="22"/>
        </w:rPr>
        <w:t xml:space="preserve"> </w:t>
      </w:r>
      <w:r w:rsidR="00FD5CBE" w:rsidRPr="00FD5CBE">
        <w:rPr>
          <w:rFonts w:ascii="Arial" w:eastAsia="Arial" w:hAnsi="Arial" w:cs="Arial"/>
          <w:i/>
          <w:iCs/>
          <w:sz w:val="22"/>
          <w:szCs w:val="22"/>
        </w:rPr>
        <w:t>et al</w:t>
      </w:r>
      <w:r>
        <w:rPr>
          <w:rFonts w:ascii="Arial" w:eastAsia="Arial" w:hAnsi="Arial" w:cs="Arial"/>
          <w:sz w:val="22"/>
          <w:szCs w:val="22"/>
        </w:rPr>
        <w:t>., 2024).</w:t>
      </w:r>
    </w:p>
    <w:p w14:paraId="00000036" w14:textId="77777777" w:rsidR="00B701EC" w:rsidRDefault="00BE4328">
      <w:pPr>
        <w:pStyle w:val="Heading3"/>
        <w:spacing w:line="360" w:lineRule="auto"/>
        <w:jc w:val="both"/>
        <w:rPr>
          <w:rFonts w:ascii="Arial" w:eastAsia="Arial" w:hAnsi="Arial" w:cs="Arial"/>
          <w:b/>
          <w:color w:val="000000"/>
          <w:sz w:val="26"/>
          <w:szCs w:val="26"/>
        </w:rPr>
      </w:pPr>
      <w:bookmarkStart w:id="9" w:name="_o36p4vlnds2w" w:colFirst="0" w:colLast="0"/>
      <w:bookmarkEnd w:id="9"/>
      <w:r>
        <w:rPr>
          <w:rFonts w:ascii="Arial" w:eastAsia="Arial" w:hAnsi="Arial" w:cs="Arial"/>
          <w:b/>
          <w:color w:val="000000"/>
          <w:sz w:val="26"/>
          <w:szCs w:val="26"/>
        </w:rPr>
        <w:t>3.3 Data Protection Act 2018 &amp; Caldicott Principles</w:t>
      </w:r>
    </w:p>
    <w:p w14:paraId="6F957971" w14:textId="6C694575" w:rsidR="00D27D55" w:rsidRDefault="00D27D55">
      <w:pPr>
        <w:spacing w:line="360" w:lineRule="auto"/>
        <w:jc w:val="both"/>
        <w:rPr>
          <w:rFonts w:ascii="Arial" w:eastAsia="Arial" w:hAnsi="Arial" w:cs="Arial"/>
          <w:sz w:val="22"/>
          <w:szCs w:val="22"/>
        </w:rPr>
      </w:pPr>
      <w:r w:rsidRPr="00D27D55">
        <w:rPr>
          <w:rFonts w:ascii="Arial" w:eastAsia="Arial" w:hAnsi="Arial" w:cs="Arial"/>
          <w:sz w:val="22"/>
          <w:szCs w:val="22"/>
        </w:rPr>
        <w:t>The UK health and social care legal requirements to protect confidentiality and the safe management of patient data mandate that the lawful and secure management of patient information is undertaken by the provisions of the Data Protection Act 2018 (Francis, 2020). Caldicott Principles also restrict access to the data on a need-to-know basis (Norcliffe et al., 2021). The continuation of such protection guarantees patient trust and prevents any legal or reputational harm (Shin, 2023).</w:t>
      </w:r>
    </w:p>
    <w:p w14:paraId="00000038" w14:textId="77777777" w:rsidR="00B701EC" w:rsidRDefault="00BE4328">
      <w:pPr>
        <w:pStyle w:val="Heading3"/>
        <w:spacing w:line="360" w:lineRule="auto"/>
        <w:jc w:val="both"/>
        <w:rPr>
          <w:rFonts w:ascii="Arial" w:eastAsia="Arial" w:hAnsi="Arial" w:cs="Arial"/>
          <w:b/>
          <w:color w:val="000000"/>
          <w:sz w:val="26"/>
          <w:szCs w:val="26"/>
        </w:rPr>
      </w:pPr>
      <w:bookmarkStart w:id="10" w:name="_blbml1z81s8e" w:colFirst="0" w:colLast="0"/>
      <w:bookmarkEnd w:id="10"/>
      <w:r>
        <w:rPr>
          <w:rFonts w:ascii="Arial" w:eastAsia="Arial" w:hAnsi="Arial" w:cs="Arial"/>
          <w:b/>
          <w:color w:val="000000"/>
          <w:sz w:val="26"/>
          <w:szCs w:val="26"/>
        </w:rPr>
        <w:t>3.4 Policy Frameworks (NMC Code, CQC Standards)</w:t>
      </w:r>
    </w:p>
    <w:p w14:paraId="4D4CDA6B" w14:textId="1CD51418" w:rsidR="00D27D55" w:rsidRDefault="00D27D55">
      <w:pPr>
        <w:spacing w:line="360" w:lineRule="auto"/>
        <w:jc w:val="both"/>
        <w:rPr>
          <w:rFonts w:ascii="Arial" w:eastAsia="Arial" w:hAnsi="Arial" w:cs="Arial"/>
          <w:sz w:val="22"/>
          <w:szCs w:val="22"/>
        </w:rPr>
      </w:pPr>
      <w:r w:rsidRPr="00D27D55">
        <w:rPr>
          <w:rFonts w:ascii="Arial" w:eastAsia="Arial" w:hAnsi="Arial" w:cs="Arial"/>
          <w:sz w:val="22"/>
          <w:szCs w:val="22"/>
        </w:rPr>
        <w:t>This policy is not directly applicable to the multi-disciplinary team that helped Mrs Mann, but the Nursing and Midwifery Council (NMC) Code states that nurses must maintain correct, timely, and accurate records, which will protect the patient and guarantee accountability in the care (</w:t>
      </w:r>
      <w:proofErr w:type="spellStart"/>
      <w:r w:rsidRPr="00D27D55">
        <w:rPr>
          <w:rFonts w:ascii="Arial" w:eastAsia="Arial" w:hAnsi="Arial" w:cs="Arial"/>
          <w:sz w:val="22"/>
          <w:szCs w:val="22"/>
        </w:rPr>
        <w:t>Moorley</w:t>
      </w:r>
      <w:proofErr w:type="spellEnd"/>
      <w:r w:rsidRPr="00D27D55">
        <w:rPr>
          <w:rFonts w:ascii="Arial" w:eastAsia="Arial" w:hAnsi="Arial" w:cs="Arial"/>
          <w:sz w:val="22"/>
          <w:szCs w:val="22"/>
        </w:rPr>
        <w:t xml:space="preserve"> et al., 2025). Similarly, the Care Quality Commission (CQC) expects the care providers to keep clear and consistent documentation in line with regulatory standards and safe care transitions. The failure of employees to stick to such structures, especially when handling a complex situation of language and cultural diversity, can be troublesome. The result can be long wait lines or errors in care delivery, provoking distrust and compromising patient safety.</w:t>
      </w:r>
    </w:p>
    <w:p w14:paraId="0000003A" w14:textId="77777777" w:rsidR="00B701EC" w:rsidRDefault="00BE4328">
      <w:pPr>
        <w:pStyle w:val="Heading2"/>
        <w:spacing w:line="360" w:lineRule="auto"/>
        <w:jc w:val="both"/>
        <w:rPr>
          <w:rFonts w:ascii="Arial" w:eastAsia="Arial" w:hAnsi="Arial" w:cs="Arial"/>
          <w:b/>
          <w:color w:val="000000"/>
          <w:sz w:val="28"/>
          <w:szCs w:val="28"/>
        </w:rPr>
      </w:pPr>
      <w:bookmarkStart w:id="11" w:name="_knxglwaa315" w:colFirst="0" w:colLast="0"/>
      <w:bookmarkEnd w:id="11"/>
      <w:r>
        <w:rPr>
          <w:rFonts w:ascii="Arial" w:eastAsia="Arial" w:hAnsi="Arial" w:cs="Arial"/>
          <w:b/>
          <w:color w:val="000000"/>
          <w:sz w:val="28"/>
          <w:szCs w:val="28"/>
        </w:rPr>
        <w:t>4. Collaborative Working in Health and Social Care</w:t>
      </w:r>
    </w:p>
    <w:p w14:paraId="0000003B" w14:textId="77777777" w:rsidR="00B701EC" w:rsidRDefault="00BE4328">
      <w:pPr>
        <w:pStyle w:val="Heading3"/>
        <w:spacing w:line="360" w:lineRule="auto"/>
        <w:jc w:val="both"/>
        <w:rPr>
          <w:rFonts w:ascii="Arial" w:eastAsia="Arial" w:hAnsi="Arial" w:cs="Arial"/>
          <w:b/>
          <w:color w:val="000000"/>
          <w:sz w:val="26"/>
          <w:szCs w:val="26"/>
        </w:rPr>
      </w:pPr>
      <w:bookmarkStart w:id="12" w:name="_bg08zdfnuuzg" w:colFirst="0" w:colLast="0"/>
      <w:bookmarkEnd w:id="12"/>
      <w:r>
        <w:rPr>
          <w:rFonts w:ascii="Arial" w:eastAsia="Arial" w:hAnsi="Arial" w:cs="Arial"/>
          <w:b/>
          <w:color w:val="000000"/>
          <w:sz w:val="26"/>
          <w:szCs w:val="26"/>
        </w:rPr>
        <w:t>4.1 Importance of Multi-Agency Collaboration</w:t>
      </w:r>
    </w:p>
    <w:p w14:paraId="0000003C" w14:textId="462D83F4" w:rsidR="00B701EC" w:rsidRDefault="00BE4328">
      <w:pPr>
        <w:spacing w:line="360" w:lineRule="auto"/>
        <w:jc w:val="both"/>
        <w:rPr>
          <w:rFonts w:ascii="Arial" w:eastAsia="Arial" w:hAnsi="Arial" w:cs="Arial"/>
          <w:sz w:val="22"/>
          <w:szCs w:val="22"/>
        </w:rPr>
      </w:pPr>
      <w:r>
        <w:rPr>
          <w:rFonts w:ascii="Arial" w:eastAsia="Arial" w:hAnsi="Arial" w:cs="Arial"/>
          <w:sz w:val="22"/>
          <w:szCs w:val="22"/>
        </w:rPr>
        <w:t xml:space="preserve">Collaboration amongst Agencies: It is essential to have multi-agency care for patients, such as Mrs Mann, provided by GPs, physiotherapists, carers, and social services to provide holistic, continuous, and safe care. Discontinuous systems are associated with the risk of communication failure and the omission of care, and collaboration yields better results (Dooley, 2024). They demonstrate that interprofessional coordination increases satisfaction and safety in geriatric care (Winkelmann </w:t>
      </w:r>
      <w:r w:rsidR="00FD5CBE" w:rsidRPr="00FD5CBE">
        <w:rPr>
          <w:rFonts w:ascii="Arial" w:eastAsia="Arial" w:hAnsi="Arial" w:cs="Arial"/>
          <w:i/>
          <w:iCs/>
          <w:sz w:val="22"/>
          <w:szCs w:val="22"/>
        </w:rPr>
        <w:t>et al</w:t>
      </w:r>
      <w:r>
        <w:rPr>
          <w:rFonts w:ascii="Arial" w:eastAsia="Arial" w:hAnsi="Arial" w:cs="Arial"/>
          <w:sz w:val="22"/>
          <w:szCs w:val="22"/>
        </w:rPr>
        <w:t>., 2022). However, unequal relationships such as medical superiority may inhibit fair cooperation (Bueter and Jukola, 2025).</w:t>
      </w:r>
    </w:p>
    <w:p w14:paraId="0000003D" w14:textId="77777777" w:rsidR="00B701EC" w:rsidRDefault="00BE4328">
      <w:pPr>
        <w:pStyle w:val="Heading3"/>
        <w:spacing w:line="360" w:lineRule="auto"/>
        <w:jc w:val="both"/>
        <w:rPr>
          <w:rFonts w:ascii="Arial" w:eastAsia="Arial" w:hAnsi="Arial" w:cs="Arial"/>
          <w:b/>
          <w:color w:val="000000"/>
          <w:sz w:val="26"/>
          <w:szCs w:val="26"/>
        </w:rPr>
      </w:pPr>
      <w:bookmarkStart w:id="13" w:name="_rhsiojo5tcgj" w:colFirst="0" w:colLast="0"/>
      <w:bookmarkEnd w:id="13"/>
      <w:r>
        <w:rPr>
          <w:rFonts w:ascii="Arial" w:eastAsia="Arial" w:hAnsi="Arial" w:cs="Arial"/>
          <w:b/>
          <w:color w:val="000000"/>
          <w:sz w:val="26"/>
          <w:szCs w:val="26"/>
        </w:rPr>
        <w:t>4.2 Approaches to Effective Collaboration</w:t>
      </w:r>
    </w:p>
    <w:p w14:paraId="0000003E" w14:textId="32AF62F7" w:rsidR="00B701EC" w:rsidRDefault="00BE4328">
      <w:pPr>
        <w:spacing w:line="360" w:lineRule="auto"/>
        <w:jc w:val="both"/>
        <w:rPr>
          <w:rFonts w:ascii="Arial" w:eastAsia="Arial" w:hAnsi="Arial" w:cs="Arial"/>
          <w:sz w:val="22"/>
          <w:szCs w:val="22"/>
        </w:rPr>
      </w:pPr>
      <w:r>
        <w:rPr>
          <w:rFonts w:ascii="Arial" w:eastAsia="Arial" w:hAnsi="Arial" w:cs="Arial"/>
          <w:sz w:val="22"/>
          <w:szCs w:val="22"/>
        </w:rPr>
        <w:t xml:space="preserve">An effective health and social care partnership requires appropriately structured instruments, such as shared care plans, regular meetings, and multidisciplinary reviews, to plan services (Price </w:t>
      </w:r>
      <w:r w:rsidR="00FD5CBE" w:rsidRPr="00FD5CBE">
        <w:rPr>
          <w:rFonts w:ascii="Arial" w:eastAsia="Arial" w:hAnsi="Arial" w:cs="Arial"/>
          <w:i/>
          <w:iCs/>
          <w:sz w:val="22"/>
          <w:szCs w:val="22"/>
        </w:rPr>
        <w:t>et al</w:t>
      </w:r>
      <w:r>
        <w:rPr>
          <w:rFonts w:ascii="Arial" w:eastAsia="Arial" w:hAnsi="Arial" w:cs="Arial"/>
          <w:sz w:val="22"/>
          <w:szCs w:val="22"/>
        </w:rPr>
        <w:t xml:space="preserve">., 2021). The digital records support it, and they are much less fragmented and allow real-time changes (Procter </w:t>
      </w:r>
      <w:r w:rsidR="00FD5CBE" w:rsidRPr="00FD5CBE">
        <w:rPr>
          <w:rFonts w:ascii="Arial" w:eastAsia="Arial" w:hAnsi="Arial" w:cs="Arial"/>
          <w:i/>
          <w:iCs/>
          <w:sz w:val="22"/>
          <w:szCs w:val="22"/>
        </w:rPr>
        <w:t>et al</w:t>
      </w:r>
      <w:r>
        <w:rPr>
          <w:rFonts w:ascii="Arial" w:eastAsia="Arial" w:hAnsi="Arial" w:cs="Arial"/>
          <w:sz w:val="22"/>
          <w:szCs w:val="22"/>
        </w:rPr>
        <w:t xml:space="preserve">., 2023). Professional roles, rather than hierarchies or the act of inclusive dialogue and shared responsibility, are bound to reduce patient harm and improve team cohesion (Reeves </w:t>
      </w:r>
      <w:r w:rsidR="00FD5CBE" w:rsidRPr="00FD5CBE">
        <w:rPr>
          <w:rFonts w:ascii="Arial" w:eastAsia="Arial" w:hAnsi="Arial" w:cs="Arial"/>
          <w:i/>
          <w:iCs/>
          <w:sz w:val="22"/>
          <w:szCs w:val="22"/>
        </w:rPr>
        <w:t>et al</w:t>
      </w:r>
      <w:r>
        <w:rPr>
          <w:rFonts w:ascii="Arial" w:eastAsia="Arial" w:hAnsi="Arial" w:cs="Arial"/>
          <w:sz w:val="22"/>
          <w:szCs w:val="22"/>
        </w:rPr>
        <w:t>., 2024), especially in the case of Mrs Mann.</w:t>
      </w:r>
    </w:p>
    <w:p w14:paraId="0000003F" w14:textId="77777777" w:rsidR="00B701EC" w:rsidRDefault="00BE4328">
      <w:pPr>
        <w:pStyle w:val="Heading3"/>
        <w:spacing w:line="360" w:lineRule="auto"/>
        <w:jc w:val="both"/>
        <w:rPr>
          <w:rFonts w:ascii="Arial" w:eastAsia="Arial" w:hAnsi="Arial" w:cs="Arial"/>
          <w:b/>
          <w:color w:val="000000"/>
          <w:sz w:val="26"/>
          <w:szCs w:val="26"/>
        </w:rPr>
      </w:pPr>
      <w:bookmarkStart w:id="14" w:name="_5t288m7vegvn" w:colFirst="0" w:colLast="0"/>
      <w:bookmarkEnd w:id="14"/>
      <w:r>
        <w:rPr>
          <w:rFonts w:ascii="Arial" w:eastAsia="Arial" w:hAnsi="Arial" w:cs="Arial"/>
          <w:b/>
          <w:color w:val="000000"/>
          <w:sz w:val="26"/>
          <w:szCs w:val="26"/>
        </w:rPr>
        <w:t>4.3 Challenges and Strategies</w:t>
      </w:r>
    </w:p>
    <w:p w14:paraId="6EE9BFC3" w14:textId="77777777" w:rsidR="00FD5CBE" w:rsidRPr="00FD5CBE" w:rsidRDefault="00FD5CBE" w:rsidP="00FD5CBE">
      <w:pPr>
        <w:spacing w:line="360" w:lineRule="auto"/>
        <w:jc w:val="both"/>
        <w:rPr>
          <w:rFonts w:ascii="Arial" w:eastAsia="Arial" w:hAnsi="Arial" w:cs="Arial"/>
          <w:b/>
          <w:bCs/>
          <w:sz w:val="22"/>
          <w:szCs w:val="22"/>
        </w:rPr>
      </w:pPr>
      <w:r w:rsidRPr="00FD5CBE">
        <w:rPr>
          <w:rFonts w:ascii="Arial" w:eastAsia="Arial" w:hAnsi="Arial" w:cs="Arial"/>
          <w:b/>
          <w:bCs/>
          <w:sz w:val="22"/>
          <w:szCs w:val="22"/>
        </w:rPr>
        <w:t>Challenges:</w:t>
      </w:r>
    </w:p>
    <w:p w14:paraId="65EC692C" w14:textId="0F331B63" w:rsidR="00FD5CBE" w:rsidRPr="00FD5CBE" w:rsidRDefault="00FD5CBE" w:rsidP="00FD5CBE">
      <w:pPr>
        <w:spacing w:line="360" w:lineRule="auto"/>
        <w:jc w:val="both"/>
        <w:rPr>
          <w:rFonts w:ascii="Arial" w:eastAsia="Arial" w:hAnsi="Arial" w:cs="Arial"/>
          <w:sz w:val="22"/>
          <w:szCs w:val="22"/>
        </w:rPr>
      </w:pPr>
      <w:r w:rsidRPr="00FD5CBE">
        <w:rPr>
          <w:rFonts w:ascii="Arial" w:eastAsia="Arial" w:hAnsi="Arial" w:cs="Arial"/>
          <w:sz w:val="22"/>
          <w:szCs w:val="22"/>
        </w:rPr>
        <w:t>The structure and relationships often pose barriers to multi-agency collaboration. A significant problem is poor interprofessional communication, which is manifested by delayed reporting or a lack of information sharing that compromises continuity of care. In the case of Mrs Mann, this can lead to medication errors or duplicated care. Another frequent issue is blurred role boundaries where there is confusion over responsibilities between GPs, physiotherapists and carers, resulting in inaction. Additionally, fragmented record systems across agencies make it difficult to access essential patient information on time - and language barriers are even more difficult when there's no comprehensive record system between agencies.</w:t>
      </w:r>
    </w:p>
    <w:p w14:paraId="398BB0F9" w14:textId="77777777" w:rsidR="00FD5CBE" w:rsidRPr="00FD5CBE" w:rsidRDefault="00FD5CBE" w:rsidP="00FD5CBE">
      <w:pPr>
        <w:spacing w:line="360" w:lineRule="auto"/>
        <w:jc w:val="both"/>
        <w:rPr>
          <w:rFonts w:ascii="Arial" w:eastAsia="Arial" w:hAnsi="Arial" w:cs="Arial"/>
          <w:b/>
          <w:bCs/>
          <w:sz w:val="22"/>
          <w:szCs w:val="22"/>
        </w:rPr>
      </w:pPr>
      <w:r w:rsidRPr="00FD5CBE">
        <w:rPr>
          <w:rFonts w:ascii="Arial" w:eastAsia="Arial" w:hAnsi="Arial" w:cs="Arial"/>
          <w:b/>
          <w:bCs/>
          <w:sz w:val="22"/>
          <w:szCs w:val="22"/>
        </w:rPr>
        <w:t>Strategies:</w:t>
      </w:r>
    </w:p>
    <w:p w14:paraId="6C7EE75A" w14:textId="78468874" w:rsidR="00D27D55" w:rsidRDefault="00D27D55" w:rsidP="00FD5CBE">
      <w:pPr>
        <w:spacing w:line="360" w:lineRule="auto"/>
        <w:jc w:val="both"/>
        <w:rPr>
          <w:rFonts w:ascii="Arial" w:eastAsia="Arial" w:hAnsi="Arial" w:cs="Arial"/>
          <w:sz w:val="22"/>
          <w:szCs w:val="22"/>
        </w:rPr>
      </w:pPr>
      <w:r w:rsidRPr="00D27D55">
        <w:rPr>
          <w:rFonts w:ascii="Arial" w:eastAsia="Arial" w:hAnsi="Arial" w:cs="Arial"/>
          <w:sz w:val="22"/>
          <w:szCs w:val="22"/>
        </w:rPr>
        <w:t xml:space="preserve">In order to resolve such problems, clear communication processes of the services must be established with the description of the roles, responsibilities and the process of escalation. The introduction of </w:t>
      </w:r>
      <w:proofErr w:type="spellStart"/>
      <w:r w:rsidRPr="00D27D55">
        <w:rPr>
          <w:rFonts w:ascii="Arial" w:eastAsia="Arial" w:hAnsi="Arial" w:cs="Arial"/>
          <w:sz w:val="22"/>
          <w:szCs w:val="22"/>
        </w:rPr>
        <w:t>centralised</w:t>
      </w:r>
      <w:proofErr w:type="spellEnd"/>
      <w:r w:rsidRPr="00D27D55">
        <w:rPr>
          <w:rFonts w:ascii="Arial" w:eastAsia="Arial" w:hAnsi="Arial" w:cs="Arial"/>
          <w:sz w:val="22"/>
          <w:szCs w:val="22"/>
        </w:rPr>
        <w:t xml:space="preserve"> digital records is available to every team member, which enhances the effectiveness of data and reduces care gaps. Constant multidisciplinary team (MDT) meetings and feedback loops promote transparency and allow real-time problem-solving. These measures are not only a condition for the provision of safe and effective services, but also imperative to ensure responsibility and trustworthiness in care planning among vulnerable people.</w:t>
      </w:r>
    </w:p>
    <w:p w14:paraId="00000041" w14:textId="77777777" w:rsidR="00B701EC" w:rsidRDefault="00BE4328">
      <w:pPr>
        <w:pStyle w:val="Heading2"/>
        <w:spacing w:line="360" w:lineRule="auto"/>
        <w:jc w:val="both"/>
        <w:rPr>
          <w:rFonts w:ascii="Arial" w:eastAsia="Arial" w:hAnsi="Arial" w:cs="Arial"/>
          <w:color w:val="000000"/>
        </w:rPr>
      </w:pPr>
      <w:r>
        <w:rPr>
          <w:rFonts w:ascii="Arial" w:eastAsia="Arial" w:hAnsi="Arial" w:cs="Arial"/>
          <w:b/>
          <w:color w:val="000000"/>
          <w:sz w:val="28"/>
          <w:szCs w:val="28"/>
        </w:rPr>
        <w:t>5. Conclusion</w:t>
      </w:r>
    </w:p>
    <w:p w14:paraId="00000042" w14:textId="77777777" w:rsidR="00B701EC" w:rsidRDefault="00BE4328">
      <w:pPr>
        <w:spacing w:line="360" w:lineRule="auto"/>
        <w:jc w:val="both"/>
        <w:rPr>
          <w:rFonts w:ascii="Arial" w:eastAsia="Arial" w:hAnsi="Arial" w:cs="Arial"/>
          <w:sz w:val="22"/>
          <w:szCs w:val="22"/>
        </w:rPr>
      </w:pPr>
      <w:r>
        <w:rPr>
          <w:rFonts w:ascii="Arial" w:eastAsia="Arial" w:hAnsi="Arial" w:cs="Arial"/>
          <w:sz w:val="22"/>
          <w:szCs w:val="22"/>
        </w:rPr>
        <w:t>The case study of Mrs Mann is an excellent example of ineffective communication, records-keeping, and collaboration being the Key to effective health and social care. Her experience would help us remember that language incompetence, insufficient documentation, and poor team communication can lead to disastrous consequences, including, but not limited to, the loss of medication and dignity. The case supports the idea that bidirectional communication is necessary and that all parties are engaged in the proces</w:t>
      </w:r>
      <w:r>
        <w:rPr>
          <w:rFonts w:ascii="Arial" w:eastAsia="Arial" w:hAnsi="Arial" w:cs="Arial"/>
          <w:sz w:val="22"/>
          <w:szCs w:val="22"/>
        </w:rPr>
        <w:t xml:space="preserve">s, leading to transparency and security rather than the regular legal documentation. In addition, carers, GPs and physiotherapists should work together to provide holistic, long-term assistance. Positively, culturally sensitive, individualistic practices are therefore encouraged for health and social care specialists to embrace. </w:t>
      </w:r>
      <w:proofErr w:type="spellStart"/>
      <w:r>
        <w:rPr>
          <w:rFonts w:ascii="Arial" w:eastAsia="Arial" w:hAnsi="Arial" w:cs="Arial"/>
          <w:sz w:val="22"/>
          <w:szCs w:val="22"/>
        </w:rPr>
        <w:t>Person-centred</w:t>
      </w:r>
      <w:proofErr w:type="spellEnd"/>
      <w:r>
        <w:rPr>
          <w:rFonts w:ascii="Arial" w:eastAsia="Arial" w:hAnsi="Arial" w:cs="Arial"/>
          <w:sz w:val="22"/>
          <w:szCs w:val="22"/>
        </w:rPr>
        <w:t xml:space="preserve"> care is not a mere value; it is a standard of practice that requires criticality, collective responsibility, and empathy. According to this report, I encourage the pr</w:t>
      </w:r>
      <w:r>
        <w:rPr>
          <w:rFonts w:ascii="Arial" w:eastAsia="Arial" w:hAnsi="Arial" w:cs="Arial"/>
          <w:sz w:val="22"/>
          <w:szCs w:val="22"/>
        </w:rPr>
        <w:t xml:space="preserve">actitioners to carefully </w:t>
      </w:r>
      <w:proofErr w:type="spellStart"/>
      <w:r>
        <w:rPr>
          <w:rFonts w:ascii="Arial" w:eastAsia="Arial" w:hAnsi="Arial" w:cs="Arial"/>
          <w:sz w:val="22"/>
          <w:szCs w:val="22"/>
        </w:rPr>
        <w:t>analyse</w:t>
      </w:r>
      <w:proofErr w:type="spellEnd"/>
      <w:r>
        <w:rPr>
          <w:rFonts w:ascii="Arial" w:eastAsia="Arial" w:hAnsi="Arial" w:cs="Arial"/>
          <w:sz w:val="22"/>
          <w:szCs w:val="22"/>
        </w:rPr>
        <w:t xml:space="preserve"> their mandate to defend, empower and support vulnerable people such as Mrs. Mann by </w:t>
      </w:r>
      <w:proofErr w:type="spellStart"/>
      <w:r>
        <w:rPr>
          <w:rFonts w:ascii="Arial" w:eastAsia="Arial" w:hAnsi="Arial" w:cs="Arial"/>
          <w:sz w:val="22"/>
          <w:szCs w:val="22"/>
        </w:rPr>
        <w:t>practising</w:t>
      </w:r>
      <w:proofErr w:type="spellEnd"/>
      <w:r>
        <w:rPr>
          <w:rFonts w:ascii="Arial" w:eastAsia="Arial" w:hAnsi="Arial" w:cs="Arial"/>
          <w:sz w:val="22"/>
          <w:szCs w:val="22"/>
        </w:rPr>
        <w:t xml:space="preserve"> them on a regular basis in the daily delivery of care.</w:t>
      </w:r>
    </w:p>
    <w:p w14:paraId="355B95F2" w14:textId="77777777" w:rsidR="00FD5CBE" w:rsidRDefault="00FD5CBE">
      <w:pPr>
        <w:spacing w:line="360" w:lineRule="auto"/>
        <w:jc w:val="both"/>
        <w:rPr>
          <w:rFonts w:ascii="Arial" w:eastAsia="Arial" w:hAnsi="Arial" w:cs="Arial"/>
          <w:sz w:val="22"/>
          <w:szCs w:val="22"/>
        </w:rPr>
      </w:pPr>
    </w:p>
    <w:p w14:paraId="707243BA" w14:textId="77777777" w:rsidR="00FD5CBE" w:rsidRDefault="00FD5CBE">
      <w:pPr>
        <w:spacing w:line="360" w:lineRule="auto"/>
        <w:jc w:val="both"/>
        <w:rPr>
          <w:rFonts w:ascii="Arial" w:eastAsia="Arial" w:hAnsi="Arial" w:cs="Arial"/>
          <w:sz w:val="22"/>
          <w:szCs w:val="22"/>
        </w:rPr>
      </w:pPr>
    </w:p>
    <w:p w14:paraId="298ADB70" w14:textId="77777777" w:rsidR="00FD5CBE" w:rsidRDefault="00FD5CBE">
      <w:pPr>
        <w:spacing w:line="360" w:lineRule="auto"/>
        <w:jc w:val="both"/>
        <w:rPr>
          <w:rFonts w:ascii="Arial" w:eastAsia="Arial" w:hAnsi="Arial" w:cs="Arial"/>
          <w:sz w:val="22"/>
          <w:szCs w:val="22"/>
        </w:rPr>
      </w:pPr>
    </w:p>
    <w:p w14:paraId="5FC00F92" w14:textId="77777777" w:rsidR="00FD5CBE" w:rsidRDefault="00FD5CBE">
      <w:pPr>
        <w:spacing w:line="360" w:lineRule="auto"/>
        <w:jc w:val="both"/>
        <w:rPr>
          <w:rFonts w:ascii="Arial" w:eastAsia="Arial" w:hAnsi="Arial" w:cs="Arial"/>
          <w:sz w:val="22"/>
          <w:szCs w:val="22"/>
        </w:rPr>
      </w:pPr>
    </w:p>
    <w:p w14:paraId="4918B8F8" w14:textId="77777777" w:rsidR="00FD5CBE" w:rsidRDefault="00FD5CBE">
      <w:pPr>
        <w:spacing w:line="360" w:lineRule="auto"/>
        <w:jc w:val="both"/>
        <w:rPr>
          <w:rFonts w:ascii="Arial" w:eastAsia="Arial" w:hAnsi="Arial" w:cs="Arial"/>
          <w:sz w:val="22"/>
          <w:szCs w:val="22"/>
        </w:rPr>
      </w:pPr>
    </w:p>
    <w:p w14:paraId="55E5C7CC" w14:textId="77777777" w:rsidR="00FD5CBE" w:rsidRDefault="00FD5CBE">
      <w:pPr>
        <w:spacing w:line="360" w:lineRule="auto"/>
        <w:jc w:val="both"/>
        <w:rPr>
          <w:rFonts w:ascii="Arial" w:eastAsia="Arial" w:hAnsi="Arial" w:cs="Arial"/>
          <w:sz w:val="22"/>
          <w:szCs w:val="22"/>
        </w:rPr>
      </w:pPr>
    </w:p>
    <w:p w14:paraId="79C8BE79" w14:textId="77777777" w:rsidR="00FD5CBE" w:rsidRDefault="00FD5CBE">
      <w:pPr>
        <w:spacing w:line="360" w:lineRule="auto"/>
        <w:jc w:val="both"/>
        <w:rPr>
          <w:rFonts w:ascii="Arial" w:eastAsia="Arial" w:hAnsi="Arial" w:cs="Arial"/>
          <w:sz w:val="22"/>
          <w:szCs w:val="22"/>
        </w:rPr>
      </w:pPr>
    </w:p>
    <w:p w14:paraId="27E18F32" w14:textId="77777777" w:rsidR="00FD5CBE" w:rsidRDefault="00FD5CBE">
      <w:pPr>
        <w:spacing w:line="360" w:lineRule="auto"/>
        <w:jc w:val="both"/>
        <w:rPr>
          <w:rFonts w:ascii="Arial" w:eastAsia="Arial" w:hAnsi="Arial" w:cs="Arial"/>
          <w:sz w:val="22"/>
          <w:szCs w:val="22"/>
        </w:rPr>
      </w:pPr>
    </w:p>
    <w:p w14:paraId="7DB75C56" w14:textId="77777777" w:rsidR="00FD5CBE" w:rsidRDefault="00FD5CBE">
      <w:pPr>
        <w:spacing w:line="360" w:lineRule="auto"/>
        <w:jc w:val="both"/>
        <w:rPr>
          <w:rFonts w:ascii="Arial" w:eastAsia="Arial" w:hAnsi="Arial" w:cs="Arial"/>
          <w:sz w:val="22"/>
          <w:szCs w:val="22"/>
        </w:rPr>
      </w:pPr>
    </w:p>
    <w:p w14:paraId="7F9CA24D" w14:textId="77777777" w:rsidR="00FD5CBE" w:rsidRDefault="00FD5CBE">
      <w:pPr>
        <w:spacing w:line="360" w:lineRule="auto"/>
        <w:jc w:val="both"/>
        <w:rPr>
          <w:rFonts w:ascii="Arial" w:eastAsia="Arial" w:hAnsi="Arial" w:cs="Arial"/>
          <w:sz w:val="22"/>
          <w:szCs w:val="22"/>
        </w:rPr>
      </w:pPr>
    </w:p>
    <w:p w14:paraId="4D5949B6" w14:textId="77777777" w:rsidR="00FD5CBE" w:rsidRDefault="00FD5CBE">
      <w:pPr>
        <w:spacing w:line="360" w:lineRule="auto"/>
        <w:jc w:val="both"/>
        <w:rPr>
          <w:rFonts w:ascii="Arial" w:eastAsia="Arial" w:hAnsi="Arial" w:cs="Arial"/>
          <w:sz w:val="22"/>
          <w:szCs w:val="22"/>
        </w:rPr>
      </w:pPr>
    </w:p>
    <w:p w14:paraId="0BD6ABBD" w14:textId="77777777" w:rsidR="00FD5CBE" w:rsidRDefault="00FD5CBE">
      <w:pPr>
        <w:spacing w:line="360" w:lineRule="auto"/>
        <w:jc w:val="both"/>
        <w:rPr>
          <w:rFonts w:ascii="Arial" w:eastAsia="Arial" w:hAnsi="Arial" w:cs="Arial"/>
          <w:sz w:val="22"/>
          <w:szCs w:val="22"/>
        </w:rPr>
      </w:pPr>
    </w:p>
    <w:p w14:paraId="6C2FC6D1" w14:textId="77777777" w:rsidR="00FD5CBE" w:rsidRDefault="00FD5CBE">
      <w:pPr>
        <w:spacing w:line="360" w:lineRule="auto"/>
        <w:jc w:val="both"/>
        <w:rPr>
          <w:rFonts w:ascii="Arial" w:eastAsia="Arial" w:hAnsi="Arial" w:cs="Arial"/>
          <w:sz w:val="22"/>
          <w:szCs w:val="22"/>
        </w:rPr>
      </w:pPr>
    </w:p>
    <w:p w14:paraId="7C2824D7" w14:textId="77777777" w:rsidR="00FD5CBE" w:rsidRDefault="00FD5CBE">
      <w:pPr>
        <w:spacing w:line="360" w:lineRule="auto"/>
        <w:jc w:val="both"/>
        <w:rPr>
          <w:rFonts w:ascii="Arial" w:eastAsia="Arial" w:hAnsi="Arial" w:cs="Arial"/>
          <w:sz w:val="22"/>
          <w:szCs w:val="22"/>
        </w:rPr>
      </w:pPr>
    </w:p>
    <w:p w14:paraId="290B5A2D" w14:textId="77777777" w:rsidR="00FD5CBE" w:rsidRDefault="00FD5CBE">
      <w:pPr>
        <w:spacing w:line="360" w:lineRule="auto"/>
        <w:jc w:val="both"/>
        <w:rPr>
          <w:rFonts w:ascii="Arial" w:eastAsia="Arial" w:hAnsi="Arial" w:cs="Arial"/>
          <w:sz w:val="22"/>
          <w:szCs w:val="22"/>
        </w:rPr>
      </w:pPr>
    </w:p>
    <w:p w14:paraId="07F015F7" w14:textId="77777777" w:rsidR="00FD5CBE" w:rsidRDefault="00FD5CBE">
      <w:pPr>
        <w:spacing w:line="360" w:lineRule="auto"/>
        <w:jc w:val="both"/>
        <w:rPr>
          <w:rFonts w:ascii="Arial" w:eastAsia="Arial" w:hAnsi="Arial" w:cs="Arial"/>
          <w:b/>
          <w:color w:val="000000"/>
          <w:sz w:val="28"/>
          <w:szCs w:val="28"/>
        </w:rPr>
      </w:pPr>
    </w:p>
    <w:p w14:paraId="00000043" w14:textId="77777777" w:rsidR="00B701EC" w:rsidRDefault="00BE4328">
      <w:pPr>
        <w:pStyle w:val="Heading2"/>
        <w:keepNext w:val="0"/>
        <w:keepLines w:val="0"/>
        <w:spacing w:before="0" w:after="360" w:line="360" w:lineRule="auto"/>
        <w:jc w:val="both"/>
        <w:rPr>
          <w:rFonts w:ascii="Arial" w:eastAsia="Arial" w:hAnsi="Arial" w:cs="Arial"/>
          <w:b/>
          <w:color w:val="000000"/>
          <w:sz w:val="28"/>
          <w:szCs w:val="28"/>
        </w:rPr>
      </w:pPr>
      <w:bookmarkStart w:id="15" w:name="_7trexyj9fkpz" w:colFirst="0" w:colLast="0"/>
      <w:bookmarkEnd w:id="15"/>
      <w:r>
        <w:rPr>
          <w:rFonts w:ascii="Arial" w:eastAsia="Arial" w:hAnsi="Arial" w:cs="Arial"/>
          <w:b/>
          <w:color w:val="000000"/>
          <w:sz w:val="28"/>
          <w:szCs w:val="28"/>
        </w:rPr>
        <w:t>Reference list</w:t>
      </w:r>
    </w:p>
    <w:p w14:paraId="00000044" w14:textId="77777777" w:rsidR="00B701EC" w:rsidRDefault="00BE4328">
      <w:pPr>
        <w:spacing w:after="240" w:line="360" w:lineRule="auto"/>
        <w:jc w:val="both"/>
        <w:rPr>
          <w:rFonts w:ascii="Arial" w:eastAsia="Arial" w:hAnsi="Arial" w:cs="Arial"/>
        </w:rPr>
      </w:pPr>
      <w:proofErr w:type="spellStart"/>
      <w:r>
        <w:rPr>
          <w:rFonts w:ascii="Arial" w:eastAsia="Arial" w:hAnsi="Arial" w:cs="Arial"/>
        </w:rPr>
        <w:t>Alrowily</w:t>
      </w:r>
      <w:proofErr w:type="spellEnd"/>
      <w:r>
        <w:rPr>
          <w:rFonts w:ascii="Arial" w:eastAsia="Arial" w:hAnsi="Arial" w:cs="Arial"/>
        </w:rPr>
        <w:t xml:space="preserve">, A., </w:t>
      </w:r>
      <w:proofErr w:type="spellStart"/>
      <w:r>
        <w:rPr>
          <w:rFonts w:ascii="Arial" w:eastAsia="Arial" w:hAnsi="Arial" w:cs="Arial"/>
        </w:rPr>
        <w:t>Alfaraidy</w:t>
      </w:r>
      <w:proofErr w:type="spellEnd"/>
      <w:r>
        <w:rPr>
          <w:rFonts w:ascii="Arial" w:eastAsia="Arial" w:hAnsi="Arial" w:cs="Arial"/>
        </w:rPr>
        <w:t xml:space="preserve">, K., Almutairi, S., Alamri, A., </w:t>
      </w:r>
      <w:proofErr w:type="spellStart"/>
      <w:r>
        <w:rPr>
          <w:rFonts w:ascii="Arial" w:eastAsia="Arial" w:hAnsi="Arial" w:cs="Arial"/>
        </w:rPr>
        <w:t>Alrowily</w:t>
      </w:r>
      <w:proofErr w:type="spellEnd"/>
      <w:r>
        <w:rPr>
          <w:rFonts w:ascii="Arial" w:eastAsia="Arial" w:hAnsi="Arial" w:cs="Arial"/>
        </w:rPr>
        <w:t xml:space="preserve">, W., Abutaleb, M., </w:t>
      </w:r>
      <w:proofErr w:type="spellStart"/>
      <w:r>
        <w:rPr>
          <w:rFonts w:ascii="Arial" w:eastAsia="Arial" w:hAnsi="Arial" w:cs="Arial"/>
        </w:rPr>
        <w:t>Zaitoun</w:t>
      </w:r>
      <w:proofErr w:type="spellEnd"/>
      <w:r>
        <w:rPr>
          <w:rFonts w:ascii="Arial" w:eastAsia="Arial" w:hAnsi="Arial" w:cs="Arial"/>
        </w:rPr>
        <w:t xml:space="preserve">, M., </w:t>
      </w:r>
      <w:proofErr w:type="spellStart"/>
      <w:r>
        <w:rPr>
          <w:rFonts w:ascii="Arial" w:eastAsia="Arial" w:hAnsi="Arial" w:cs="Arial"/>
        </w:rPr>
        <w:t>Sarawi</w:t>
      </w:r>
      <w:proofErr w:type="spellEnd"/>
      <w:r>
        <w:rPr>
          <w:rFonts w:ascii="Arial" w:eastAsia="Arial" w:hAnsi="Arial" w:cs="Arial"/>
        </w:rPr>
        <w:t xml:space="preserve">, W. and </w:t>
      </w:r>
      <w:proofErr w:type="spellStart"/>
      <w:r>
        <w:rPr>
          <w:rFonts w:ascii="Arial" w:eastAsia="Arial" w:hAnsi="Arial" w:cs="Arial"/>
        </w:rPr>
        <w:t>Aljead</w:t>
      </w:r>
      <w:proofErr w:type="spellEnd"/>
      <w:r>
        <w:rPr>
          <w:rFonts w:ascii="Arial" w:eastAsia="Arial" w:hAnsi="Arial" w:cs="Arial"/>
        </w:rPr>
        <w:t xml:space="preserve">, M. (2024). High-risk Medication errors: Insight from the UK National Reporting and Learning System. </w:t>
      </w:r>
      <w:r>
        <w:rPr>
          <w:rFonts w:ascii="Arial" w:eastAsia="Arial" w:hAnsi="Arial" w:cs="Arial"/>
          <w:i/>
        </w:rPr>
        <w:t>Exploratory Research in Clinical and Social Pharmacy</w:t>
      </w:r>
      <w:r>
        <w:rPr>
          <w:rFonts w:ascii="Arial" w:eastAsia="Arial" w:hAnsi="Arial" w:cs="Arial"/>
        </w:rPr>
        <w:t xml:space="preserve">, [online] 17(100531), p.100531. </w:t>
      </w:r>
      <w:proofErr w:type="spellStart"/>
      <w:r>
        <w:rPr>
          <w:rFonts w:ascii="Arial" w:eastAsia="Arial" w:hAnsi="Arial" w:cs="Arial"/>
        </w:rPr>
        <w:t>doi:</w:t>
      </w:r>
      <w:hyperlink r:id="rId6">
        <w:r w:rsidR="00B701EC">
          <w:rPr>
            <w:rFonts w:ascii="Arial" w:eastAsia="Arial" w:hAnsi="Arial" w:cs="Arial"/>
            <w:color w:val="1155CC"/>
            <w:u w:val="single"/>
          </w:rPr>
          <w:t>https</w:t>
        </w:r>
        <w:proofErr w:type="spellEnd"/>
        <w:r w:rsidR="00B701EC">
          <w:rPr>
            <w:rFonts w:ascii="Arial" w:eastAsia="Arial" w:hAnsi="Arial" w:cs="Arial"/>
            <w:color w:val="1155CC"/>
            <w:u w:val="single"/>
          </w:rPr>
          <w:t>://doi.org/10.1016/j.rcsop.2024.100531</w:t>
        </w:r>
      </w:hyperlink>
      <w:r>
        <w:rPr>
          <w:rFonts w:ascii="Arial" w:eastAsia="Arial" w:hAnsi="Arial" w:cs="Arial"/>
        </w:rPr>
        <w:t xml:space="preserve">. </w:t>
      </w:r>
    </w:p>
    <w:p w14:paraId="00000045" w14:textId="77777777" w:rsidR="00B701EC" w:rsidRDefault="00BE4328">
      <w:pPr>
        <w:spacing w:after="240" w:line="360" w:lineRule="auto"/>
        <w:jc w:val="both"/>
        <w:rPr>
          <w:rFonts w:ascii="Arial" w:eastAsia="Arial" w:hAnsi="Arial" w:cs="Arial"/>
        </w:rPr>
      </w:pPr>
      <w:r>
        <w:rPr>
          <w:rFonts w:ascii="Arial" w:eastAsia="Arial" w:hAnsi="Arial" w:cs="Arial"/>
        </w:rPr>
        <w:t xml:space="preserve">Blease, C. (2023). Open AI meets open notes: surveillance capitalism, patient privacy and online record access. </w:t>
      </w:r>
      <w:r>
        <w:rPr>
          <w:rFonts w:ascii="Arial" w:eastAsia="Arial" w:hAnsi="Arial" w:cs="Arial"/>
          <w:i/>
        </w:rPr>
        <w:t>Journal of Medical Ethics</w:t>
      </w:r>
      <w:r>
        <w:rPr>
          <w:rFonts w:ascii="Arial" w:eastAsia="Arial" w:hAnsi="Arial" w:cs="Arial"/>
        </w:rPr>
        <w:t xml:space="preserve">, [online] 50(2). </w:t>
      </w:r>
      <w:proofErr w:type="spellStart"/>
      <w:r>
        <w:rPr>
          <w:rFonts w:ascii="Arial" w:eastAsia="Arial" w:hAnsi="Arial" w:cs="Arial"/>
        </w:rPr>
        <w:t>doi:</w:t>
      </w:r>
      <w:hyperlink r:id="rId7">
        <w:r w:rsidR="00B701EC">
          <w:rPr>
            <w:rFonts w:ascii="Arial" w:eastAsia="Arial" w:hAnsi="Arial" w:cs="Arial"/>
            <w:color w:val="1155CC"/>
            <w:u w:val="single"/>
          </w:rPr>
          <w:t>https</w:t>
        </w:r>
        <w:proofErr w:type="spellEnd"/>
        <w:r w:rsidR="00B701EC">
          <w:rPr>
            <w:rFonts w:ascii="Arial" w:eastAsia="Arial" w:hAnsi="Arial" w:cs="Arial"/>
            <w:color w:val="1155CC"/>
            <w:u w:val="single"/>
          </w:rPr>
          <w:t>://doi.org/10.1136/jme-2023-109574</w:t>
        </w:r>
      </w:hyperlink>
      <w:r>
        <w:rPr>
          <w:rFonts w:ascii="Arial" w:eastAsia="Arial" w:hAnsi="Arial" w:cs="Arial"/>
        </w:rPr>
        <w:t xml:space="preserve">. </w:t>
      </w:r>
    </w:p>
    <w:p w14:paraId="00000046" w14:textId="77777777" w:rsidR="00B701EC" w:rsidRDefault="00BE4328">
      <w:pPr>
        <w:spacing w:after="240" w:line="360" w:lineRule="auto"/>
        <w:jc w:val="both"/>
        <w:rPr>
          <w:rFonts w:ascii="Arial" w:eastAsia="Arial" w:hAnsi="Arial" w:cs="Arial"/>
        </w:rPr>
      </w:pPr>
      <w:r>
        <w:rPr>
          <w:rFonts w:ascii="Arial" w:eastAsia="Arial" w:hAnsi="Arial" w:cs="Arial"/>
        </w:rPr>
        <w:t xml:space="preserve">Bueter, A. and Jukola, S. (2025). Multi-professional healthcare teams, medical dominance, and institutional epistemic injustice. </w:t>
      </w:r>
      <w:r>
        <w:rPr>
          <w:rFonts w:ascii="Arial" w:eastAsia="Arial" w:hAnsi="Arial" w:cs="Arial"/>
          <w:i/>
        </w:rPr>
        <w:t>Medicine Health Care and Philosophy</w:t>
      </w:r>
      <w:r>
        <w:rPr>
          <w:rFonts w:ascii="Arial" w:eastAsia="Arial" w:hAnsi="Arial" w:cs="Arial"/>
        </w:rPr>
        <w:t xml:space="preserve">, 28. </w:t>
      </w:r>
      <w:proofErr w:type="spellStart"/>
      <w:r>
        <w:rPr>
          <w:rFonts w:ascii="Arial" w:eastAsia="Arial" w:hAnsi="Arial" w:cs="Arial"/>
        </w:rPr>
        <w:t>doi:</w:t>
      </w:r>
      <w:hyperlink r:id="rId8">
        <w:r w:rsidR="00B701EC">
          <w:rPr>
            <w:rFonts w:ascii="Arial" w:eastAsia="Arial" w:hAnsi="Arial" w:cs="Arial"/>
            <w:color w:val="1155CC"/>
            <w:u w:val="single"/>
          </w:rPr>
          <w:t>https</w:t>
        </w:r>
        <w:proofErr w:type="spellEnd"/>
        <w:r w:rsidR="00B701EC">
          <w:rPr>
            <w:rFonts w:ascii="Arial" w:eastAsia="Arial" w:hAnsi="Arial" w:cs="Arial"/>
            <w:color w:val="1155CC"/>
            <w:u w:val="single"/>
          </w:rPr>
          <w:t>://doi.org/10.1007/s11019-025-10252-z</w:t>
        </w:r>
      </w:hyperlink>
      <w:r>
        <w:rPr>
          <w:rFonts w:ascii="Arial" w:eastAsia="Arial" w:hAnsi="Arial" w:cs="Arial"/>
        </w:rPr>
        <w:t xml:space="preserve">. </w:t>
      </w:r>
    </w:p>
    <w:p w14:paraId="00000047" w14:textId="77777777" w:rsidR="00B701EC" w:rsidRDefault="00BE4328">
      <w:pPr>
        <w:spacing w:after="240" w:line="360" w:lineRule="auto"/>
        <w:jc w:val="both"/>
        <w:rPr>
          <w:rFonts w:ascii="Arial" w:eastAsia="Arial" w:hAnsi="Arial" w:cs="Arial"/>
        </w:rPr>
      </w:pPr>
      <w:r>
        <w:rPr>
          <w:rFonts w:ascii="Arial" w:eastAsia="Arial" w:hAnsi="Arial" w:cs="Arial"/>
        </w:rPr>
        <w:t xml:space="preserve">Dooley, M. (2024). Integrated Care in Action: A Case Study of Collaborative Multidisciplinary Approach for Older Adults in Ireland. </w:t>
      </w:r>
      <w:r>
        <w:rPr>
          <w:rFonts w:ascii="Arial" w:eastAsia="Arial" w:hAnsi="Arial" w:cs="Arial"/>
          <w:i/>
        </w:rPr>
        <w:t>Age and Ageing</w:t>
      </w:r>
      <w:r>
        <w:rPr>
          <w:rFonts w:ascii="Arial" w:eastAsia="Arial" w:hAnsi="Arial" w:cs="Arial"/>
        </w:rPr>
        <w:t xml:space="preserve">, 53(Supplement_4). </w:t>
      </w:r>
      <w:proofErr w:type="spellStart"/>
      <w:r>
        <w:rPr>
          <w:rFonts w:ascii="Arial" w:eastAsia="Arial" w:hAnsi="Arial" w:cs="Arial"/>
        </w:rPr>
        <w:t>doi:</w:t>
      </w:r>
      <w:hyperlink r:id="rId9">
        <w:r w:rsidR="00B701EC">
          <w:rPr>
            <w:rFonts w:ascii="Arial" w:eastAsia="Arial" w:hAnsi="Arial" w:cs="Arial"/>
            <w:color w:val="1155CC"/>
            <w:u w:val="single"/>
          </w:rPr>
          <w:t>https</w:t>
        </w:r>
        <w:proofErr w:type="spellEnd"/>
        <w:r w:rsidR="00B701EC">
          <w:rPr>
            <w:rFonts w:ascii="Arial" w:eastAsia="Arial" w:hAnsi="Arial" w:cs="Arial"/>
            <w:color w:val="1155CC"/>
            <w:u w:val="single"/>
          </w:rPr>
          <w:t>://doi.org/10.1093/ageing/afae178.134</w:t>
        </w:r>
      </w:hyperlink>
      <w:r>
        <w:rPr>
          <w:rFonts w:ascii="Arial" w:eastAsia="Arial" w:hAnsi="Arial" w:cs="Arial"/>
        </w:rPr>
        <w:t xml:space="preserve">. </w:t>
      </w:r>
    </w:p>
    <w:p w14:paraId="00000048" w14:textId="77777777" w:rsidR="00B701EC" w:rsidRDefault="00BE4328">
      <w:pPr>
        <w:spacing w:after="240" w:line="360" w:lineRule="auto"/>
        <w:jc w:val="both"/>
        <w:rPr>
          <w:rFonts w:ascii="Arial" w:eastAsia="Arial" w:hAnsi="Arial" w:cs="Arial"/>
        </w:rPr>
      </w:pPr>
      <w:r>
        <w:rPr>
          <w:rFonts w:ascii="Arial" w:eastAsia="Arial" w:hAnsi="Arial" w:cs="Arial"/>
        </w:rPr>
        <w:t xml:space="preserve">Francis, B. (2020). General Data Protection Regulation (GDPR) and Data Protection Act 2018: What does this mean for clinicians? </w:t>
      </w:r>
      <w:r>
        <w:rPr>
          <w:rFonts w:ascii="Arial" w:eastAsia="Arial" w:hAnsi="Arial" w:cs="Arial"/>
          <w:i/>
        </w:rPr>
        <w:t>Archives of Disease in Childhood - Education and Practice</w:t>
      </w:r>
      <w:r>
        <w:rPr>
          <w:rFonts w:ascii="Arial" w:eastAsia="Arial" w:hAnsi="Arial" w:cs="Arial"/>
        </w:rPr>
        <w:t xml:space="preserve">, [online] 105(5). </w:t>
      </w:r>
      <w:proofErr w:type="spellStart"/>
      <w:r>
        <w:rPr>
          <w:rFonts w:ascii="Arial" w:eastAsia="Arial" w:hAnsi="Arial" w:cs="Arial"/>
        </w:rPr>
        <w:t>doi:</w:t>
      </w:r>
      <w:hyperlink r:id="rId10">
        <w:r w:rsidR="00B701EC">
          <w:rPr>
            <w:rFonts w:ascii="Arial" w:eastAsia="Arial" w:hAnsi="Arial" w:cs="Arial"/>
            <w:color w:val="1155CC"/>
            <w:u w:val="single"/>
          </w:rPr>
          <w:t>https</w:t>
        </w:r>
        <w:proofErr w:type="spellEnd"/>
        <w:r w:rsidR="00B701EC">
          <w:rPr>
            <w:rFonts w:ascii="Arial" w:eastAsia="Arial" w:hAnsi="Arial" w:cs="Arial"/>
            <w:color w:val="1155CC"/>
            <w:u w:val="single"/>
          </w:rPr>
          <w:t>://doi.org/10.1136/archdischild-2018-316057</w:t>
        </w:r>
      </w:hyperlink>
      <w:r>
        <w:rPr>
          <w:rFonts w:ascii="Arial" w:eastAsia="Arial" w:hAnsi="Arial" w:cs="Arial"/>
        </w:rPr>
        <w:t xml:space="preserve">. </w:t>
      </w:r>
    </w:p>
    <w:p w14:paraId="00000049" w14:textId="77777777" w:rsidR="00B701EC" w:rsidRDefault="00BE4328">
      <w:pPr>
        <w:spacing w:after="240" w:line="360" w:lineRule="auto"/>
        <w:jc w:val="both"/>
        <w:rPr>
          <w:rFonts w:ascii="Arial" w:eastAsia="Arial" w:hAnsi="Arial" w:cs="Arial"/>
        </w:rPr>
      </w:pPr>
      <w:r>
        <w:rPr>
          <w:rFonts w:ascii="Arial" w:eastAsia="Arial" w:hAnsi="Arial" w:cs="Arial"/>
        </w:rPr>
        <w:t xml:space="preserve">Gall, L., Meney, L. and Macdonald, A. (2021). SP2.2.11Improving the quality of the documented weekend surgical handover: Implementation of a handover sticker within an urban teaching hospital. </w:t>
      </w:r>
      <w:r>
        <w:rPr>
          <w:rFonts w:ascii="Arial" w:eastAsia="Arial" w:hAnsi="Arial" w:cs="Arial"/>
          <w:i/>
        </w:rPr>
        <w:t>British Journal of Surgery</w:t>
      </w:r>
      <w:r>
        <w:rPr>
          <w:rFonts w:ascii="Arial" w:eastAsia="Arial" w:hAnsi="Arial" w:cs="Arial"/>
        </w:rPr>
        <w:t xml:space="preserve">, 108(Supplement_7). </w:t>
      </w:r>
      <w:proofErr w:type="spellStart"/>
      <w:r>
        <w:rPr>
          <w:rFonts w:ascii="Arial" w:eastAsia="Arial" w:hAnsi="Arial" w:cs="Arial"/>
        </w:rPr>
        <w:t>doi:</w:t>
      </w:r>
      <w:hyperlink r:id="rId11">
        <w:r w:rsidR="00B701EC">
          <w:rPr>
            <w:rFonts w:ascii="Arial" w:eastAsia="Arial" w:hAnsi="Arial" w:cs="Arial"/>
            <w:color w:val="1155CC"/>
            <w:u w:val="single"/>
          </w:rPr>
          <w:t>https</w:t>
        </w:r>
        <w:proofErr w:type="spellEnd"/>
        <w:r w:rsidR="00B701EC">
          <w:rPr>
            <w:rFonts w:ascii="Arial" w:eastAsia="Arial" w:hAnsi="Arial" w:cs="Arial"/>
            <w:color w:val="1155CC"/>
            <w:u w:val="single"/>
          </w:rPr>
          <w:t>://doi.org/10.1093/bjs/znab361.046</w:t>
        </w:r>
      </w:hyperlink>
      <w:r>
        <w:rPr>
          <w:rFonts w:ascii="Arial" w:eastAsia="Arial" w:hAnsi="Arial" w:cs="Arial"/>
        </w:rPr>
        <w:t xml:space="preserve">. </w:t>
      </w:r>
    </w:p>
    <w:p w14:paraId="0000004A" w14:textId="77777777" w:rsidR="00B701EC" w:rsidRDefault="00BE4328">
      <w:pPr>
        <w:spacing w:after="240" w:line="360" w:lineRule="auto"/>
        <w:jc w:val="both"/>
        <w:rPr>
          <w:rFonts w:ascii="Arial" w:eastAsia="Arial" w:hAnsi="Arial" w:cs="Arial"/>
        </w:rPr>
      </w:pPr>
      <w:r>
        <w:rPr>
          <w:rFonts w:ascii="Arial" w:eastAsia="Arial" w:hAnsi="Arial" w:cs="Arial"/>
        </w:rPr>
        <w:t xml:space="preserve">Hughes, G., Stephens, T.J., </w:t>
      </w:r>
      <w:proofErr w:type="spellStart"/>
      <w:r>
        <w:rPr>
          <w:rFonts w:ascii="Arial" w:eastAsia="Arial" w:hAnsi="Arial" w:cs="Arial"/>
        </w:rPr>
        <w:t>Seuren</w:t>
      </w:r>
      <w:proofErr w:type="spellEnd"/>
      <w:r>
        <w:rPr>
          <w:rFonts w:ascii="Arial" w:eastAsia="Arial" w:hAnsi="Arial" w:cs="Arial"/>
        </w:rPr>
        <w:t xml:space="preserve">, L.M., Pearse, R.M. and Shaw, S.E. (2024). Clinical context and communication in shared decision-making about major surgery: Findings from a qualitative study with colorectal, </w:t>
      </w:r>
      <w:proofErr w:type="spellStart"/>
      <w:r>
        <w:rPr>
          <w:rFonts w:ascii="Arial" w:eastAsia="Arial" w:hAnsi="Arial" w:cs="Arial"/>
        </w:rPr>
        <w:t>orthopaedic</w:t>
      </w:r>
      <w:proofErr w:type="spellEnd"/>
      <w:r>
        <w:rPr>
          <w:rFonts w:ascii="Arial" w:eastAsia="Arial" w:hAnsi="Arial" w:cs="Arial"/>
        </w:rPr>
        <w:t xml:space="preserve"> and cardiac patients. </w:t>
      </w:r>
      <w:r>
        <w:rPr>
          <w:rFonts w:ascii="Arial" w:eastAsia="Arial" w:hAnsi="Arial" w:cs="Arial"/>
          <w:i/>
        </w:rPr>
        <w:t>Health</w:t>
      </w:r>
      <w:r>
        <w:rPr>
          <w:rFonts w:ascii="Arial" w:eastAsia="Arial" w:hAnsi="Arial" w:cs="Arial"/>
        </w:rPr>
        <w:t xml:space="preserve">. </w:t>
      </w:r>
      <w:proofErr w:type="spellStart"/>
      <w:r>
        <w:rPr>
          <w:rFonts w:ascii="Arial" w:eastAsia="Arial" w:hAnsi="Arial" w:cs="Arial"/>
        </w:rPr>
        <w:t>doi:</w:t>
      </w:r>
      <w:hyperlink r:id="rId12">
        <w:r w:rsidR="00B701EC">
          <w:rPr>
            <w:rFonts w:ascii="Arial" w:eastAsia="Arial" w:hAnsi="Arial" w:cs="Arial"/>
            <w:color w:val="1155CC"/>
            <w:u w:val="single"/>
          </w:rPr>
          <w:t>https</w:t>
        </w:r>
        <w:proofErr w:type="spellEnd"/>
        <w:r w:rsidR="00B701EC">
          <w:rPr>
            <w:rFonts w:ascii="Arial" w:eastAsia="Arial" w:hAnsi="Arial" w:cs="Arial"/>
            <w:color w:val="1155CC"/>
            <w:u w:val="single"/>
          </w:rPr>
          <w:t>://doi.org/10.1177/13634593241238857</w:t>
        </w:r>
      </w:hyperlink>
      <w:r>
        <w:rPr>
          <w:rFonts w:ascii="Arial" w:eastAsia="Arial" w:hAnsi="Arial" w:cs="Arial"/>
        </w:rPr>
        <w:t xml:space="preserve">. </w:t>
      </w:r>
    </w:p>
    <w:p w14:paraId="0000004B" w14:textId="77777777" w:rsidR="00B701EC" w:rsidRDefault="00BE4328">
      <w:pPr>
        <w:spacing w:after="240" w:line="360" w:lineRule="auto"/>
        <w:jc w:val="both"/>
        <w:rPr>
          <w:rFonts w:ascii="Arial" w:eastAsia="Arial" w:hAnsi="Arial" w:cs="Arial"/>
        </w:rPr>
      </w:pPr>
      <w:r>
        <w:rPr>
          <w:rFonts w:ascii="Arial" w:eastAsia="Arial" w:hAnsi="Arial" w:cs="Arial"/>
        </w:rPr>
        <w:t xml:space="preserve">Koroma, P., </w:t>
      </w:r>
      <w:proofErr w:type="spellStart"/>
      <w:r>
        <w:rPr>
          <w:rFonts w:ascii="Arial" w:eastAsia="Arial" w:hAnsi="Arial" w:cs="Arial"/>
        </w:rPr>
        <w:t>Shehrazi</w:t>
      </w:r>
      <w:proofErr w:type="spellEnd"/>
      <w:r>
        <w:rPr>
          <w:rFonts w:ascii="Arial" w:eastAsia="Arial" w:hAnsi="Arial" w:cs="Arial"/>
        </w:rPr>
        <w:t xml:space="preserve">, S. and Shetty, V. (2022). 732 Re-Audit: Surgical Handover Documentation. </w:t>
      </w:r>
      <w:r>
        <w:rPr>
          <w:rFonts w:ascii="Arial" w:eastAsia="Arial" w:hAnsi="Arial" w:cs="Arial"/>
          <w:i/>
        </w:rPr>
        <w:t>British Journal of Surgery</w:t>
      </w:r>
      <w:r>
        <w:rPr>
          <w:rFonts w:ascii="Arial" w:eastAsia="Arial" w:hAnsi="Arial" w:cs="Arial"/>
        </w:rPr>
        <w:t xml:space="preserve">, 109(Supplement_6). </w:t>
      </w:r>
      <w:proofErr w:type="spellStart"/>
      <w:r>
        <w:rPr>
          <w:rFonts w:ascii="Arial" w:eastAsia="Arial" w:hAnsi="Arial" w:cs="Arial"/>
        </w:rPr>
        <w:t>doi:</w:t>
      </w:r>
      <w:hyperlink r:id="rId13">
        <w:r w:rsidR="00B701EC">
          <w:rPr>
            <w:rFonts w:ascii="Arial" w:eastAsia="Arial" w:hAnsi="Arial" w:cs="Arial"/>
            <w:color w:val="1155CC"/>
            <w:u w:val="single"/>
          </w:rPr>
          <w:t>https</w:t>
        </w:r>
        <w:proofErr w:type="spellEnd"/>
        <w:r w:rsidR="00B701EC">
          <w:rPr>
            <w:rFonts w:ascii="Arial" w:eastAsia="Arial" w:hAnsi="Arial" w:cs="Arial"/>
            <w:color w:val="1155CC"/>
            <w:u w:val="single"/>
          </w:rPr>
          <w:t>://doi.org/10.1093/bjs/znac269.030</w:t>
        </w:r>
      </w:hyperlink>
      <w:r>
        <w:rPr>
          <w:rFonts w:ascii="Arial" w:eastAsia="Arial" w:hAnsi="Arial" w:cs="Arial"/>
        </w:rPr>
        <w:t xml:space="preserve">. </w:t>
      </w:r>
    </w:p>
    <w:p w14:paraId="0000004C" w14:textId="77777777" w:rsidR="00B701EC" w:rsidRDefault="00BE4328">
      <w:pPr>
        <w:spacing w:after="240" w:line="360" w:lineRule="auto"/>
        <w:jc w:val="both"/>
        <w:rPr>
          <w:rFonts w:ascii="Arial" w:eastAsia="Arial" w:hAnsi="Arial" w:cs="Arial"/>
        </w:rPr>
      </w:pPr>
      <w:r>
        <w:rPr>
          <w:rFonts w:ascii="Arial" w:eastAsia="Arial" w:hAnsi="Arial" w:cs="Arial"/>
        </w:rPr>
        <w:t xml:space="preserve">Lee, R., Hatt, J., </w:t>
      </w:r>
      <w:proofErr w:type="spellStart"/>
      <w:r>
        <w:rPr>
          <w:rFonts w:ascii="Arial" w:eastAsia="Arial" w:hAnsi="Arial" w:cs="Arial"/>
        </w:rPr>
        <w:t>Mahawar</w:t>
      </w:r>
      <w:proofErr w:type="spellEnd"/>
      <w:r>
        <w:rPr>
          <w:rFonts w:ascii="Arial" w:eastAsia="Arial" w:hAnsi="Arial" w:cs="Arial"/>
        </w:rPr>
        <w:t xml:space="preserve">, K., Bansal, M., Goyal, A. and Madhok, B. (2021). 738 Lessons from the National Patient Safety Agency Alerts. </w:t>
      </w:r>
      <w:r>
        <w:rPr>
          <w:rFonts w:ascii="Arial" w:eastAsia="Arial" w:hAnsi="Arial" w:cs="Arial"/>
          <w:i/>
        </w:rPr>
        <w:t>British Journal of Surgery</w:t>
      </w:r>
      <w:r>
        <w:rPr>
          <w:rFonts w:ascii="Arial" w:eastAsia="Arial" w:hAnsi="Arial" w:cs="Arial"/>
        </w:rPr>
        <w:t xml:space="preserve">, 108(Supplement_6). </w:t>
      </w:r>
      <w:proofErr w:type="spellStart"/>
      <w:r>
        <w:rPr>
          <w:rFonts w:ascii="Arial" w:eastAsia="Arial" w:hAnsi="Arial" w:cs="Arial"/>
        </w:rPr>
        <w:t>doi:</w:t>
      </w:r>
      <w:hyperlink r:id="rId14">
        <w:r w:rsidR="00B701EC">
          <w:rPr>
            <w:rFonts w:ascii="Arial" w:eastAsia="Arial" w:hAnsi="Arial" w:cs="Arial"/>
            <w:color w:val="1155CC"/>
            <w:u w:val="single"/>
          </w:rPr>
          <w:t>https</w:t>
        </w:r>
        <w:proofErr w:type="spellEnd"/>
        <w:r w:rsidR="00B701EC">
          <w:rPr>
            <w:rFonts w:ascii="Arial" w:eastAsia="Arial" w:hAnsi="Arial" w:cs="Arial"/>
            <w:color w:val="1155CC"/>
            <w:u w:val="single"/>
          </w:rPr>
          <w:t>://doi.org/10.1093/bjs/znab259.865</w:t>
        </w:r>
      </w:hyperlink>
      <w:r>
        <w:rPr>
          <w:rFonts w:ascii="Arial" w:eastAsia="Arial" w:hAnsi="Arial" w:cs="Arial"/>
        </w:rPr>
        <w:t xml:space="preserve">. </w:t>
      </w:r>
    </w:p>
    <w:p w14:paraId="0000004D" w14:textId="77777777" w:rsidR="00B701EC" w:rsidRDefault="00BE4328">
      <w:pPr>
        <w:spacing w:after="240" w:line="360" w:lineRule="auto"/>
        <w:jc w:val="both"/>
        <w:rPr>
          <w:rFonts w:ascii="Arial" w:eastAsia="Arial" w:hAnsi="Arial" w:cs="Arial"/>
        </w:rPr>
      </w:pPr>
      <w:r>
        <w:rPr>
          <w:rFonts w:ascii="Arial" w:eastAsia="Arial" w:hAnsi="Arial" w:cs="Arial"/>
        </w:rPr>
        <w:t xml:space="preserve">Marier, P., Joy, M., </w:t>
      </w:r>
      <w:proofErr w:type="spellStart"/>
      <w:r>
        <w:rPr>
          <w:rFonts w:ascii="Arial" w:eastAsia="Arial" w:hAnsi="Arial" w:cs="Arial"/>
        </w:rPr>
        <w:t>Smele</w:t>
      </w:r>
      <w:proofErr w:type="spellEnd"/>
      <w:r>
        <w:rPr>
          <w:rFonts w:ascii="Arial" w:eastAsia="Arial" w:hAnsi="Arial" w:cs="Arial"/>
        </w:rPr>
        <w:t xml:space="preserve">, S., Zakaria, R., Beauchamp, J., Valérie Bourgeois-Guérin, Lupien, P.-L. and Sussman, T. (2024). Older Adults in Administrative Quagmire: A Scoping Review of Policy and Program Coordination Across 6 Marginalized Older Adult Populations. </w:t>
      </w:r>
      <w:r>
        <w:rPr>
          <w:rFonts w:ascii="Arial" w:eastAsia="Arial" w:hAnsi="Arial" w:cs="Arial"/>
          <w:i/>
        </w:rPr>
        <w:t>The Gerontologist</w:t>
      </w:r>
      <w:r>
        <w:rPr>
          <w:rFonts w:ascii="Arial" w:eastAsia="Arial" w:hAnsi="Arial" w:cs="Arial"/>
        </w:rPr>
        <w:t xml:space="preserve">. </w:t>
      </w:r>
      <w:proofErr w:type="spellStart"/>
      <w:r>
        <w:rPr>
          <w:rFonts w:ascii="Arial" w:eastAsia="Arial" w:hAnsi="Arial" w:cs="Arial"/>
        </w:rPr>
        <w:t>doi:</w:t>
      </w:r>
      <w:hyperlink r:id="rId15">
        <w:r w:rsidR="00B701EC">
          <w:rPr>
            <w:rFonts w:ascii="Arial" w:eastAsia="Arial" w:hAnsi="Arial" w:cs="Arial"/>
            <w:color w:val="1155CC"/>
            <w:u w:val="single"/>
          </w:rPr>
          <w:t>https</w:t>
        </w:r>
        <w:proofErr w:type="spellEnd"/>
        <w:r w:rsidR="00B701EC">
          <w:rPr>
            <w:rFonts w:ascii="Arial" w:eastAsia="Arial" w:hAnsi="Arial" w:cs="Arial"/>
            <w:color w:val="1155CC"/>
            <w:u w:val="single"/>
          </w:rPr>
          <w:t>://doi.org/10.1093/geront/gnae120</w:t>
        </w:r>
      </w:hyperlink>
      <w:r>
        <w:rPr>
          <w:rFonts w:ascii="Arial" w:eastAsia="Arial" w:hAnsi="Arial" w:cs="Arial"/>
        </w:rPr>
        <w:t xml:space="preserve">. </w:t>
      </w:r>
    </w:p>
    <w:p w14:paraId="0000004E" w14:textId="77777777" w:rsidR="00B701EC" w:rsidRDefault="00BE4328">
      <w:pPr>
        <w:spacing w:after="240" w:line="360" w:lineRule="auto"/>
        <w:jc w:val="both"/>
        <w:rPr>
          <w:rFonts w:ascii="Arial" w:eastAsia="Arial" w:hAnsi="Arial" w:cs="Arial"/>
        </w:rPr>
      </w:pPr>
      <w:proofErr w:type="spellStart"/>
      <w:r>
        <w:rPr>
          <w:rFonts w:ascii="Arial" w:eastAsia="Arial" w:hAnsi="Arial" w:cs="Arial"/>
        </w:rPr>
        <w:t>Moorley</w:t>
      </w:r>
      <w:proofErr w:type="spellEnd"/>
      <w:r>
        <w:rPr>
          <w:rFonts w:ascii="Arial" w:eastAsia="Arial" w:hAnsi="Arial" w:cs="Arial"/>
        </w:rPr>
        <w:t xml:space="preserve">, C., </w:t>
      </w:r>
      <w:proofErr w:type="spellStart"/>
      <w:r>
        <w:rPr>
          <w:rFonts w:ascii="Arial" w:eastAsia="Arial" w:hAnsi="Arial" w:cs="Arial"/>
        </w:rPr>
        <w:t>Oshikanlu</w:t>
      </w:r>
      <w:proofErr w:type="spellEnd"/>
      <w:r>
        <w:rPr>
          <w:rFonts w:ascii="Arial" w:eastAsia="Arial" w:hAnsi="Arial" w:cs="Arial"/>
        </w:rPr>
        <w:t xml:space="preserve">, R., Unsworth, J., Oldman, C. and Allan, H.T. (2025). Redefining Regulation: Towards Equity and Social Justice. </w:t>
      </w:r>
      <w:r>
        <w:rPr>
          <w:rFonts w:ascii="Arial" w:eastAsia="Arial" w:hAnsi="Arial" w:cs="Arial"/>
          <w:i/>
        </w:rPr>
        <w:t>Journal of Advanced Nursing</w:t>
      </w:r>
      <w:r>
        <w:rPr>
          <w:rFonts w:ascii="Arial" w:eastAsia="Arial" w:hAnsi="Arial" w:cs="Arial"/>
        </w:rPr>
        <w:t xml:space="preserve">. </w:t>
      </w:r>
      <w:proofErr w:type="spellStart"/>
      <w:r>
        <w:rPr>
          <w:rFonts w:ascii="Arial" w:eastAsia="Arial" w:hAnsi="Arial" w:cs="Arial"/>
        </w:rPr>
        <w:t>doi:</w:t>
      </w:r>
      <w:hyperlink r:id="rId16">
        <w:r w:rsidR="00B701EC">
          <w:rPr>
            <w:rFonts w:ascii="Arial" w:eastAsia="Arial" w:hAnsi="Arial" w:cs="Arial"/>
            <w:color w:val="1155CC"/>
            <w:u w:val="single"/>
          </w:rPr>
          <w:t>https</w:t>
        </w:r>
        <w:proofErr w:type="spellEnd"/>
        <w:r w:rsidR="00B701EC">
          <w:rPr>
            <w:rFonts w:ascii="Arial" w:eastAsia="Arial" w:hAnsi="Arial" w:cs="Arial"/>
            <w:color w:val="1155CC"/>
            <w:u w:val="single"/>
          </w:rPr>
          <w:t>://doi.org/10.1111/jan.16726</w:t>
        </w:r>
      </w:hyperlink>
      <w:r>
        <w:rPr>
          <w:rFonts w:ascii="Arial" w:eastAsia="Arial" w:hAnsi="Arial" w:cs="Arial"/>
        </w:rPr>
        <w:t xml:space="preserve">. </w:t>
      </w:r>
    </w:p>
    <w:p w14:paraId="0000004F" w14:textId="77777777" w:rsidR="00B701EC" w:rsidRDefault="00BE4328">
      <w:pPr>
        <w:spacing w:after="240" w:line="360" w:lineRule="auto"/>
        <w:jc w:val="both"/>
        <w:rPr>
          <w:rFonts w:ascii="Arial" w:eastAsia="Arial" w:hAnsi="Arial" w:cs="Arial"/>
        </w:rPr>
      </w:pPr>
      <w:r>
        <w:rPr>
          <w:rFonts w:ascii="Arial" w:eastAsia="Arial" w:hAnsi="Arial" w:cs="Arial"/>
        </w:rPr>
        <w:t xml:space="preserve">Norcliffe, B., Brannan, D., Davies, S., English, M., Mussell, V. and Rebecca (2021). </w:t>
      </w:r>
      <w:r>
        <w:rPr>
          <w:rFonts w:ascii="Arial" w:eastAsia="Arial" w:hAnsi="Arial" w:cs="Arial"/>
          <w:i/>
        </w:rPr>
        <w:t>Ethics briefing – February 2021 - ProQuest</w:t>
      </w:r>
      <w:r>
        <w:rPr>
          <w:rFonts w:ascii="Arial" w:eastAsia="Arial" w:hAnsi="Arial" w:cs="Arial"/>
        </w:rPr>
        <w:t xml:space="preserve">. [online] Proquest.com. Available at: </w:t>
      </w:r>
      <w:hyperlink r:id="rId17">
        <w:r w:rsidR="00B701EC">
          <w:rPr>
            <w:rFonts w:ascii="Arial" w:eastAsia="Arial" w:hAnsi="Arial" w:cs="Arial"/>
            <w:color w:val="1155CC"/>
            <w:u w:val="single"/>
          </w:rPr>
          <w:t>https://search.proquest.com/openview/f400bf3b310563551f35f7400d4040b8/1?pq-origsite=gscholar&amp;cbl=2041060</w:t>
        </w:r>
      </w:hyperlink>
      <w:r>
        <w:rPr>
          <w:rFonts w:ascii="Arial" w:eastAsia="Arial" w:hAnsi="Arial" w:cs="Arial"/>
        </w:rPr>
        <w:t xml:space="preserve">. </w:t>
      </w:r>
    </w:p>
    <w:p w14:paraId="00000050" w14:textId="77777777" w:rsidR="00B701EC" w:rsidRDefault="00BE4328">
      <w:pPr>
        <w:spacing w:after="240" w:line="360" w:lineRule="auto"/>
        <w:jc w:val="both"/>
        <w:rPr>
          <w:rFonts w:ascii="Arial" w:eastAsia="Arial" w:hAnsi="Arial" w:cs="Arial"/>
        </w:rPr>
      </w:pPr>
      <w:r>
        <w:rPr>
          <w:rFonts w:ascii="Arial" w:eastAsia="Arial" w:hAnsi="Arial" w:cs="Arial"/>
        </w:rPr>
        <w:t xml:space="preserve">Patel, M., Newell, R., George, S., Dawe, H., </w:t>
      </w:r>
      <w:proofErr w:type="spellStart"/>
      <w:r>
        <w:rPr>
          <w:rFonts w:ascii="Arial" w:eastAsia="Arial" w:hAnsi="Arial" w:cs="Arial"/>
        </w:rPr>
        <w:t>Roelas</w:t>
      </w:r>
      <w:proofErr w:type="spellEnd"/>
      <w:r>
        <w:rPr>
          <w:rFonts w:ascii="Arial" w:eastAsia="Arial" w:hAnsi="Arial" w:cs="Arial"/>
        </w:rPr>
        <w:t xml:space="preserve">, M., Wedmore, F. and Morris, M. (2022). Improving the quality of translation for patients with language barriers. </w:t>
      </w:r>
      <w:r>
        <w:rPr>
          <w:rFonts w:ascii="Arial" w:eastAsia="Arial" w:hAnsi="Arial" w:cs="Arial"/>
          <w:i/>
        </w:rPr>
        <w:t>European Journal of Public Health</w:t>
      </w:r>
      <w:r>
        <w:rPr>
          <w:rFonts w:ascii="Arial" w:eastAsia="Arial" w:hAnsi="Arial" w:cs="Arial"/>
        </w:rPr>
        <w:t xml:space="preserve">, [online] 32(Supplement_3). </w:t>
      </w:r>
      <w:proofErr w:type="spellStart"/>
      <w:r>
        <w:rPr>
          <w:rFonts w:ascii="Arial" w:eastAsia="Arial" w:hAnsi="Arial" w:cs="Arial"/>
        </w:rPr>
        <w:t>doi:</w:t>
      </w:r>
      <w:hyperlink r:id="rId18">
        <w:r w:rsidR="00B701EC">
          <w:rPr>
            <w:rFonts w:ascii="Arial" w:eastAsia="Arial" w:hAnsi="Arial" w:cs="Arial"/>
            <w:color w:val="1155CC"/>
            <w:u w:val="single"/>
          </w:rPr>
          <w:t>https</w:t>
        </w:r>
        <w:proofErr w:type="spellEnd"/>
        <w:r w:rsidR="00B701EC">
          <w:rPr>
            <w:rFonts w:ascii="Arial" w:eastAsia="Arial" w:hAnsi="Arial" w:cs="Arial"/>
            <w:color w:val="1155CC"/>
            <w:u w:val="single"/>
          </w:rPr>
          <w:t>://doi.org/10.1093/eurpub/ckac129.639</w:t>
        </w:r>
      </w:hyperlink>
      <w:r>
        <w:rPr>
          <w:rFonts w:ascii="Arial" w:eastAsia="Arial" w:hAnsi="Arial" w:cs="Arial"/>
        </w:rPr>
        <w:t xml:space="preserve">. </w:t>
      </w:r>
    </w:p>
    <w:p w14:paraId="00000051" w14:textId="77777777" w:rsidR="00B701EC" w:rsidRDefault="00BE4328">
      <w:pPr>
        <w:spacing w:after="240" w:line="360" w:lineRule="auto"/>
        <w:jc w:val="both"/>
        <w:rPr>
          <w:rFonts w:ascii="Arial" w:eastAsia="Arial" w:hAnsi="Arial" w:cs="Arial"/>
        </w:rPr>
      </w:pPr>
      <w:r>
        <w:rPr>
          <w:rFonts w:ascii="Arial" w:eastAsia="Arial" w:hAnsi="Arial" w:cs="Arial"/>
        </w:rPr>
        <w:t xml:space="preserve">Peters, M., Lalani, M., Hogan, H., </w:t>
      </w:r>
      <w:proofErr w:type="spellStart"/>
      <w:r>
        <w:rPr>
          <w:rFonts w:ascii="Arial" w:eastAsia="Arial" w:hAnsi="Arial" w:cs="Arial"/>
        </w:rPr>
        <w:t>Caiels</w:t>
      </w:r>
      <w:proofErr w:type="spellEnd"/>
      <w:r>
        <w:rPr>
          <w:rFonts w:ascii="Arial" w:eastAsia="Arial" w:hAnsi="Arial" w:cs="Arial"/>
        </w:rPr>
        <w:t xml:space="preserve">, J., Crocker, H., Gunn, S., Hay, H., Page, B., Priya Sugavanam and Fitzpatrick, R. (2023). Integrated Care Systems in England: Progress towards forming new multi-stakeholder partnerships to develop quality. </w:t>
      </w:r>
      <w:r>
        <w:rPr>
          <w:rFonts w:ascii="Arial" w:eastAsia="Arial" w:hAnsi="Arial" w:cs="Arial"/>
          <w:i/>
        </w:rPr>
        <w:t>International Journal of Integrated Care</w:t>
      </w:r>
      <w:r>
        <w:rPr>
          <w:rFonts w:ascii="Arial" w:eastAsia="Arial" w:hAnsi="Arial" w:cs="Arial"/>
        </w:rPr>
        <w:t xml:space="preserve">, 23(S1), pp.325–325. </w:t>
      </w:r>
      <w:proofErr w:type="spellStart"/>
      <w:r>
        <w:rPr>
          <w:rFonts w:ascii="Arial" w:eastAsia="Arial" w:hAnsi="Arial" w:cs="Arial"/>
        </w:rPr>
        <w:t>doi:</w:t>
      </w:r>
      <w:hyperlink r:id="rId19">
        <w:r w:rsidR="00B701EC">
          <w:rPr>
            <w:rFonts w:ascii="Arial" w:eastAsia="Arial" w:hAnsi="Arial" w:cs="Arial"/>
            <w:color w:val="1155CC"/>
            <w:u w:val="single"/>
          </w:rPr>
          <w:t>https</w:t>
        </w:r>
        <w:proofErr w:type="spellEnd"/>
        <w:r w:rsidR="00B701EC">
          <w:rPr>
            <w:rFonts w:ascii="Arial" w:eastAsia="Arial" w:hAnsi="Arial" w:cs="Arial"/>
            <w:color w:val="1155CC"/>
            <w:u w:val="single"/>
          </w:rPr>
          <w:t>://doi.org/10.5334/ijic.icic23120</w:t>
        </w:r>
      </w:hyperlink>
      <w:r>
        <w:rPr>
          <w:rFonts w:ascii="Arial" w:eastAsia="Arial" w:hAnsi="Arial" w:cs="Arial"/>
        </w:rPr>
        <w:t xml:space="preserve">. </w:t>
      </w:r>
    </w:p>
    <w:p w14:paraId="00000052" w14:textId="77777777" w:rsidR="00B701EC" w:rsidRDefault="00BE4328">
      <w:pPr>
        <w:spacing w:after="240" w:line="360" w:lineRule="auto"/>
        <w:jc w:val="both"/>
        <w:rPr>
          <w:rFonts w:ascii="Arial" w:eastAsia="Arial" w:hAnsi="Arial" w:cs="Arial"/>
        </w:rPr>
      </w:pPr>
      <w:r>
        <w:rPr>
          <w:rFonts w:ascii="Arial" w:eastAsia="Arial" w:hAnsi="Arial" w:cs="Arial"/>
        </w:rPr>
        <w:t xml:space="preserve">Prestwich, A., Flanagan, C. and Khan, S. (2025). Impact of UK National Clinical Communication Guidelines on Adults’ Perceptions of Doctors and Treatment Commitment. </w:t>
      </w:r>
      <w:r>
        <w:rPr>
          <w:rFonts w:ascii="Arial" w:eastAsia="Arial" w:hAnsi="Arial" w:cs="Arial"/>
          <w:i/>
        </w:rPr>
        <w:t>Health Communication</w:t>
      </w:r>
      <w:r>
        <w:rPr>
          <w:rFonts w:ascii="Arial" w:eastAsia="Arial" w:hAnsi="Arial" w:cs="Arial"/>
        </w:rPr>
        <w:t xml:space="preserve">, pp.1–12. </w:t>
      </w:r>
      <w:proofErr w:type="spellStart"/>
      <w:r>
        <w:rPr>
          <w:rFonts w:ascii="Arial" w:eastAsia="Arial" w:hAnsi="Arial" w:cs="Arial"/>
        </w:rPr>
        <w:t>doi:</w:t>
      </w:r>
      <w:hyperlink r:id="rId20">
        <w:r w:rsidR="00B701EC">
          <w:rPr>
            <w:rFonts w:ascii="Arial" w:eastAsia="Arial" w:hAnsi="Arial" w:cs="Arial"/>
            <w:color w:val="1155CC"/>
            <w:u w:val="single"/>
          </w:rPr>
          <w:t>https</w:t>
        </w:r>
        <w:proofErr w:type="spellEnd"/>
        <w:r w:rsidR="00B701EC">
          <w:rPr>
            <w:rFonts w:ascii="Arial" w:eastAsia="Arial" w:hAnsi="Arial" w:cs="Arial"/>
            <w:color w:val="1155CC"/>
            <w:u w:val="single"/>
          </w:rPr>
          <w:t>://doi.org/10.1080/10410236.2025.2458647</w:t>
        </w:r>
      </w:hyperlink>
      <w:r>
        <w:rPr>
          <w:rFonts w:ascii="Arial" w:eastAsia="Arial" w:hAnsi="Arial" w:cs="Arial"/>
        </w:rPr>
        <w:t xml:space="preserve">. </w:t>
      </w:r>
    </w:p>
    <w:p w14:paraId="00000053" w14:textId="77777777" w:rsidR="00B701EC" w:rsidRDefault="00BE4328">
      <w:pPr>
        <w:spacing w:after="240" w:line="360" w:lineRule="auto"/>
        <w:jc w:val="both"/>
        <w:rPr>
          <w:rFonts w:ascii="Arial" w:eastAsia="Arial" w:hAnsi="Arial" w:cs="Arial"/>
        </w:rPr>
      </w:pPr>
      <w:proofErr w:type="spellStart"/>
      <w:r>
        <w:rPr>
          <w:rFonts w:ascii="Arial" w:eastAsia="Arial" w:hAnsi="Arial" w:cs="Arial"/>
        </w:rPr>
        <w:t>Puthoopparambil</w:t>
      </w:r>
      <w:proofErr w:type="spellEnd"/>
      <w:r>
        <w:rPr>
          <w:rFonts w:ascii="Arial" w:eastAsia="Arial" w:hAnsi="Arial" w:cs="Arial"/>
        </w:rPr>
        <w:t xml:space="preserve">, S.J., </w:t>
      </w:r>
      <w:proofErr w:type="spellStart"/>
      <w:r>
        <w:rPr>
          <w:rFonts w:ascii="Arial" w:eastAsia="Arial" w:hAnsi="Arial" w:cs="Arial"/>
        </w:rPr>
        <w:t>Phelan</w:t>
      </w:r>
      <w:proofErr w:type="spellEnd"/>
      <w:r>
        <w:rPr>
          <w:rFonts w:ascii="Arial" w:eastAsia="Arial" w:hAnsi="Arial" w:cs="Arial"/>
        </w:rPr>
        <w:t xml:space="preserve">, M. and MacFarlane, A. (2021). Migrant health and language barriers: Uncovering macro level influences on the implementation of trained interpreters in healthcare settings. </w:t>
      </w:r>
      <w:r>
        <w:rPr>
          <w:rFonts w:ascii="Arial" w:eastAsia="Arial" w:hAnsi="Arial" w:cs="Arial"/>
          <w:i/>
        </w:rPr>
        <w:t>Health Policy</w:t>
      </w:r>
      <w:r>
        <w:rPr>
          <w:rFonts w:ascii="Arial" w:eastAsia="Arial" w:hAnsi="Arial" w:cs="Arial"/>
        </w:rPr>
        <w:t xml:space="preserve">, [online] 125(8), pp.1085–1091. </w:t>
      </w:r>
      <w:proofErr w:type="spellStart"/>
      <w:r>
        <w:rPr>
          <w:rFonts w:ascii="Arial" w:eastAsia="Arial" w:hAnsi="Arial" w:cs="Arial"/>
        </w:rPr>
        <w:t>doi:</w:t>
      </w:r>
      <w:hyperlink r:id="rId21">
        <w:r w:rsidR="00B701EC">
          <w:rPr>
            <w:rFonts w:ascii="Arial" w:eastAsia="Arial" w:hAnsi="Arial" w:cs="Arial"/>
            <w:color w:val="1155CC"/>
            <w:u w:val="single"/>
          </w:rPr>
          <w:t>https</w:t>
        </w:r>
        <w:proofErr w:type="spellEnd"/>
        <w:r w:rsidR="00B701EC">
          <w:rPr>
            <w:rFonts w:ascii="Arial" w:eastAsia="Arial" w:hAnsi="Arial" w:cs="Arial"/>
            <w:color w:val="1155CC"/>
            <w:u w:val="single"/>
          </w:rPr>
          <w:t>://doi.org/10.1016/j.healthpol.2021.05.018</w:t>
        </w:r>
      </w:hyperlink>
      <w:r>
        <w:rPr>
          <w:rFonts w:ascii="Arial" w:eastAsia="Arial" w:hAnsi="Arial" w:cs="Arial"/>
        </w:rPr>
        <w:t xml:space="preserve">. </w:t>
      </w:r>
    </w:p>
    <w:p w14:paraId="00000054" w14:textId="77777777" w:rsidR="00B701EC" w:rsidRDefault="00BE4328">
      <w:pPr>
        <w:spacing w:after="240" w:line="360" w:lineRule="auto"/>
        <w:jc w:val="both"/>
        <w:rPr>
          <w:rFonts w:ascii="Arial" w:eastAsia="Arial" w:hAnsi="Arial" w:cs="Arial"/>
        </w:rPr>
      </w:pPr>
      <w:r>
        <w:rPr>
          <w:rFonts w:ascii="Arial" w:eastAsia="Arial" w:hAnsi="Arial" w:cs="Arial"/>
        </w:rPr>
        <w:t xml:space="preserve">Raus, K., Mortier, E. and </w:t>
      </w:r>
      <w:proofErr w:type="spellStart"/>
      <w:r>
        <w:rPr>
          <w:rFonts w:ascii="Arial" w:eastAsia="Arial" w:hAnsi="Arial" w:cs="Arial"/>
        </w:rPr>
        <w:t>Eeckloo</w:t>
      </w:r>
      <w:proofErr w:type="spellEnd"/>
      <w:r>
        <w:rPr>
          <w:rFonts w:ascii="Arial" w:eastAsia="Arial" w:hAnsi="Arial" w:cs="Arial"/>
        </w:rPr>
        <w:t xml:space="preserve">, K. (2020). Challenges in Turning a Great Idea into Great Health policy: the Case of Integrated Care. </w:t>
      </w:r>
      <w:r>
        <w:rPr>
          <w:rFonts w:ascii="Arial" w:eastAsia="Arial" w:hAnsi="Arial" w:cs="Arial"/>
          <w:i/>
        </w:rPr>
        <w:t>BMC Health Services Research</w:t>
      </w:r>
      <w:r>
        <w:rPr>
          <w:rFonts w:ascii="Arial" w:eastAsia="Arial" w:hAnsi="Arial" w:cs="Arial"/>
        </w:rPr>
        <w:t xml:space="preserve">, [online] 20(1). </w:t>
      </w:r>
      <w:proofErr w:type="spellStart"/>
      <w:r>
        <w:rPr>
          <w:rFonts w:ascii="Arial" w:eastAsia="Arial" w:hAnsi="Arial" w:cs="Arial"/>
        </w:rPr>
        <w:t>doi:</w:t>
      </w:r>
      <w:hyperlink r:id="rId22">
        <w:r w:rsidR="00B701EC">
          <w:rPr>
            <w:rFonts w:ascii="Arial" w:eastAsia="Arial" w:hAnsi="Arial" w:cs="Arial"/>
            <w:color w:val="1155CC"/>
            <w:u w:val="single"/>
          </w:rPr>
          <w:t>https</w:t>
        </w:r>
        <w:proofErr w:type="spellEnd"/>
        <w:r w:rsidR="00B701EC">
          <w:rPr>
            <w:rFonts w:ascii="Arial" w:eastAsia="Arial" w:hAnsi="Arial" w:cs="Arial"/>
            <w:color w:val="1155CC"/>
            <w:u w:val="single"/>
          </w:rPr>
          <w:t>://doi.org/10.1186/s12913-020-4950-z</w:t>
        </w:r>
      </w:hyperlink>
      <w:r>
        <w:rPr>
          <w:rFonts w:ascii="Arial" w:eastAsia="Arial" w:hAnsi="Arial" w:cs="Arial"/>
        </w:rPr>
        <w:t xml:space="preserve">. </w:t>
      </w:r>
    </w:p>
    <w:p w14:paraId="00000055" w14:textId="77777777" w:rsidR="00B701EC" w:rsidRDefault="00BE4328">
      <w:pPr>
        <w:spacing w:after="240" w:line="360" w:lineRule="auto"/>
        <w:jc w:val="both"/>
        <w:rPr>
          <w:rFonts w:ascii="Arial" w:eastAsia="Arial" w:hAnsi="Arial" w:cs="Arial"/>
        </w:rPr>
      </w:pPr>
      <w:r>
        <w:rPr>
          <w:rFonts w:ascii="Arial" w:eastAsia="Arial" w:hAnsi="Arial" w:cs="Arial"/>
        </w:rPr>
        <w:t xml:space="preserve">Shin, G.Y. (2023). Continuing disquiet on the data front: involve your local Caldicott guardian. </w:t>
      </w:r>
      <w:r>
        <w:rPr>
          <w:rFonts w:ascii="Arial" w:eastAsia="Arial" w:hAnsi="Arial" w:cs="Arial"/>
          <w:i/>
        </w:rPr>
        <w:t>BMJ</w:t>
      </w:r>
      <w:r>
        <w:rPr>
          <w:rFonts w:ascii="Arial" w:eastAsia="Arial" w:hAnsi="Arial" w:cs="Arial"/>
        </w:rPr>
        <w:t xml:space="preserve">, p.p2141. </w:t>
      </w:r>
      <w:proofErr w:type="spellStart"/>
      <w:r>
        <w:rPr>
          <w:rFonts w:ascii="Arial" w:eastAsia="Arial" w:hAnsi="Arial" w:cs="Arial"/>
        </w:rPr>
        <w:t>doi:</w:t>
      </w:r>
      <w:hyperlink r:id="rId23">
        <w:r w:rsidR="00B701EC">
          <w:rPr>
            <w:rFonts w:ascii="Arial" w:eastAsia="Arial" w:hAnsi="Arial" w:cs="Arial"/>
            <w:color w:val="1155CC"/>
            <w:u w:val="single"/>
          </w:rPr>
          <w:t>https</w:t>
        </w:r>
        <w:proofErr w:type="spellEnd"/>
        <w:r w:rsidR="00B701EC">
          <w:rPr>
            <w:rFonts w:ascii="Arial" w:eastAsia="Arial" w:hAnsi="Arial" w:cs="Arial"/>
            <w:color w:val="1155CC"/>
            <w:u w:val="single"/>
          </w:rPr>
          <w:t>://doi.org/10.1136/bmj.p2141</w:t>
        </w:r>
      </w:hyperlink>
      <w:r>
        <w:rPr>
          <w:rFonts w:ascii="Arial" w:eastAsia="Arial" w:hAnsi="Arial" w:cs="Arial"/>
        </w:rPr>
        <w:t xml:space="preserve">. </w:t>
      </w:r>
    </w:p>
    <w:p w14:paraId="00000056" w14:textId="77777777" w:rsidR="00B701EC" w:rsidRDefault="00BE4328">
      <w:pPr>
        <w:spacing w:after="240" w:line="360" w:lineRule="auto"/>
        <w:jc w:val="both"/>
        <w:rPr>
          <w:rFonts w:ascii="Arial" w:eastAsia="Arial" w:hAnsi="Arial" w:cs="Arial"/>
        </w:rPr>
      </w:pPr>
      <w:r>
        <w:rPr>
          <w:rFonts w:ascii="Arial" w:eastAsia="Arial" w:hAnsi="Arial" w:cs="Arial"/>
        </w:rPr>
        <w:t xml:space="preserve">Skinner, M.S., Veenstra, M. and </w:t>
      </w:r>
      <w:proofErr w:type="spellStart"/>
      <w:r>
        <w:rPr>
          <w:rFonts w:ascii="Arial" w:eastAsia="Arial" w:hAnsi="Arial" w:cs="Arial"/>
        </w:rPr>
        <w:t>Sogstad</w:t>
      </w:r>
      <w:proofErr w:type="spellEnd"/>
      <w:r>
        <w:rPr>
          <w:rFonts w:ascii="Arial" w:eastAsia="Arial" w:hAnsi="Arial" w:cs="Arial"/>
        </w:rPr>
        <w:t xml:space="preserve">, M. (2021). Nurses’ assessments of horizontal collaboration in municipal health and care services for older adults: A cross‐sectional study. </w:t>
      </w:r>
      <w:r>
        <w:rPr>
          <w:rFonts w:ascii="Arial" w:eastAsia="Arial" w:hAnsi="Arial" w:cs="Arial"/>
          <w:i/>
        </w:rPr>
        <w:t>Research in Nursing &amp; Health</w:t>
      </w:r>
      <w:r>
        <w:rPr>
          <w:rFonts w:ascii="Arial" w:eastAsia="Arial" w:hAnsi="Arial" w:cs="Arial"/>
        </w:rPr>
        <w:t xml:space="preserve">, 44(4), pp.704–714. </w:t>
      </w:r>
      <w:proofErr w:type="spellStart"/>
      <w:r>
        <w:rPr>
          <w:rFonts w:ascii="Arial" w:eastAsia="Arial" w:hAnsi="Arial" w:cs="Arial"/>
        </w:rPr>
        <w:t>doi:</w:t>
      </w:r>
      <w:hyperlink r:id="rId24">
        <w:r w:rsidR="00B701EC">
          <w:rPr>
            <w:rFonts w:ascii="Arial" w:eastAsia="Arial" w:hAnsi="Arial" w:cs="Arial"/>
            <w:color w:val="1155CC"/>
            <w:u w:val="single"/>
          </w:rPr>
          <w:t>https</w:t>
        </w:r>
        <w:proofErr w:type="spellEnd"/>
        <w:r w:rsidR="00B701EC">
          <w:rPr>
            <w:rFonts w:ascii="Arial" w:eastAsia="Arial" w:hAnsi="Arial" w:cs="Arial"/>
            <w:color w:val="1155CC"/>
            <w:u w:val="single"/>
          </w:rPr>
          <w:t>://doi.org/10.1002/nur.22144</w:t>
        </w:r>
      </w:hyperlink>
      <w:r>
        <w:rPr>
          <w:rFonts w:ascii="Arial" w:eastAsia="Arial" w:hAnsi="Arial" w:cs="Arial"/>
        </w:rPr>
        <w:t xml:space="preserve">. </w:t>
      </w:r>
    </w:p>
    <w:p w14:paraId="00000057" w14:textId="77777777" w:rsidR="00B701EC" w:rsidRDefault="00BE4328">
      <w:pPr>
        <w:spacing w:after="240" w:line="360" w:lineRule="auto"/>
        <w:jc w:val="both"/>
        <w:rPr>
          <w:rFonts w:ascii="Arial" w:eastAsia="Arial" w:hAnsi="Arial" w:cs="Arial"/>
        </w:rPr>
      </w:pPr>
      <w:r>
        <w:rPr>
          <w:rFonts w:ascii="Arial" w:eastAsia="Arial" w:hAnsi="Arial" w:cs="Arial"/>
        </w:rPr>
        <w:t xml:space="preserve">Srivastava, N., </w:t>
      </w:r>
      <w:proofErr w:type="spellStart"/>
      <w:r>
        <w:rPr>
          <w:rFonts w:ascii="Arial" w:eastAsia="Arial" w:hAnsi="Arial" w:cs="Arial"/>
        </w:rPr>
        <w:t>Pinidiya</w:t>
      </w:r>
      <w:proofErr w:type="spellEnd"/>
      <w:r>
        <w:rPr>
          <w:rFonts w:ascii="Arial" w:eastAsia="Arial" w:hAnsi="Arial" w:cs="Arial"/>
        </w:rPr>
        <w:t xml:space="preserve">, J. and Marsh, J. (2025). 2608 Improving the uptake of telephone interpreter Services for non-English Speaking Patients in South Yorkshire. </w:t>
      </w:r>
      <w:r>
        <w:rPr>
          <w:rFonts w:ascii="Arial" w:eastAsia="Arial" w:hAnsi="Arial" w:cs="Arial"/>
          <w:i/>
        </w:rPr>
        <w:t>Age and Ageing</w:t>
      </w:r>
      <w:r>
        <w:rPr>
          <w:rFonts w:ascii="Arial" w:eastAsia="Arial" w:hAnsi="Arial" w:cs="Arial"/>
        </w:rPr>
        <w:t xml:space="preserve">, [online] 54(Supplement_1). </w:t>
      </w:r>
      <w:proofErr w:type="spellStart"/>
      <w:r>
        <w:rPr>
          <w:rFonts w:ascii="Arial" w:eastAsia="Arial" w:hAnsi="Arial" w:cs="Arial"/>
        </w:rPr>
        <w:t>doi:</w:t>
      </w:r>
      <w:hyperlink r:id="rId25">
        <w:r w:rsidR="00B701EC">
          <w:rPr>
            <w:rFonts w:ascii="Arial" w:eastAsia="Arial" w:hAnsi="Arial" w:cs="Arial"/>
            <w:color w:val="1155CC"/>
            <w:u w:val="single"/>
          </w:rPr>
          <w:t>https</w:t>
        </w:r>
        <w:proofErr w:type="spellEnd"/>
        <w:r w:rsidR="00B701EC">
          <w:rPr>
            <w:rFonts w:ascii="Arial" w:eastAsia="Arial" w:hAnsi="Arial" w:cs="Arial"/>
            <w:color w:val="1155CC"/>
            <w:u w:val="single"/>
          </w:rPr>
          <w:t>://doi.org/10.1093/ageing/afae277.045</w:t>
        </w:r>
      </w:hyperlink>
      <w:r>
        <w:rPr>
          <w:rFonts w:ascii="Arial" w:eastAsia="Arial" w:hAnsi="Arial" w:cs="Arial"/>
        </w:rPr>
        <w:t xml:space="preserve">. </w:t>
      </w:r>
    </w:p>
    <w:p w14:paraId="00000058" w14:textId="77777777" w:rsidR="00B701EC" w:rsidRDefault="00BE4328">
      <w:pPr>
        <w:spacing w:after="240" w:line="360" w:lineRule="auto"/>
        <w:jc w:val="both"/>
        <w:rPr>
          <w:rFonts w:ascii="Arial" w:eastAsia="Arial" w:hAnsi="Arial" w:cs="Arial"/>
        </w:rPr>
      </w:pPr>
      <w:r>
        <w:rPr>
          <w:rFonts w:ascii="Arial" w:eastAsia="Arial" w:hAnsi="Arial" w:cs="Arial"/>
        </w:rPr>
        <w:t xml:space="preserve">Walsh, A., Costello, R., McKeag, A. and M O'Connor (2023). 108 Accuracy of medication prescriptions at transitions of care: an avoidable patient risk. </w:t>
      </w:r>
      <w:r>
        <w:rPr>
          <w:rFonts w:ascii="Arial" w:eastAsia="Arial" w:hAnsi="Arial" w:cs="Arial"/>
          <w:i/>
        </w:rPr>
        <w:t>Age and Ageing</w:t>
      </w:r>
      <w:r>
        <w:rPr>
          <w:rFonts w:ascii="Arial" w:eastAsia="Arial" w:hAnsi="Arial" w:cs="Arial"/>
        </w:rPr>
        <w:t xml:space="preserve">, [online] 52(Supplement_3). </w:t>
      </w:r>
      <w:proofErr w:type="spellStart"/>
      <w:r>
        <w:rPr>
          <w:rFonts w:ascii="Arial" w:eastAsia="Arial" w:hAnsi="Arial" w:cs="Arial"/>
        </w:rPr>
        <w:t>doi:</w:t>
      </w:r>
      <w:hyperlink r:id="rId26">
        <w:r w:rsidR="00B701EC">
          <w:rPr>
            <w:rFonts w:ascii="Arial" w:eastAsia="Arial" w:hAnsi="Arial" w:cs="Arial"/>
            <w:color w:val="1155CC"/>
            <w:u w:val="single"/>
          </w:rPr>
          <w:t>https</w:t>
        </w:r>
        <w:proofErr w:type="spellEnd"/>
        <w:r w:rsidR="00B701EC">
          <w:rPr>
            <w:rFonts w:ascii="Arial" w:eastAsia="Arial" w:hAnsi="Arial" w:cs="Arial"/>
            <w:color w:val="1155CC"/>
            <w:u w:val="single"/>
          </w:rPr>
          <w:t>://doi.org/10.1093/ageing/afad156.116</w:t>
        </w:r>
      </w:hyperlink>
      <w:r>
        <w:rPr>
          <w:rFonts w:ascii="Arial" w:eastAsia="Arial" w:hAnsi="Arial" w:cs="Arial"/>
        </w:rPr>
        <w:t xml:space="preserve">. </w:t>
      </w:r>
    </w:p>
    <w:p w14:paraId="00000059" w14:textId="77777777" w:rsidR="00B701EC" w:rsidRDefault="00BE4328">
      <w:pPr>
        <w:spacing w:after="240" w:line="360" w:lineRule="auto"/>
        <w:jc w:val="both"/>
        <w:rPr>
          <w:rFonts w:ascii="Arial" w:eastAsia="Arial" w:hAnsi="Arial" w:cs="Arial"/>
        </w:rPr>
      </w:pPr>
      <w:r>
        <w:rPr>
          <w:rFonts w:ascii="Arial" w:eastAsia="Arial" w:hAnsi="Arial" w:cs="Arial"/>
        </w:rPr>
        <w:t xml:space="preserve">Wheeler, D., Tripp, E.E. and Natarajan, B. (2023). Semantic Communication With Conceptual Spaces. </w:t>
      </w:r>
      <w:r>
        <w:rPr>
          <w:rFonts w:ascii="Arial" w:eastAsia="Arial" w:hAnsi="Arial" w:cs="Arial"/>
          <w:i/>
        </w:rPr>
        <w:t>IEEE communications letters</w:t>
      </w:r>
      <w:r>
        <w:rPr>
          <w:rFonts w:ascii="Arial" w:eastAsia="Arial" w:hAnsi="Arial" w:cs="Arial"/>
        </w:rPr>
        <w:t xml:space="preserve">, 27(2), pp.532–535. </w:t>
      </w:r>
      <w:proofErr w:type="spellStart"/>
      <w:r>
        <w:rPr>
          <w:rFonts w:ascii="Arial" w:eastAsia="Arial" w:hAnsi="Arial" w:cs="Arial"/>
        </w:rPr>
        <w:t>doi:</w:t>
      </w:r>
      <w:hyperlink r:id="rId27">
        <w:r w:rsidR="00B701EC">
          <w:rPr>
            <w:rFonts w:ascii="Arial" w:eastAsia="Arial" w:hAnsi="Arial" w:cs="Arial"/>
            <w:color w:val="1155CC"/>
            <w:u w:val="single"/>
          </w:rPr>
          <w:t>https</w:t>
        </w:r>
        <w:proofErr w:type="spellEnd"/>
        <w:r w:rsidR="00B701EC">
          <w:rPr>
            <w:rFonts w:ascii="Arial" w:eastAsia="Arial" w:hAnsi="Arial" w:cs="Arial"/>
            <w:color w:val="1155CC"/>
            <w:u w:val="single"/>
          </w:rPr>
          <w:t>://doi.org/10.1109/lcomm.2022.3230246</w:t>
        </w:r>
      </w:hyperlink>
      <w:r>
        <w:rPr>
          <w:rFonts w:ascii="Arial" w:eastAsia="Arial" w:hAnsi="Arial" w:cs="Arial"/>
        </w:rPr>
        <w:t xml:space="preserve">. </w:t>
      </w:r>
    </w:p>
    <w:p w14:paraId="0000005A" w14:textId="77777777" w:rsidR="00B701EC" w:rsidRDefault="00BE4328">
      <w:pPr>
        <w:spacing w:after="240" w:line="360" w:lineRule="auto"/>
        <w:jc w:val="both"/>
        <w:rPr>
          <w:rFonts w:ascii="Arial" w:eastAsia="Arial" w:hAnsi="Arial" w:cs="Arial"/>
        </w:rPr>
      </w:pPr>
      <w:r>
        <w:rPr>
          <w:rFonts w:ascii="Arial" w:eastAsia="Arial" w:hAnsi="Arial" w:cs="Arial"/>
        </w:rPr>
        <w:t xml:space="preserve">Winkelmann, J., Scarpetti, G., Williams, G. and Maier, C. (2022). </w:t>
      </w:r>
      <w:r>
        <w:rPr>
          <w:rFonts w:ascii="Arial" w:eastAsia="Arial" w:hAnsi="Arial" w:cs="Arial"/>
          <w:i/>
        </w:rPr>
        <w:t>How can skill-mix innovations support the implementation of integrated care for people with chronic conditions and multimorbidity? POLICY BRIEF 46</w:t>
      </w:r>
      <w:r>
        <w:rPr>
          <w:rFonts w:ascii="Arial" w:eastAsia="Arial" w:hAnsi="Arial" w:cs="Arial"/>
        </w:rPr>
        <w:t xml:space="preserve">. [online] Available at: </w:t>
      </w:r>
      <w:hyperlink r:id="rId28">
        <w:r w:rsidR="00B701EC">
          <w:rPr>
            <w:rFonts w:ascii="Arial" w:eastAsia="Arial" w:hAnsi="Arial" w:cs="Arial"/>
            <w:color w:val="1155CC"/>
            <w:u w:val="single"/>
          </w:rPr>
          <w:t>https://apps.who.int/iris/rest/bitstreams/1443474/retrieve</w:t>
        </w:r>
      </w:hyperlink>
      <w:r>
        <w:rPr>
          <w:rFonts w:ascii="Arial" w:eastAsia="Arial" w:hAnsi="Arial" w:cs="Arial"/>
        </w:rPr>
        <w:t xml:space="preserve">. </w:t>
      </w:r>
    </w:p>
    <w:p w14:paraId="0000005B" w14:textId="77777777" w:rsidR="00B701EC" w:rsidRDefault="00B701EC">
      <w:pPr>
        <w:spacing w:line="360" w:lineRule="auto"/>
        <w:jc w:val="both"/>
        <w:rPr>
          <w:rFonts w:ascii="Arial" w:eastAsia="Arial" w:hAnsi="Arial" w:cs="Arial"/>
          <w:sz w:val="22"/>
          <w:szCs w:val="22"/>
        </w:rPr>
      </w:pPr>
    </w:p>
    <w:sectPr w:rsidR="00B701EC" w:rsidSect="00FD5CBE">
      <w:footerReference w:type="default" r:id="rId29"/>
      <w:pgSz w:w="12240" w:h="15840"/>
      <w:pgMar w:top="1440" w:right="1440" w:bottom="1440" w:left="1440" w:header="720" w:footer="720" w:gutter="0"/>
      <w:pgBorders w:display="notFirstPage"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64D95C" w14:textId="77777777" w:rsidR="00D97697" w:rsidRDefault="00D97697" w:rsidP="00FD5CBE">
      <w:pPr>
        <w:spacing w:after="0" w:line="240" w:lineRule="auto"/>
      </w:pPr>
      <w:r>
        <w:separator/>
      </w:r>
    </w:p>
  </w:endnote>
  <w:endnote w:type="continuationSeparator" w:id="0">
    <w:p w14:paraId="0D0C5A09" w14:textId="77777777" w:rsidR="00D97697" w:rsidRDefault="00D97697" w:rsidP="00FD5C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embedRegular r:id="rId1" w:fontKey="{EC917DEA-8365-4D52-8DF7-0D56ABEF2B89}"/>
    <w:embedItalic r:id="rId2" w:fontKey="{619F4487-309A-49AA-963F-7122239DE530}"/>
  </w:font>
  <w:font w:name="Times New Roman">
    <w:panose1 w:val="02020603050405020304"/>
    <w:charset w:val="00"/>
    <w:family w:val="roman"/>
    <w:pitch w:val="variable"/>
    <w:sig w:usb0="E0002EFF" w:usb1="C000785B" w:usb2="00000009" w:usb3="00000000" w:csb0="000001FF" w:csb1="00000000"/>
  </w:font>
  <w:font w:name=".AppleSystemUIFont">
    <w:altName w:val="Times New Roman"/>
    <w:panose1 w:val="020B0604020202020204"/>
    <w:charset w:val="00"/>
    <w:family w:val="roman"/>
    <w:pitch w:val="default"/>
  </w:font>
  <w:font w:name="UICTFontTextStyleEmphasizedBody">
    <w:altName w:val="Times New Roman"/>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UICTFontTextStyleBody">
    <w:altName w:val="Times New Roman"/>
    <w:panose1 w:val="020B0604020202020204"/>
    <w:charset w:val="00"/>
    <w:family w:val="roman"/>
    <w:pitch w:val="default"/>
  </w:font>
  <w:font w:name="Cambria">
    <w:panose1 w:val="02040503050406030204"/>
    <w:charset w:val="00"/>
    <w:family w:val="roman"/>
    <w:pitch w:val="variable"/>
    <w:sig w:usb0="E00006FF" w:usb1="420024FF" w:usb2="02000000" w:usb3="00000000" w:csb0="0000019F" w:csb1="00000000"/>
    <w:embedRegular r:id="rId3" w:fontKey="{F592CBF7-23BC-1C49-B694-3A26AEEDB46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5634674"/>
      <w:docPartObj>
        <w:docPartGallery w:val="Page Numbers (Bottom of Page)"/>
        <w:docPartUnique/>
      </w:docPartObj>
    </w:sdtPr>
    <w:sdtEndPr>
      <w:rPr>
        <w:noProof/>
      </w:rPr>
    </w:sdtEndPr>
    <w:sdtContent>
      <w:p w14:paraId="52C5E8FB" w14:textId="2D7B668C" w:rsidR="00120EFD" w:rsidRDefault="00120E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27A564" w14:textId="77777777" w:rsidR="00FD5CBE" w:rsidRDefault="00FD5C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4DCE8F" w14:textId="77777777" w:rsidR="00D97697" w:rsidRDefault="00D97697" w:rsidP="00FD5CBE">
      <w:pPr>
        <w:spacing w:after="0" w:line="240" w:lineRule="auto"/>
      </w:pPr>
      <w:r>
        <w:separator/>
      </w:r>
    </w:p>
  </w:footnote>
  <w:footnote w:type="continuationSeparator" w:id="0">
    <w:p w14:paraId="2D40A769" w14:textId="77777777" w:rsidR="00D97697" w:rsidRDefault="00D97697" w:rsidP="00FD5CB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01EC"/>
    <w:rsid w:val="00120EFD"/>
    <w:rsid w:val="00475550"/>
    <w:rsid w:val="005942AE"/>
    <w:rsid w:val="005B1646"/>
    <w:rsid w:val="0062098E"/>
    <w:rsid w:val="00744E45"/>
    <w:rsid w:val="00872E26"/>
    <w:rsid w:val="00983C1B"/>
    <w:rsid w:val="00A615AD"/>
    <w:rsid w:val="00A61C3C"/>
    <w:rsid w:val="00A705D9"/>
    <w:rsid w:val="00AC085F"/>
    <w:rsid w:val="00B701EC"/>
    <w:rsid w:val="00C94A08"/>
    <w:rsid w:val="00D27D55"/>
    <w:rsid w:val="00D97697"/>
    <w:rsid w:val="00DD06EF"/>
    <w:rsid w:val="00F02532"/>
    <w:rsid w:val="00FD5C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5E0D1"/>
  <w15:docId w15:val="{006C868A-E742-4884-ADD2-719CD63C5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color w:val="2F5496"/>
      <w:sz w:val="40"/>
      <w:szCs w:val="40"/>
    </w:rPr>
  </w:style>
  <w:style w:type="paragraph" w:styleId="Heading2">
    <w:name w:val="heading 2"/>
    <w:basedOn w:val="Normal"/>
    <w:next w:val="Normal"/>
    <w:uiPriority w:val="9"/>
    <w:unhideWhenUsed/>
    <w:qFormat/>
    <w:pPr>
      <w:keepNext/>
      <w:keepLines/>
      <w:spacing w:before="160" w:after="80"/>
      <w:outlineLvl w:val="1"/>
    </w:pPr>
    <w:rPr>
      <w:color w:val="2F5496"/>
      <w:sz w:val="32"/>
      <w:szCs w:val="32"/>
    </w:rPr>
  </w:style>
  <w:style w:type="paragraph" w:styleId="Heading3">
    <w:name w:val="heading 3"/>
    <w:basedOn w:val="Normal"/>
    <w:next w:val="Normal"/>
    <w:uiPriority w:val="9"/>
    <w:unhideWhenUsed/>
    <w:qFormat/>
    <w:pPr>
      <w:keepNext/>
      <w:keepLines/>
      <w:spacing w:before="160" w:after="80"/>
      <w:outlineLvl w:val="2"/>
    </w:pPr>
    <w:rPr>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sz w:val="56"/>
      <w:szCs w:val="56"/>
    </w:rPr>
  </w:style>
  <w:style w:type="paragraph" w:styleId="Subtitle">
    <w:name w:val="Subtitle"/>
    <w:basedOn w:val="Normal"/>
    <w:next w:val="Normal"/>
    <w:uiPriority w:val="11"/>
    <w:qFormat/>
    <w:rPr>
      <w:color w:val="595959"/>
      <w:sz w:val="28"/>
      <w:szCs w:val="28"/>
    </w:rPr>
  </w:style>
  <w:style w:type="paragraph" w:styleId="Header">
    <w:name w:val="header"/>
    <w:basedOn w:val="Normal"/>
    <w:link w:val="HeaderChar"/>
    <w:uiPriority w:val="99"/>
    <w:unhideWhenUsed/>
    <w:rsid w:val="00FD5C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5CBE"/>
  </w:style>
  <w:style w:type="paragraph" w:styleId="Footer">
    <w:name w:val="footer"/>
    <w:basedOn w:val="Normal"/>
    <w:link w:val="FooterChar"/>
    <w:uiPriority w:val="99"/>
    <w:unhideWhenUsed/>
    <w:rsid w:val="00FD5C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5CBE"/>
  </w:style>
  <w:style w:type="paragraph" w:customStyle="1" w:styleId="p1">
    <w:name w:val="p1"/>
    <w:basedOn w:val="Normal"/>
    <w:rsid w:val="00983C1B"/>
    <w:pPr>
      <w:spacing w:after="0" w:line="240" w:lineRule="auto"/>
    </w:pPr>
    <w:rPr>
      <w:rFonts w:ascii=".AppleSystemUIFont" w:eastAsiaTheme="minorEastAsia" w:hAnsi=".AppleSystemUIFont" w:cs="Times New Roman"/>
      <w:sz w:val="21"/>
      <w:szCs w:val="21"/>
      <w:lang w:val="en-GB" w:eastAsia="en-GB"/>
    </w:rPr>
  </w:style>
  <w:style w:type="character" w:customStyle="1" w:styleId="s1">
    <w:name w:val="s1"/>
    <w:basedOn w:val="DefaultParagraphFont"/>
    <w:rsid w:val="00983C1B"/>
    <w:rPr>
      <w:rFonts w:ascii="UICTFontTextStyleEmphasizedBody" w:hAnsi="UICTFontTextStyleEmphasizedBody" w:hint="default"/>
      <w:b/>
      <w:bCs/>
      <w:i w:val="0"/>
      <w:iCs w:val="0"/>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007/s11019-025-10252-z" TargetMode="External"/><Relationship Id="rId13" Type="http://schemas.openxmlformats.org/officeDocument/2006/relationships/hyperlink" Target="https://doi.org/10.1093/bjs/znac269.030" TargetMode="External"/><Relationship Id="rId18" Type="http://schemas.openxmlformats.org/officeDocument/2006/relationships/hyperlink" Target="https://doi.org/10.1093/eurpub/ckac129.639" TargetMode="External"/><Relationship Id="rId26" Type="http://schemas.openxmlformats.org/officeDocument/2006/relationships/hyperlink" Target="https://doi.org/10.1093/ageing/afad156.116" TargetMode="External"/><Relationship Id="rId3" Type="http://schemas.openxmlformats.org/officeDocument/2006/relationships/webSettings" Target="webSettings.xml"/><Relationship Id="rId21" Type="http://schemas.openxmlformats.org/officeDocument/2006/relationships/hyperlink" Target="https://doi.org/10.1016/j.healthpol.2021.05.018" TargetMode="External"/><Relationship Id="rId7" Type="http://schemas.openxmlformats.org/officeDocument/2006/relationships/hyperlink" Target="https://doi.org/10.1136/jme-2023-109574" TargetMode="External"/><Relationship Id="rId12" Type="http://schemas.openxmlformats.org/officeDocument/2006/relationships/hyperlink" Target="https://doi.org/10.1177/13634593241238857" TargetMode="External"/><Relationship Id="rId17" Type="http://schemas.openxmlformats.org/officeDocument/2006/relationships/hyperlink" Target="https://search.proquest.com/openview/f400bf3b310563551f35f7400d4040b8/1?pq-origsite=gscholar&amp;cbl=2041060" TargetMode="External"/><Relationship Id="rId25" Type="http://schemas.openxmlformats.org/officeDocument/2006/relationships/hyperlink" Target="https://doi.org/10.1093/ageing/afae277.045" TargetMode="External"/><Relationship Id="rId2" Type="http://schemas.openxmlformats.org/officeDocument/2006/relationships/settings" Target="settings.xml"/><Relationship Id="rId16" Type="http://schemas.openxmlformats.org/officeDocument/2006/relationships/hyperlink" Target="https://doi.org/10.1111/jan.16726" TargetMode="External"/><Relationship Id="rId20" Type="http://schemas.openxmlformats.org/officeDocument/2006/relationships/hyperlink" Target="https://doi.org/10.1080/10410236.2025.2458647"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doi.org/10.1016/j.rcsop.2024.100531" TargetMode="External"/><Relationship Id="rId11" Type="http://schemas.openxmlformats.org/officeDocument/2006/relationships/hyperlink" Target="https://doi.org/10.1093/bjs/znab361.046" TargetMode="External"/><Relationship Id="rId24" Type="http://schemas.openxmlformats.org/officeDocument/2006/relationships/hyperlink" Target="https://doi.org/10.1002/nur.22144" TargetMode="External"/><Relationship Id="rId5" Type="http://schemas.openxmlformats.org/officeDocument/2006/relationships/endnotes" Target="endnotes.xml"/><Relationship Id="rId15" Type="http://schemas.openxmlformats.org/officeDocument/2006/relationships/hyperlink" Target="https://doi.org/10.1093/geront/gnae120" TargetMode="External"/><Relationship Id="rId23" Type="http://schemas.openxmlformats.org/officeDocument/2006/relationships/hyperlink" Target="https://doi.org/10.1136/bmj.p2141" TargetMode="External"/><Relationship Id="rId28" Type="http://schemas.openxmlformats.org/officeDocument/2006/relationships/hyperlink" Target="https://apps.who.int/iris/rest/bitstreams/1443474/retrieve" TargetMode="External"/><Relationship Id="rId10" Type="http://schemas.openxmlformats.org/officeDocument/2006/relationships/hyperlink" Target="https://doi.org/10.1136/archdischild-2018-316057" TargetMode="External"/><Relationship Id="rId19" Type="http://schemas.openxmlformats.org/officeDocument/2006/relationships/hyperlink" Target="https://doi.org/10.5334/ijic.icic23120"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oi.org/10.1093/ageing/afae178.134" TargetMode="External"/><Relationship Id="rId14" Type="http://schemas.openxmlformats.org/officeDocument/2006/relationships/hyperlink" Target="https://doi.org/10.1093/bjs/znab259.865" TargetMode="External"/><Relationship Id="rId22" Type="http://schemas.openxmlformats.org/officeDocument/2006/relationships/hyperlink" Target="https://doi.org/10.1186/s12913-020-4950-z" TargetMode="External"/><Relationship Id="rId27" Type="http://schemas.openxmlformats.org/officeDocument/2006/relationships/hyperlink" Target="https://doi.org/10.1109/lcomm.2022.3230246" TargetMode="Externa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3025</Words>
  <Characters>17243</Characters>
  <Application>Microsoft Office Word</Application>
  <DocSecurity>0</DocSecurity>
  <Lines>143</Lines>
  <Paragraphs>40</Paragraphs>
  <ScaleCrop>false</ScaleCrop>
  <Company/>
  <LinksUpToDate>false</LinksUpToDate>
  <CharactersWithSpaces>20228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janees khan</cp:lastModifiedBy>
  <cp:revision>2</cp:revision>
  <dcterms:created xsi:type="dcterms:W3CDTF">2025-11-17T19:40:00Z</dcterms:created>
  <dcterms:modified xsi:type="dcterms:W3CDTF">2025-11-17T19:40:00Z</dcterms:modified>
</cp:coreProperties>
</file>