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5802C3" w14:textId="5C413978" w:rsidR="00877D6A" w:rsidRDefault="00877D6A" w:rsidP="006A62BC">
      <w:pPr>
        <w:jc w:val="center"/>
        <w:rPr>
          <w:b/>
          <w:sz w:val="36"/>
        </w:rPr>
      </w:pPr>
      <w:r w:rsidRPr="000F1676">
        <w:rPr>
          <w:rFonts w:asciiTheme="minorHAnsi" w:hAnsiTheme="minorHAnsi"/>
          <w:noProof/>
          <w:sz w:val="22"/>
        </w:rPr>
        <w:drawing>
          <wp:anchor distT="0" distB="0" distL="114300" distR="114300" simplePos="0" relativeHeight="251659264" behindDoc="1" locked="0" layoutInCell="1" allowOverlap="1" wp14:anchorId="4D46A22F" wp14:editId="2FF28EBF">
            <wp:simplePos x="0" y="0"/>
            <wp:positionH relativeFrom="margin">
              <wp:align>left</wp:align>
            </wp:positionH>
            <wp:positionV relativeFrom="paragraph">
              <wp:posOffset>10647</wp:posOffset>
            </wp:positionV>
            <wp:extent cx="2264410" cy="754380"/>
            <wp:effectExtent l="0" t="0" r="2540" b="7620"/>
            <wp:wrapTight wrapText="bothSides">
              <wp:wrapPolygon edited="0">
                <wp:start x="0" y="0"/>
                <wp:lineTo x="0" y="21273"/>
                <wp:lineTo x="21443" y="21273"/>
                <wp:lineTo x="21443" y="0"/>
                <wp:lineTo x="0" y="0"/>
              </wp:wrapPolygon>
            </wp:wrapTight>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264410" cy="754380"/>
                    </a:xfrm>
                    <a:prstGeom prst="rect">
                      <a:avLst/>
                    </a:prstGeom>
                  </pic:spPr>
                </pic:pic>
              </a:graphicData>
            </a:graphic>
            <wp14:sizeRelH relativeFrom="margin">
              <wp14:pctWidth>0</wp14:pctWidth>
            </wp14:sizeRelH>
            <wp14:sizeRelV relativeFrom="margin">
              <wp14:pctHeight>0</wp14:pctHeight>
            </wp14:sizeRelV>
          </wp:anchor>
        </w:drawing>
      </w:r>
    </w:p>
    <w:p w14:paraId="7DD1D659" w14:textId="7E9A4D62" w:rsidR="00877D6A" w:rsidRDefault="00877D6A" w:rsidP="006A62BC">
      <w:pPr>
        <w:jc w:val="center"/>
        <w:rPr>
          <w:b/>
          <w:sz w:val="36"/>
        </w:rPr>
      </w:pPr>
    </w:p>
    <w:p w14:paraId="0097B745" w14:textId="575E7F8C" w:rsidR="00877D6A" w:rsidRDefault="00877D6A" w:rsidP="006A62BC">
      <w:pPr>
        <w:jc w:val="center"/>
        <w:rPr>
          <w:b/>
          <w:sz w:val="36"/>
        </w:rPr>
      </w:pPr>
    </w:p>
    <w:p w14:paraId="50EC3DEE" w14:textId="77777777" w:rsidR="00877D6A" w:rsidRPr="000F1676" w:rsidRDefault="00877D6A" w:rsidP="00877D6A">
      <w:pPr>
        <w:spacing w:line="259" w:lineRule="auto"/>
        <w:jc w:val="center"/>
        <w:rPr>
          <w:rFonts w:ascii="Arial" w:hAnsi="Arial" w:cs="Arial"/>
          <w:b/>
          <w:bCs/>
          <w:sz w:val="32"/>
          <w:szCs w:val="32"/>
        </w:rPr>
      </w:pPr>
      <w:r w:rsidRPr="000F1676">
        <w:rPr>
          <w:rFonts w:ascii="Arial" w:hAnsi="Arial" w:cs="Arial"/>
          <w:b/>
          <w:bCs/>
          <w:sz w:val="32"/>
          <w:szCs w:val="32"/>
        </w:rPr>
        <w:t>Course: BSc (Hons) Health and social care</w:t>
      </w:r>
    </w:p>
    <w:p w14:paraId="66F2AD9A" w14:textId="77777777" w:rsidR="00877D6A" w:rsidRDefault="00877D6A" w:rsidP="00877D6A">
      <w:pPr>
        <w:spacing w:line="259" w:lineRule="auto"/>
        <w:jc w:val="center"/>
        <w:rPr>
          <w:rFonts w:ascii="Arial" w:hAnsi="Arial" w:cs="Arial"/>
          <w:b/>
          <w:bCs/>
          <w:sz w:val="32"/>
          <w:szCs w:val="32"/>
        </w:rPr>
      </w:pPr>
      <w:r w:rsidRPr="000F1676">
        <w:rPr>
          <w:rFonts w:ascii="Arial" w:hAnsi="Arial" w:cs="Arial"/>
          <w:b/>
          <w:bCs/>
          <w:sz w:val="32"/>
          <w:szCs w:val="32"/>
        </w:rPr>
        <w:t xml:space="preserve">Module: </w:t>
      </w:r>
      <w:r>
        <w:rPr>
          <w:rFonts w:ascii="Arial" w:hAnsi="Arial" w:cs="Arial"/>
          <w:b/>
          <w:bCs/>
          <w:sz w:val="32"/>
          <w:szCs w:val="32"/>
        </w:rPr>
        <w:t xml:space="preserve">Community care and development </w:t>
      </w:r>
    </w:p>
    <w:p w14:paraId="1210B133" w14:textId="213E1D31" w:rsidR="00877D6A" w:rsidRPr="000F1676" w:rsidRDefault="00877D6A" w:rsidP="00877D6A">
      <w:pPr>
        <w:spacing w:line="259" w:lineRule="auto"/>
        <w:jc w:val="center"/>
        <w:rPr>
          <w:rFonts w:ascii="Arial" w:hAnsi="Arial" w:cs="Arial"/>
          <w:b/>
          <w:bCs/>
          <w:sz w:val="32"/>
          <w:szCs w:val="32"/>
        </w:rPr>
      </w:pPr>
      <w:r w:rsidRPr="000F1676">
        <w:rPr>
          <w:rFonts w:ascii="Arial" w:hAnsi="Arial" w:cs="Arial"/>
          <w:b/>
          <w:bCs/>
          <w:sz w:val="32"/>
          <w:szCs w:val="32"/>
        </w:rPr>
        <w:t>(BMHP</w:t>
      </w:r>
      <w:r>
        <w:rPr>
          <w:rFonts w:ascii="Arial" w:hAnsi="Arial" w:cs="Arial"/>
          <w:b/>
          <w:bCs/>
          <w:sz w:val="32"/>
          <w:szCs w:val="32"/>
        </w:rPr>
        <w:t>6022</w:t>
      </w:r>
      <w:r w:rsidRPr="000F1676">
        <w:rPr>
          <w:rFonts w:ascii="Arial" w:hAnsi="Arial" w:cs="Arial"/>
          <w:b/>
          <w:bCs/>
          <w:sz w:val="32"/>
          <w:szCs w:val="32"/>
        </w:rPr>
        <w:t>)</w:t>
      </w:r>
    </w:p>
    <w:p w14:paraId="256AADEC" w14:textId="06FACDC2" w:rsidR="00877D6A" w:rsidRDefault="00877D6A" w:rsidP="00877D6A">
      <w:pPr>
        <w:spacing w:line="259" w:lineRule="auto"/>
        <w:jc w:val="center"/>
        <w:rPr>
          <w:rFonts w:ascii="Arial" w:hAnsi="Arial" w:cs="Arial"/>
          <w:b/>
          <w:bCs/>
          <w:sz w:val="32"/>
          <w:szCs w:val="32"/>
        </w:rPr>
      </w:pPr>
      <w:r w:rsidRPr="000F1676">
        <w:rPr>
          <w:rFonts w:ascii="Arial" w:hAnsi="Arial" w:cs="Arial"/>
          <w:b/>
          <w:bCs/>
          <w:sz w:val="32"/>
          <w:szCs w:val="32"/>
        </w:rPr>
        <w:t xml:space="preserve">Assignment </w:t>
      </w:r>
      <w:r>
        <w:rPr>
          <w:rFonts w:ascii="Arial" w:hAnsi="Arial" w:cs="Arial"/>
          <w:b/>
          <w:bCs/>
          <w:sz w:val="32"/>
          <w:szCs w:val="32"/>
        </w:rPr>
        <w:t>2</w:t>
      </w:r>
    </w:p>
    <w:p w14:paraId="5EB432AA" w14:textId="477C9392" w:rsidR="00877D6A" w:rsidRPr="000F1676" w:rsidRDefault="00877D6A" w:rsidP="00877D6A">
      <w:pPr>
        <w:spacing w:line="259" w:lineRule="auto"/>
        <w:jc w:val="center"/>
        <w:rPr>
          <w:rFonts w:ascii="Arial" w:hAnsi="Arial" w:cs="Arial"/>
          <w:b/>
          <w:bCs/>
          <w:sz w:val="32"/>
          <w:szCs w:val="32"/>
        </w:rPr>
      </w:pPr>
      <w:r>
        <w:rPr>
          <w:rFonts w:ascii="Arial" w:hAnsi="Arial" w:cs="Arial"/>
          <w:b/>
          <w:bCs/>
          <w:sz w:val="32"/>
          <w:szCs w:val="32"/>
        </w:rPr>
        <w:t>Chosen community – BAME community in the UK</w:t>
      </w:r>
    </w:p>
    <w:p w14:paraId="5F500183" w14:textId="77777777" w:rsidR="00877D6A" w:rsidRDefault="00877D6A" w:rsidP="006A62BC">
      <w:pPr>
        <w:jc w:val="center"/>
        <w:rPr>
          <w:b/>
          <w:sz w:val="36"/>
        </w:rPr>
      </w:pPr>
    </w:p>
    <w:p w14:paraId="63E2839B" w14:textId="77777777" w:rsidR="00161621" w:rsidRDefault="00161621" w:rsidP="00385C4B">
      <w:pPr>
        <w:spacing w:line="259" w:lineRule="auto"/>
        <w:jc w:val="left"/>
        <w:rPr>
          <w:rFonts w:ascii="Arial" w:hAnsi="Arial" w:cs="Arial"/>
          <w:b/>
          <w:bCs/>
          <w:sz w:val="32"/>
          <w:szCs w:val="32"/>
        </w:rPr>
      </w:pPr>
    </w:p>
    <w:p w14:paraId="39844225" w14:textId="77777777" w:rsidR="00161621" w:rsidRDefault="00161621" w:rsidP="00385C4B">
      <w:pPr>
        <w:spacing w:line="259" w:lineRule="auto"/>
        <w:jc w:val="left"/>
        <w:rPr>
          <w:rFonts w:ascii="Arial" w:hAnsi="Arial" w:cs="Arial"/>
          <w:b/>
          <w:bCs/>
          <w:sz w:val="32"/>
          <w:szCs w:val="32"/>
        </w:rPr>
      </w:pPr>
    </w:p>
    <w:p w14:paraId="38199609" w14:textId="77777777" w:rsidR="00161621" w:rsidRDefault="00161621" w:rsidP="00385C4B">
      <w:pPr>
        <w:spacing w:line="259" w:lineRule="auto"/>
        <w:jc w:val="left"/>
        <w:rPr>
          <w:rFonts w:ascii="Arial" w:hAnsi="Arial" w:cs="Arial"/>
          <w:b/>
          <w:bCs/>
          <w:sz w:val="32"/>
          <w:szCs w:val="32"/>
        </w:rPr>
      </w:pPr>
    </w:p>
    <w:p w14:paraId="15147687" w14:textId="21EA6461" w:rsidR="00385C4B" w:rsidRPr="000F1676" w:rsidRDefault="00385C4B" w:rsidP="00385C4B">
      <w:pPr>
        <w:spacing w:line="259" w:lineRule="auto"/>
        <w:jc w:val="left"/>
        <w:rPr>
          <w:rFonts w:ascii="Arial" w:hAnsi="Arial" w:cs="Arial"/>
          <w:b/>
          <w:bCs/>
          <w:sz w:val="32"/>
          <w:szCs w:val="32"/>
        </w:rPr>
      </w:pPr>
      <w:r w:rsidRPr="000F1676">
        <w:rPr>
          <w:rFonts w:ascii="Arial" w:hAnsi="Arial" w:cs="Arial"/>
          <w:b/>
          <w:bCs/>
          <w:sz w:val="32"/>
          <w:szCs w:val="32"/>
        </w:rPr>
        <w:t>Student ID: 1905625</w:t>
      </w:r>
    </w:p>
    <w:p w14:paraId="4D13DE6D" w14:textId="77777777" w:rsidR="00385C4B" w:rsidRPr="000F1676" w:rsidRDefault="00385C4B" w:rsidP="00385C4B">
      <w:pPr>
        <w:spacing w:line="259" w:lineRule="auto"/>
        <w:jc w:val="left"/>
        <w:rPr>
          <w:rFonts w:ascii="Arial" w:hAnsi="Arial" w:cs="Arial"/>
          <w:b/>
          <w:bCs/>
          <w:sz w:val="32"/>
          <w:szCs w:val="32"/>
        </w:rPr>
      </w:pPr>
      <w:r w:rsidRPr="000F1676">
        <w:rPr>
          <w:rFonts w:ascii="Arial" w:hAnsi="Arial" w:cs="Arial"/>
          <w:b/>
          <w:bCs/>
          <w:sz w:val="32"/>
          <w:szCs w:val="32"/>
        </w:rPr>
        <w:t>Word Count: 4</w:t>
      </w:r>
      <w:r>
        <w:rPr>
          <w:rFonts w:ascii="Arial" w:hAnsi="Arial" w:cs="Arial"/>
          <w:b/>
          <w:bCs/>
          <w:sz w:val="32"/>
          <w:szCs w:val="32"/>
        </w:rPr>
        <w:t>021</w:t>
      </w:r>
    </w:p>
    <w:p w14:paraId="0E48DD15" w14:textId="713BE9EA" w:rsidR="00385C4B" w:rsidRPr="000F1676" w:rsidRDefault="00385C4B" w:rsidP="00385C4B">
      <w:pPr>
        <w:spacing w:line="259" w:lineRule="auto"/>
        <w:jc w:val="left"/>
        <w:rPr>
          <w:rFonts w:ascii="Arial" w:hAnsi="Arial" w:cs="Arial"/>
          <w:b/>
          <w:bCs/>
          <w:sz w:val="32"/>
          <w:szCs w:val="32"/>
        </w:rPr>
      </w:pPr>
      <w:r w:rsidRPr="000F1676">
        <w:rPr>
          <w:rFonts w:ascii="Arial" w:hAnsi="Arial" w:cs="Arial"/>
          <w:b/>
          <w:bCs/>
          <w:sz w:val="32"/>
          <w:szCs w:val="32"/>
        </w:rPr>
        <w:t>Date of submission: 2</w:t>
      </w:r>
      <w:r w:rsidR="00161621">
        <w:rPr>
          <w:rFonts w:ascii="Arial" w:hAnsi="Arial" w:cs="Arial"/>
          <w:b/>
          <w:bCs/>
          <w:sz w:val="32"/>
          <w:szCs w:val="32"/>
        </w:rPr>
        <w:t>2</w:t>
      </w:r>
      <w:r w:rsidRPr="000F1676">
        <w:rPr>
          <w:rFonts w:ascii="Arial" w:hAnsi="Arial" w:cs="Arial"/>
          <w:b/>
          <w:bCs/>
          <w:sz w:val="32"/>
          <w:szCs w:val="32"/>
        </w:rPr>
        <w:t>/0</w:t>
      </w:r>
      <w:r w:rsidR="00161621">
        <w:rPr>
          <w:rFonts w:ascii="Arial" w:hAnsi="Arial" w:cs="Arial"/>
          <w:b/>
          <w:bCs/>
          <w:sz w:val="32"/>
          <w:szCs w:val="32"/>
        </w:rPr>
        <w:t>8</w:t>
      </w:r>
      <w:r w:rsidRPr="000F1676">
        <w:rPr>
          <w:rFonts w:ascii="Arial" w:hAnsi="Arial" w:cs="Arial"/>
          <w:b/>
          <w:bCs/>
          <w:sz w:val="32"/>
          <w:szCs w:val="32"/>
        </w:rPr>
        <w:t>/22</w:t>
      </w:r>
    </w:p>
    <w:p w14:paraId="3A2D296A" w14:textId="77777777" w:rsidR="00877D6A" w:rsidRDefault="00877D6A" w:rsidP="00385C4B">
      <w:pPr>
        <w:jc w:val="left"/>
        <w:rPr>
          <w:b/>
          <w:sz w:val="36"/>
        </w:rPr>
      </w:pPr>
    </w:p>
    <w:p w14:paraId="3A1EDC0D" w14:textId="77777777" w:rsidR="00273DA4" w:rsidRDefault="00273DA4">
      <w:pPr>
        <w:spacing w:line="259" w:lineRule="auto"/>
        <w:jc w:val="left"/>
        <w:rPr>
          <w:b/>
        </w:rPr>
      </w:pPr>
      <w:r>
        <w:rPr>
          <w:b/>
        </w:rPr>
        <w:br w:type="page"/>
      </w:r>
    </w:p>
    <w:sdt>
      <w:sdtPr>
        <w:rPr>
          <w:rFonts w:ascii="Times New Roman" w:eastAsiaTheme="minorHAnsi" w:hAnsi="Times New Roman" w:cstheme="minorBidi"/>
          <w:color w:val="auto"/>
          <w:sz w:val="24"/>
          <w:szCs w:val="22"/>
          <w:lang w:val="en-GB"/>
        </w:rPr>
        <w:id w:val="1236365556"/>
        <w:docPartObj>
          <w:docPartGallery w:val="Table of Contents"/>
          <w:docPartUnique/>
        </w:docPartObj>
      </w:sdtPr>
      <w:sdtEndPr>
        <w:rPr>
          <w:b/>
          <w:bCs/>
          <w:noProof/>
        </w:rPr>
      </w:sdtEndPr>
      <w:sdtContent>
        <w:p w14:paraId="4CECC00E" w14:textId="77777777" w:rsidR="00273DA4" w:rsidRPr="00385C4B" w:rsidRDefault="00273DA4" w:rsidP="00385C4B">
          <w:pPr>
            <w:pStyle w:val="TOCHeading"/>
            <w:jc w:val="center"/>
            <w:rPr>
              <w:rFonts w:ascii="Arial" w:hAnsi="Arial" w:cs="Arial"/>
              <w:b/>
              <w:bCs/>
              <w:color w:val="auto"/>
            </w:rPr>
          </w:pPr>
          <w:r w:rsidRPr="00385C4B">
            <w:rPr>
              <w:rFonts w:ascii="Arial" w:hAnsi="Arial" w:cs="Arial"/>
              <w:b/>
              <w:bCs/>
              <w:color w:val="auto"/>
            </w:rPr>
            <w:t>Table of Contents</w:t>
          </w:r>
        </w:p>
        <w:p w14:paraId="3190B10E" w14:textId="77777777" w:rsidR="00273DA4" w:rsidRPr="00877D6A" w:rsidRDefault="00273DA4">
          <w:pPr>
            <w:pStyle w:val="TOC1"/>
            <w:tabs>
              <w:tab w:val="right" w:leader="dot" w:pos="9016"/>
            </w:tabs>
            <w:rPr>
              <w:rFonts w:ascii="Arial" w:hAnsi="Arial" w:cs="Arial"/>
              <w:noProof/>
            </w:rPr>
          </w:pPr>
          <w:r w:rsidRPr="00877D6A">
            <w:rPr>
              <w:rFonts w:ascii="Arial" w:hAnsi="Arial" w:cs="Arial"/>
            </w:rPr>
            <w:fldChar w:fldCharType="begin"/>
          </w:r>
          <w:r w:rsidRPr="00877D6A">
            <w:rPr>
              <w:rFonts w:ascii="Arial" w:hAnsi="Arial" w:cs="Arial"/>
            </w:rPr>
            <w:instrText xml:space="preserve"> TOC \o "1-3" \h \z \u </w:instrText>
          </w:r>
          <w:r w:rsidRPr="00877D6A">
            <w:rPr>
              <w:rFonts w:ascii="Arial" w:hAnsi="Arial" w:cs="Arial"/>
            </w:rPr>
            <w:fldChar w:fldCharType="separate"/>
          </w:r>
          <w:hyperlink w:anchor="_Toc111746280" w:history="1">
            <w:r w:rsidRPr="00877D6A">
              <w:rPr>
                <w:rStyle w:val="Hyperlink"/>
                <w:rFonts w:ascii="Arial" w:hAnsi="Arial" w:cs="Arial"/>
                <w:noProof/>
              </w:rPr>
              <w:t>Introduction</w:t>
            </w:r>
            <w:r w:rsidRPr="00877D6A">
              <w:rPr>
                <w:rFonts w:ascii="Arial" w:hAnsi="Arial" w:cs="Arial"/>
                <w:noProof/>
                <w:webHidden/>
              </w:rPr>
              <w:tab/>
            </w:r>
            <w:r w:rsidRPr="00877D6A">
              <w:rPr>
                <w:rFonts w:ascii="Arial" w:hAnsi="Arial" w:cs="Arial"/>
                <w:noProof/>
                <w:webHidden/>
              </w:rPr>
              <w:fldChar w:fldCharType="begin"/>
            </w:r>
            <w:r w:rsidRPr="00877D6A">
              <w:rPr>
                <w:rFonts w:ascii="Arial" w:hAnsi="Arial" w:cs="Arial"/>
                <w:noProof/>
                <w:webHidden/>
              </w:rPr>
              <w:instrText xml:space="preserve"> PAGEREF _Toc111746280 \h </w:instrText>
            </w:r>
            <w:r w:rsidRPr="00877D6A">
              <w:rPr>
                <w:rFonts w:ascii="Arial" w:hAnsi="Arial" w:cs="Arial"/>
                <w:noProof/>
                <w:webHidden/>
              </w:rPr>
            </w:r>
            <w:r w:rsidRPr="00877D6A">
              <w:rPr>
                <w:rFonts w:ascii="Arial" w:hAnsi="Arial" w:cs="Arial"/>
                <w:noProof/>
                <w:webHidden/>
              </w:rPr>
              <w:fldChar w:fldCharType="separate"/>
            </w:r>
            <w:r w:rsidRPr="00877D6A">
              <w:rPr>
                <w:rFonts w:ascii="Arial" w:hAnsi="Arial" w:cs="Arial"/>
                <w:noProof/>
                <w:webHidden/>
              </w:rPr>
              <w:t>3</w:t>
            </w:r>
            <w:r w:rsidRPr="00877D6A">
              <w:rPr>
                <w:rFonts w:ascii="Arial" w:hAnsi="Arial" w:cs="Arial"/>
                <w:noProof/>
                <w:webHidden/>
              </w:rPr>
              <w:fldChar w:fldCharType="end"/>
            </w:r>
          </w:hyperlink>
        </w:p>
        <w:p w14:paraId="16E52301" w14:textId="77777777" w:rsidR="00273DA4" w:rsidRPr="00877D6A" w:rsidRDefault="00BA4023">
          <w:pPr>
            <w:pStyle w:val="TOC1"/>
            <w:tabs>
              <w:tab w:val="right" w:leader="dot" w:pos="9016"/>
            </w:tabs>
            <w:rPr>
              <w:rFonts w:ascii="Arial" w:hAnsi="Arial" w:cs="Arial"/>
              <w:noProof/>
            </w:rPr>
          </w:pPr>
          <w:hyperlink w:anchor="_Toc111746281" w:history="1">
            <w:r w:rsidR="00273DA4" w:rsidRPr="00877D6A">
              <w:rPr>
                <w:rStyle w:val="Hyperlink"/>
                <w:rFonts w:ascii="Arial" w:hAnsi="Arial" w:cs="Arial"/>
                <w:noProof/>
              </w:rPr>
              <w:t>Main Body</w:t>
            </w:r>
            <w:r w:rsidR="00273DA4" w:rsidRPr="00877D6A">
              <w:rPr>
                <w:rFonts w:ascii="Arial" w:hAnsi="Arial" w:cs="Arial"/>
                <w:noProof/>
                <w:webHidden/>
              </w:rPr>
              <w:tab/>
            </w:r>
            <w:r w:rsidR="00273DA4" w:rsidRPr="00877D6A">
              <w:rPr>
                <w:rFonts w:ascii="Arial" w:hAnsi="Arial" w:cs="Arial"/>
                <w:noProof/>
                <w:webHidden/>
              </w:rPr>
              <w:fldChar w:fldCharType="begin"/>
            </w:r>
            <w:r w:rsidR="00273DA4" w:rsidRPr="00877D6A">
              <w:rPr>
                <w:rFonts w:ascii="Arial" w:hAnsi="Arial" w:cs="Arial"/>
                <w:noProof/>
                <w:webHidden/>
              </w:rPr>
              <w:instrText xml:space="preserve"> PAGEREF _Toc111746281 \h </w:instrText>
            </w:r>
            <w:r w:rsidR="00273DA4" w:rsidRPr="00877D6A">
              <w:rPr>
                <w:rFonts w:ascii="Arial" w:hAnsi="Arial" w:cs="Arial"/>
                <w:noProof/>
                <w:webHidden/>
              </w:rPr>
            </w:r>
            <w:r w:rsidR="00273DA4" w:rsidRPr="00877D6A">
              <w:rPr>
                <w:rFonts w:ascii="Arial" w:hAnsi="Arial" w:cs="Arial"/>
                <w:noProof/>
                <w:webHidden/>
              </w:rPr>
              <w:fldChar w:fldCharType="separate"/>
            </w:r>
            <w:r w:rsidR="00273DA4" w:rsidRPr="00877D6A">
              <w:rPr>
                <w:rFonts w:ascii="Arial" w:hAnsi="Arial" w:cs="Arial"/>
                <w:noProof/>
                <w:webHidden/>
              </w:rPr>
              <w:t>3</w:t>
            </w:r>
            <w:r w:rsidR="00273DA4" w:rsidRPr="00877D6A">
              <w:rPr>
                <w:rFonts w:ascii="Arial" w:hAnsi="Arial" w:cs="Arial"/>
                <w:noProof/>
                <w:webHidden/>
              </w:rPr>
              <w:fldChar w:fldCharType="end"/>
            </w:r>
          </w:hyperlink>
        </w:p>
        <w:p w14:paraId="6F7CAAB0" w14:textId="77777777" w:rsidR="00273DA4" w:rsidRPr="00877D6A" w:rsidRDefault="00BA4023">
          <w:pPr>
            <w:pStyle w:val="TOC2"/>
            <w:tabs>
              <w:tab w:val="right" w:leader="dot" w:pos="9016"/>
            </w:tabs>
            <w:rPr>
              <w:rFonts w:ascii="Arial" w:hAnsi="Arial" w:cs="Arial"/>
              <w:noProof/>
            </w:rPr>
          </w:pPr>
          <w:hyperlink w:anchor="_Toc111746282" w:history="1">
            <w:r w:rsidR="00273DA4" w:rsidRPr="00877D6A">
              <w:rPr>
                <w:rStyle w:val="Hyperlink"/>
                <w:rFonts w:ascii="Arial" w:hAnsi="Arial" w:cs="Arial"/>
                <w:noProof/>
              </w:rPr>
              <w:t>Understanding the demography and diversity of the chosen community</w:t>
            </w:r>
            <w:r w:rsidR="00273DA4" w:rsidRPr="00877D6A">
              <w:rPr>
                <w:rFonts w:ascii="Arial" w:hAnsi="Arial" w:cs="Arial"/>
                <w:noProof/>
                <w:webHidden/>
              </w:rPr>
              <w:tab/>
            </w:r>
            <w:r w:rsidR="00273DA4" w:rsidRPr="00877D6A">
              <w:rPr>
                <w:rFonts w:ascii="Arial" w:hAnsi="Arial" w:cs="Arial"/>
                <w:noProof/>
                <w:webHidden/>
              </w:rPr>
              <w:fldChar w:fldCharType="begin"/>
            </w:r>
            <w:r w:rsidR="00273DA4" w:rsidRPr="00877D6A">
              <w:rPr>
                <w:rFonts w:ascii="Arial" w:hAnsi="Arial" w:cs="Arial"/>
                <w:noProof/>
                <w:webHidden/>
              </w:rPr>
              <w:instrText xml:space="preserve"> PAGEREF _Toc111746282 \h </w:instrText>
            </w:r>
            <w:r w:rsidR="00273DA4" w:rsidRPr="00877D6A">
              <w:rPr>
                <w:rFonts w:ascii="Arial" w:hAnsi="Arial" w:cs="Arial"/>
                <w:noProof/>
                <w:webHidden/>
              </w:rPr>
            </w:r>
            <w:r w:rsidR="00273DA4" w:rsidRPr="00877D6A">
              <w:rPr>
                <w:rFonts w:ascii="Arial" w:hAnsi="Arial" w:cs="Arial"/>
                <w:noProof/>
                <w:webHidden/>
              </w:rPr>
              <w:fldChar w:fldCharType="separate"/>
            </w:r>
            <w:r w:rsidR="00273DA4" w:rsidRPr="00877D6A">
              <w:rPr>
                <w:rFonts w:ascii="Arial" w:hAnsi="Arial" w:cs="Arial"/>
                <w:noProof/>
                <w:webHidden/>
              </w:rPr>
              <w:t>3</w:t>
            </w:r>
            <w:r w:rsidR="00273DA4" w:rsidRPr="00877D6A">
              <w:rPr>
                <w:rFonts w:ascii="Arial" w:hAnsi="Arial" w:cs="Arial"/>
                <w:noProof/>
                <w:webHidden/>
              </w:rPr>
              <w:fldChar w:fldCharType="end"/>
            </w:r>
          </w:hyperlink>
        </w:p>
        <w:p w14:paraId="1CAD0D2A" w14:textId="77777777" w:rsidR="00273DA4" w:rsidRPr="00877D6A" w:rsidRDefault="00BA4023">
          <w:pPr>
            <w:pStyle w:val="TOC2"/>
            <w:tabs>
              <w:tab w:val="right" w:leader="dot" w:pos="9016"/>
            </w:tabs>
            <w:rPr>
              <w:rFonts w:ascii="Arial" w:hAnsi="Arial" w:cs="Arial"/>
              <w:noProof/>
            </w:rPr>
          </w:pPr>
          <w:hyperlink w:anchor="_Toc111746283" w:history="1">
            <w:r w:rsidR="00273DA4" w:rsidRPr="00877D6A">
              <w:rPr>
                <w:rStyle w:val="Hyperlink"/>
                <w:rFonts w:ascii="Arial" w:hAnsi="Arial" w:cs="Arial"/>
                <w:noProof/>
              </w:rPr>
              <w:t>Exploration of issues faced by the community</w:t>
            </w:r>
            <w:r w:rsidR="00273DA4" w:rsidRPr="00877D6A">
              <w:rPr>
                <w:rFonts w:ascii="Arial" w:hAnsi="Arial" w:cs="Arial"/>
                <w:noProof/>
                <w:webHidden/>
              </w:rPr>
              <w:tab/>
            </w:r>
            <w:r w:rsidR="00273DA4" w:rsidRPr="00877D6A">
              <w:rPr>
                <w:rFonts w:ascii="Arial" w:hAnsi="Arial" w:cs="Arial"/>
                <w:noProof/>
                <w:webHidden/>
              </w:rPr>
              <w:fldChar w:fldCharType="begin"/>
            </w:r>
            <w:r w:rsidR="00273DA4" w:rsidRPr="00877D6A">
              <w:rPr>
                <w:rFonts w:ascii="Arial" w:hAnsi="Arial" w:cs="Arial"/>
                <w:noProof/>
                <w:webHidden/>
              </w:rPr>
              <w:instrText xml:space="preserve"> PAGEREF _Toc111746283 \h </w:instrText>
            </w:r>
            <w:r w:rsidR="00273DA4" w:rsidRPr="00877D6A">
              <w:rPr>
                <w:rFonts w:ascii="Arial" w:hAnsi="Arial" w:cs="Arial"/>
                <w:noProof/>
                <w:webHidden/>
              </w:rPr>
            </w:r>
            <w:r w:rsidR="00273DA4" w:rsidRPr="00877D6A">
              <w:rPr>
                <w:rFonts w:ascii="Arial" w:hAnsi="Arial" w:cs="Arial"/>
                <w:noProof/>
                <w:webHidden/>
              </w:rPr>
              <w:fldChar w:fldCharType="separate"/>
            </w:r>
            <w:r w:rsidR="00273DA4" w:rsidRPr="00877D6A">
              <w:rPr>
                <w:rFonts w:ascii="Arial" w:hAnsi="Arial" w:cs="Arial"/>
                <w:noProof/>
                <w:webHidden/>
              </w:rPr>
              <w:t>4</w:t>
            </w:r>
            <w:r w:rsidR="00273DA4" w:rsidRPr="00877D6A">
              <w:rPr>
                <w:rFonts w:ascii="Arial" w:hAnsi="Arial" w:cs="Arial"/>
                <w:noProof/>
                <w:webHidden/>
              </w:rPr>
              <w:fldChar w:fldCharType="end"/>
            </w:r>
          </w:hyperlink>
        </w:p>
        <w:p w14:paraId="35DEB509" w14:textId="77777777" w:rsidR="00273DA4" w:rsidRPr="00877D6A" w:rsidRDefault="00BA4023">
          <w:pPr>
            <w:pStyle w:val="TOC2"/>
            <w:tabs>
              <w:tab w:val="right" w:leader="dot" w:pos="9016"/>
            </w:tabs>
            <w:rPr>
              <w:rFonts w:ascii="Arial" w:hAnsi="Arial" w:cs="Arial"/>
              <w:noProof/>
            </w:rPr>
          </w:pPr>
          <w:hyperlink w:anchor="_Toc111746284" w:history="1">
            <w:r w:rsidR="00273DA4" w:rsidRPr="00877D6A">
              <w:rPr>
                <w:rStyle w:val="Hyperlink"/>
                <w:rFonts w:ascii="Arial" w:hAnsi="Arial" w:cs="Arial"/>
                <w:noProof/>
              </w:rPr>
              <w:t>Critical examination and evaluation of approaches in place for the development of awareness impacting positive change</w:t>
            </w:r>
            <w:r w:rsidR="00273DA4" w:rsidRPr="00877D6A">
              <w:rPr>
                <w:rFonts w:ascii="Arial" w:hAnsi="Arial" w:cs="Arial"/>
                <w:noProof/>
                <w:webHidden/>
              </w:rPr>
              <w:tab/>
            </w:r>
            <w:r w:rsidR="00273DA4" w:rsidRPr="00877D6A">
              <w:rPr>
                <w:rFonts w:ascii="Arial" w:hAnsi="Arial" w:cs="Arial"/>
                <w:noProof/>
                <w:webHidden/>
              </w:rPr>
              <w:fldChar w:fldCharType="begin"/>
            </w:r>
            <w:r w:rsidR="00273DA4" w:rsidRPr="00877D6A">
              <w:rPr>
                <w:rFonts w:ascii="Arial" w:hAnsi="Arial" w:cs="Arial"/>
                <w:noProof/>
                <w:webHidden/>
              </w:rPr>
              <w:instrText xml:space="preserve"> PAGEREF _Toc111746284 \h </w:instrText>
            </w:r>
            <w:r w:rsidR="00273DA4" w:rsidRPr="00877D6A">
              <w:rPr>
                <w:rFonts w:ascii="Arial" w:hAnsi="Arial" w:cs="Arial"/>
                <w:noProof/>
                <w:webHidden/>
              </w:rPr>
            </w:r>
            <w:r w:rsidR="00273DA4" w:rsidRPr="00877D6A">
              <w:rPr>
                <w:rFonts w:ascii="Arial" w:hAnsi="Arial" w:cs="Arial"/>
                <w:noProof/>
                <w:webHidden/>
              </w:rPr>
              <w:fldChar w:fldCharType="separate"/>
            </w:r>
            <w:r w:rsidR="00273DA4" w:rsidRPr="00877D6A">
              <w:rPr>
                <w:rFonts w:ascii="Arial" w:hAnsi="Arial" w:cs="Arial"/>
                <w:noProof/>
                <w:webHidden/>
              </w:rPr>
              <w:t>5</w:t>
            </w:r>
            <w:r w:rsidR="00273DA4" w:rsidRPr="00877D6A">
              <w:rPr>
                <w:rFonts w:ascii="Arial" w:hAnsi="Arial" w:cs="Arial"/>
                <w:noProof/>
                <w:webHidden/>
              </w:rPr>
              <w:fldChar w:fldCharType="end"/>
            </w:r>
          </w:hyperlink>
        </w:p>
        <w:p w14:paraId="3BD3FDA0" w14:textId="77777777" w:rsidR="00273DA4" w:rsidRPr="00877D6A" w:rsidRDefault="00BA4023">
          <w:pPr>
            <w:pStyle w:val="TOC1"/>
            <w:tabs>
              <w:tab w:val="right" w:leader="dot" w:pos="9016"/>
            </w:tabs>
            <w:rPr>
              <w:rFonts w:ascii="Arial" w:hAnsi="Arial" w:cs="Arial"/>
              <w:noProof/>
            </w:rPr>
          </w:pPr>
          <w:hyperlink w:anchor="_Toc111746285" w:history="1">
            <w:r w:rsidR="00273DA4" w:rsidRPr="00877D6A">
              <w:rPr>
                <w:rStyle w:val="Hyperlink"/>
                <w:rFonts w:ascii="Arial" w:hAnsi="Arial" w:cs="Arial"/>
                <w:noProof/>
              </w:rPr>
              <w:t>Conclusion</w:t>
            </w:r>
            <w:r w:rsidR="00273DA4" w:rsidRPr="00877D6A">
              <w:rPr>
                <w:rFonts w:ascii="Arial" w:hAnsi="Arial" w:cs="Arial"/>
                <w:noProof/>
                <w:webHidden/>
              </w:rPr>
              <w:tab/>
            </w:r>
            <w:r w:rsidR="00273DA4" w:rsidRPr="00877D6A">
              <w:rPr>
                <w:rFonts w:ascii="Arial" w:hAnsi="Arial" w:cs="Arial"/>
                <w:noProof/>
                <w:webHidden/>
              </w:rPr>
              <w:fldChar w:fldCharType="begin"/>
            </w:r>
            <w:r w:rsidR="00273DA4" w:rsidRPr="00877D6A">
              <w:rPr>
                <w:rFonts w:ascii="Arial" w:hAnsi="Arial" w:cs="Arial"/>
                <w:noProof/>
                <w:webHidden/>
              </w:rPr>
              <w:instrText xml:space="preserve"> PAGEREF _Toc111746285 \h </w:instrText>
            </w:r>
            <w:r w:rsidR="00273DA4" w:rsidRPr="00877D6A">
              <w:rPr>
                <w:rFonts w:ascii="Arial" w:hAnsi="Arial" w:cs="Arial"/>
                <w:noProof/>
                <w:webHidden/>
              </w:rPr>
            </w:r>
            <w:r w:rsidR="00273DA4" w:rsidRPr="00877D6A">
              <w:rPr>
                <w:rFonts w:ascii="Arial" w:hAnsi="Arial" w:cs="Arial"/>
                <w:noProof/>
                <w:webHidden/>
              </w:rPr>
              <w:fldChar w:fldCharType="separate"/>
            </w:r>
            <w:r w:rsidR="00273DA4" w:rsidRPr="00877D6A">
              <w:rPr>
                <w:rFonts w:ascii="Arial" w:hAnsi="Arial" w:cs="Arial"/>
                <w:noProof/>
                <w:webHidden/>
              </w:rPr>
              <w:t>6</w:t>
            </w:r>
            <w:r w:rsidR="00273DA4" w:rsidRPr="00877D6A">
              <w:rPr>
                <w:rFonts w:ascii="Arial" w:hAnsi="Arial" w:cs="Arial"/>
                <w:noProof/>
                <w:webHidden/>
              </w:rPr>
              <w:fldChar w:fldCharType="end"/>
            </w:r>
          </w:hyperlink>
        </w:p>
        <w:p w14:paraId="4EB5B76B" w14:textId="77777777" w:rsidR="00273DA4" w:rsidRPr="00877D6A" w:rsidRDefault="00BA4023">
          <w:pPr>
            <w:pStyle w:val="TOC1"/>
            <w:tabs>
              <w:tab w:val="right" w:leader="dot" w:pos="9016"/>
            </w:tabs>
            <w:rPr>
              <w:rFonts w:ascii="Arial" w:hAnsi="Arial" w:cs="Arial"/>
              <w:noProof/>
            </w:rPr>
          </w:pPr>
          <w:hyperlink w:anchor="_Toc111746286" w:history="1">
            <w:r w:rsidR="00273DA4" w:rsidRPr="00877D6A">
              <w:rPr>
                <w:rStyle w:val="Hyperlink"/>
                <w:rFonts w:ascii="Arial" w:hAnsi="Arial" w:cs="Arial"/>
                <w:noProof/>
              </w:rPr>
              <w:t>References</w:t>
            </w:r>
            <w:r w:rsidR="00273DA4" w:rsidRPr="00877D6A">
              <w:rPr>
                <w:rFonts w:ascii="Arial" w:hAnsi="Arial" w:cs="Arial"/>
                <w:noProof/>
                <w:webHidden/>
              </w:rPr>
              <w:tab/>
            </w:r>
            <w:r w:rsidR="00273DA4" w:rsidRPr="00877D6A">
              <w:rPr>
                <w:rFonts w:ascii="Arial" w:hAnsi="Arial" w:cs="Arial"/>
                <w:noProof/>
                <w:webHidden/>
              </w:rPr>
              <w:fldChar w:fldCharType="begin"/>
            </w:r>
            <w:r w:rsidR="00273DA4" w:rsidRPr="00877D6A">
              <w:rPr>
                <w:rFonts w:ascii="Arial" w:hAnsi="Arial" w:cs="Arial"/>
                <w:noProof/>
                <w:webHidden/>
              </w:rPr>
              <w:instrText xml:space="preserve"> PAGEREF _Toc111746286 \h </w:instrText>
            </w:r>
            <w:r w:rsidR="00273DA4" w:rsidRPr="00877D6A">
              <w:rPr>
                <w:rFonts w:ascii="Arial" w:hAnsi="Arial" w:cs="Arial"/>
                <w:noProof/>
                <w:webHidden/>
              </w:rPr>
            </w:r>
            <w:r w:rsidR="00273DA4" w:rsidRPr="00877D6A">
              <w:rPr>
                <w:rFonts w:ascii="Arial" w:hAnsi="Arial" w:cs="Arial"/>
                <w:noProof/>
                <w:webHidden/>
              </w:rPr>
              <w:fldChar w:fldCharType="separate"/>
            </w:r>
            <w:r w:rsidR="00273DA4" w:rsidRPr="00877D6A">
              <w:rPr>
                <w:rFonts w:ascii="Arial" w:hAnsi="Arial" w:cs="Arial"/>
                <w:noProof/>
                <w:webHidden/>
              </w:rPr>
              <w:t>8</w:t>
            </w:r>
            <w:r w:rsidR="00273DA4" w:rsidRPr="00877D6A">
              <w:rPr>
                <w:rFonts w:ascii="Arial" w:hAnsi="Arial" w:cs="Arial"/>
                <w:noProof/>
                <w:webHidden/>
              </w:rPr>
              <w:fldChar w:fldCharType="end"/>
            </w:r>
          </w:hyperlink>
        </w:p>
        <w:p w14:paraId="2C4A6AF9" w14:textId="77777777" w:rsidR="00273DA4" w:rsidRDefault="00273DA4">
          <w:r w:rsidRPr="00877D6A">
            <w:rPr>
              <w:rFonts w:ascii="Arial" w:hAnsi="Arial" w:cs="Arial"/>
              <w:b/>
              <w:bCs/>
              <w:noProof/>
            </w:rPr>
            <w:fldChar w:fldCharType="end"/>
          </w:r>
        </w:p>
      </w:sdtContent>
    </w:sdt>
    <w:p w14:paraId="3DF6A9E6" w14:textId="77777777" w:rsidR="009C04CE" w:rsidRPr="00B45C1C" w:rsidRDefault="009C04CE" w:rsidP="00273DA4"/>
    <w:p w14:paraId="3AE0B56C" w14:textId="77777777" w:rsidR="006A62BC" w:rsidRPr="00B45C1C" w:rsidRDefault="006A62BC">
      <w:pPr>
        <w:spacing w:line="259" w:lineRule="auto"/>
        <w:jc w:val="left"/>
        <w:rPr>
          <w:b/>
        </w:rPr>
      </w:pPr>
      <w:r w:rsidRPr="00B45C1C">
        <w:rPr>
          <w:b/>
        </w:rPr>
        <w:br w:type="page"/>
      </w:r>
    </w:p>
    <w:p w14:paraId="599CB40B" w14:textId="77777777" w:rsidR="006A62BC" w:rsidRPr="00385C4B" w:rsidRDefault="00E66FF8" w:rsidP="00385C4B">
      <w:pPr>
        <w:pStyle w:val="Heading1"/>
        <w:jc w:val="center"/>
        <w:rPr>
          <w:rFonts w:ascii="Arial" w:hAnsi="Arial" w:cs="Arial"/>
          <w:b/>
          <w:bCs/>
          <w:color w:val="auto"/>
          <w:sz w:val="36"/>
          <w:szCs w:val="40"/>
        </w:rPr>
      </w:pPr>
      <w:bookmarkStart w:id="0" w:name="_Toc111746280"/>
      <w:r w:rsidRPr="00385C4B">
        <w:rPr>
          <w:rFonts w:ascii="Arial" w:hAnsi="Arial" w:cs="Arial"/>
          <w:b/>
          <w:bCs/>
          <w:color w:val="auto"/>
          <w:sz w:val="36"/>
          <w:szCs w:val="40"/>
        </w:rPr>
        <w:lastRenderedPageBreak/>
        <w:t>Introduction</w:t>
      </w:r>
      <w:bookmarkEnd w:id="0"/>
    </w:p>
    <w:p w14:paraId="6BB3F298" w14:textId="3BE6753D" w:rsidR="00DA3E7B" w:rsidRPr="00385C4B" w:rsidRDefault="00DA3E7B" w:rsidP="00385C4B">
      <w:pPr>
        <w:rPr>
          <w:rFonts w:ascii="Arial" w:hAnsi="Arial" w:cs="Arial"/>
        </w:rPr>
      </w:pPr>
      <w:r w:rsidRPr="00385C4B">
        <w:rPr>
          <w:rFonts w:ascii="Arial" w:hAnsi="Arial" w:cs="Arial"/>
        </w:rPr>
        <w:t xml:space="preserve">Community is identified </w:t>
      </w:r>
      <w:r w:rsidR="006E6A05" w:rsidRPr="00385C4B">
        <w:rPr>
          <w:rFonts w:ascii="Arial" w:hAnsi="Arial" w:cs="Arial"/>
        </w:rPr>
        <w:t>as the web of personal relationships enclosed by the groups of related networks within a geographical region</w:t>
      </w:r>
      <w:r w:rsidR="00D56076" w:rsidRPr="00385C4B">
        <w:rPr>
          <w:rFonts w:ascii="Arial" w:hAnsi="Arial" w:cs="Arial"/>
          <w:noProof/>
          <w:lang w:val="en-US"/>
        </w:rPr>
        <w:t xml:space="preserve"> (Bale, et al., 2020)</w:t>
      </w:r>
      <w:r w:rsidR="006E6A05" w:rsidRPr="00385C4B">
        <w:rPr>
          <w:rFonts w:ascii="Arial" w:hAnsi="Arial" w:cs="Arial"/>
        </w:rPr>
        <w:t xml:space="preserve">. The persistence of a community is majorly influenced </w:t>
      </w:r>
      <w:r w:rsidR="00627FB1" w:rsidRPr="00385C4B">
        <w:rPr>
          <w:rFonts w:ascii="Arial" w:hAnsi="Arial" w:cs="Arial"/>
        </w:rPr>
        <w:t xml:space="preserve">by the </w:t>
      </w:r>
      <w:r w:rsidR="00B279CF" w:rsidRPr="00385C4B">
        <w:rPr>
          <w:rFonts w:ascii="Arial" w:hAnsi="Arial" w:cs="Arial"/>
        </w:rPr>
        <w:t xml:space="preserve">categorical levels of existence, </w:t>
      </w:r>
      <w:r w:rsidR="00627FB1" w:rsidRPr="00385C4B">
        <w:rPr>
          <w:rFonts w:ascii="Arial" w:hAnsi="Arial" w:cs="Arial"/>
        </w:rPr>
        <w:t xml:space="preserve">which </w:t>
      </w:r>
      <w:r w:rsidR="00D56076" w:rsidRPr="00385C4B">
        <w:rPr>
          <w:rFonts w:ascii="Arial" w:hAnsi="Arial" w:cs="Arial"/>
        </w:rPr>
        <w:t>are</w:t>
      </w:r>
      <w:r w:rsidR="00627FB1" w:rsidRPr="00385C4B">
        <w:rPr>
          <w:rFonts w:ascii="Arial" w:hAnsi="Arial" w:cs="Arial"/>
        </w:rPr>
        <w:t xml:space="preserve"> </w:t>
      </w:r>
      <w:r w:rsidR="00496107" w:rsidRPr="00385C4B">
        <w:rPr>
          <w:rFonts w:ascii="Arial" w:hAnsi="Arial" w:cs="Arial"/>
        </w:rPr>
        <w:t xml:space="preserve">divided on the basis of locality, territory, or shared experiences. In this assignment, the main aim is to explore the demographic condition of the distribution for the </w:t>
      </w:r>
      <w:r w:rsidR="009A33C1" w:rsidRPr="00385C4B">
        <w:rPr>
          <w:rFonts w:ascii="Arial" w:hAnsi="Arial" w:cs="Arial"/>
        </w:rPr>
        <w:t xml:space="preserve">chosen community, living in the UK, i.e., BAME in this case. The Black, Asian, </w:t>
      </w:r>
      <w:r w:rsidR="00D56076" w:rsidRPr="00385C4B">
        <w:rPr>
          <w:rFonts w:ascii="Arial" w:hAnsi="Arial" w:cs="Arial"/>
        </w:rPr>
        <w:t xml:space="preserve">and </w:t>
      </w:r>
      <w:r w:rsidR="009A33C1" w:rsidRPr="00385C4B">
        <w:rPr>
          <w:rFonts w:ascii="Arial" w:hAnsi="Arial" w:cs="Arial"/>
        </w:rPr>
        <w:t>Minority Ethnic community constitute around 14% of the residents in the country</w:t>
      </w:r>
      <w:r w:rsidR="00D56076" w:rsidRPr="00385C4B">
        <w:rPr>
          <w:rFonts w:ascii="Arial" w:hAnsi="Arial" w:cs="Arial"/>
        </w:rPr>
        <w:t>,</w:t>
      </w:r>
      <w:r w:rsidR="009A33C1" w:rsidRPr="00385C4B">
        <w:rPr>
          <w:rFonts w:ascii="Arial" w:hAnsi="Arial" w:cs="Arial"/>
        </w:rPr>
        <w:t xml:space="preserve"> having representation in the local government bodies</w:t>
      </w:r>
      <w:r w:rsidR="00D56076" w:rsidRPr="00385C4B">
        <w:rPr>
          <w:rFonts w:ascii="Arial" w:hAnsi="Arial" w:cs="Arial"/>
        </w:rPr>
        <w:t>,</w:t>
      </w:r>
      <w:r w:rsidR="009A33C1" w:rsidRPr="00385C4B">
        <w:rPr>
          <w:rFonts w:ascii="Arial" w:hAnsi="Arial" w:cs="Arial"/>
        </w:rPr>
        <w:t xml:space="preserve"> and this helps in the changed policy decisions being made. The assignment hereafter focuses on the understanding of demographic diversity and exploration of the issues related to the community issues in place. In this consideration, the assignment also focuses on the relevant outcomes related directly </w:t>
      </w:r>
      <w:r w:rsidR="00D56076" w:rsidRPr="00385C4B">
        <w:rPr>
          <w:rFonts w:ascii="Arial" w:hAnsi="Arial" w:cs="Arial"/>
        </w:rPr>
        <w:t>to</w:t>
      </w:r>
      <w:r w:rsidR="009A33C1" w:rsidRPr="00385C4B">
        <w:rPr>
          <w:rFonts w:ascii="Arial" w:hAnsi="Arial" w:cs="Arial"/>
        </w:rPr>
        <w:t xml:space="preserve"> the critical examination of the evaluated approaches under the placement of diversity awareness.</w:t>
      </w:r>
    </w:p>
    <w:p w14:paraId="716EA0EF" w14:textId="77777777" w:rsidR="002C5670" w:rsidRPr="00385C4B" w:rsidRDefault="00E66FF8" w:rsidP="00385C4B">
      <w:pPr>
        <w:pStyle w:val="Heading1"/>
        <w:jc w:val="center"/>
        <w:rPr>
          <w:rFonts w:ascii="Arial" w:hAnsi="Arial" w:cs="Arial"/>
          <w:b/>
          <w:bCs/>
          <w:color w:val="auto"/>
        </w:rPr>
      </w:pPr>
      <w:bookmarkStart w:id="1" w:name="_Toc111746281"/>
      <w:r w:rsidRPr="00385C4B">
        <w:rPr>
          <w:rFonts w:ascii="Arial" w:hAnsi="Arial" w:cs="Arial"/>
          <w:b/>
          <w:bCs/>
          <w:color w:val="auto"/>
        </w:rPr>
        <w:t>Main Body</w:t>
      </w:r>
      <w:bookmarkEnd w:id="1"/>
    </w:p>
    <w:p w14:paraId="3C20EA6F" w14:textId="77777777" w:rsidR="002C5670" w:rsidRPr="00385C4B" w:rsidRDefault="002C5670" w:rsidP="00211FD5">
      <w:pPr>
        <w:pStyle w:val="Heading2"/>
        <w:rPr>
          <w:rFonts w:ascii="Arial" w:hAnsi="Arial" w:cs="Arial"/>
          <w:color w:val="auto"/>
          <w:sz w:val="24"/>
          <w:szCs w:val="24"/>
        </w:rPr>
      </w:pPr>
      <w:bookmarkStart w:id="2" w:name="_Toc111746282"/>
      <w:r w:rsidRPr="00385C4B">
        <w:rPr>
          <w:rFonts w:ascii="Arial" w:hAnsi="Arial" w:cs="Arial"/>
          <w:color w:val="auto"/>
          <w:sz w:val="24"/>
          <w:szCs w:val="24"/>
        </w:rPr>
        <w:t>Understanding the demography and div</w:t>
      </w:r>
      <w:r w:rsidR="00211FD5" w:rsidRPr="00385C4B">
        <w:rPr>
          <w:rFonts w:ascii="Arial" w:hAnsi="Arial" w:cs="Arial"/>
          <w:color w:val="auto"/>
          <w:sz w:val="24"/>
          <w:szCs w:val="24"/>
        </w:rPr>
        <w:t xml:space="preserve">ersity </w:t>
      </w:r>
      <w:r w:rsidR="00D56076" w:rsidRPr="00385C4B">
        <w:rPr>
          <w:rFonts w:ascii="Arial" w:hAnsi="Arial" w:cs="Arial"/>
          <w:color w:val="auto"/>
          <w:sz w:val="24"/>
          <w:szCs w:val="24"/>
        </w:rPr>
        <w:t>of</w:t>
      </w:r>
      <w:r w:rsidR="00211FD5" w:rsidRPr="00385C4B">
        <w:rPr>
          <w:rFonts w:ascii="Arial" w:hAnsi="Arial" w:cs="Arial"/>
          <w:color w:val="auto"/>
          <w:sz w:val="24"/>
          <w:szCs w:val="24"/>
        </w:rPr>
        <w:t xml:space="preserve"> the chosen community</w:t>
      </w:r>
      <w:bookmarkEnd w:id="2"/>
    </w:p>
    <w:p w14:paraId="55CE76AB" w14:textId="77777777" w:rsidR="00B42217" w:rsidRPr="00385C4B" w:rsidRDefault="004352BB" w:rsidP="00B42217">
      <w:pPr>
        <w:rPr>
          <w:rFonts w:ascii="Arial" w:hAnsi="Arial" w:cs="Arial"/>
        </w:rPr>
      </w:pPr>
      <w:r w:rsidRPr="00385C4B">
        <w:rPr>
          <w:rFonts w:ascii="Arial" w:hAnsi="Arial" w:cs="Arial"/>
        </w:rPr>
        <w:t xml:space="preserve">The demographic distributions of the ethnic population communities are depicted by the latest census of 2011 </w:t>
      </w:r>
      <w:r w:rsidR="00D56076" w:rsidRPr="00385C4B">
        <w:rPr>
          <w:rFonts w:ascii="Arial" w:hAnsi="Arial" w:cs="Arial"/>
        </w:rPr>
        <w:t xml:space="preserve">that </w:t>
      </w:r>
      <w:r w:rsidRPr="00385C4B">
        <w:rPr>
          <w:rFonts w:ascii="Arial" w:hAnsi="Arial" w:cs="Arial"/>
        </w:rPr>
        <w:t>t</w:t>
      </w:r>
      <w:r w:rsidR="00D56076" w:rsidRPr="00385C4B">
        <w:rPr>
          <w:rFonts w:ascii="Arial" w:hAnsi="Arial" w:cs="Arial"/>
        </w:rPr>
        <w:t>ook</w:t>
      </w:r>
      <w:r w:rsidRPr="00385C4B">
        <w:rPr>
          <w:rFonts w:ascii="Arial" w:hAnsi="Arial" w:cs="Arial"/>
        </w:rPr>
        <w:t xml:space="preserve"> place in the UK. Within the region of England and Wales, as per the 2011 census reports, 40.2% of the residents are currently belonging to either black, Asian or other ethnic populations, which has led to the influence of the overall policy decisions being taken and hence, also suggests the changed views under the </w:t>
      </w:r>
      <w:r w:rsidR="006F19FC" w:rsidRPr="00385C4B">
        <w:rPr>
          <w:rFonts w:ascii="Arial" w:hAnsi="Arial" w:cs="Arial"/>
        </w:rPr>
        <w:t>formulated outcomes</w:t>
      </w:r>
      <w:sdt>
        <w:sdtPr>
          <w:rPr>
            <w:rFonts w:ascii="Arial" w:hAnsi="Arial" w:cs="Arial"/>
          </w:rPr>
          <w:id w:val="-2119984680"/>
          <w:citation/>
        </w:sdtPr>
        <w:sdtEndPr/>
        <w:sdtContent>
          <w:r w:rsidR="003526B6" w:rsidRPr="00385C4B">
            <w:rPr>
              <w:rFonts w:ascii="Arial" w:hAnsi="Arial" w:cs="Arial"/>
            </w:rPr>
            <w:fldChar w:fldCharType="begin"/>
          </w:r>
          <w:r w:rsidR="003526B6" w:rsidRPr="00385C4B">
            <w:rPr>
              <w:rFonts w:ascii="Arial" w:hAnsi="Arial" w:cs="Arial"/>
              <w:lang w:val="en-US"/>
            </w:rPr>
            <w:instrText xml:space="preserve"> CITATION Eth222 \l 1033 </w:instrText>
          </w:r>
          <w:r w:rsidR="003526B6" w:rsidRPr="00385C4B">
            <w:rPr>
              <w:rFonts w:ascii="Arial" w:hAnsi="Arial" w:cs="Arial"/>
            </w:rPr>
            <w:fldChar w:fldCharType="separate"/>
          </w:r>
          <w:r w:rsidR="004341D0" w:rsidRPr="00385C4B">
            <w:rPr>
              <w:rFonts w:ascii="Arial" w:hAnsi="Arial" w:cs="Arial"/>
              <w:noProof/>
              <w:lang w:val="en-US"/>
            </w:rPr>
            <w:t xml:space="preserve"> (Ethnicity-facts, 2022)</w:t>
          </w:r>
          <w:r w:rsidR="003526B6" w:rsidRPr="00385C4B">
            <w:rPr>
              <w:rFonts w:ascii="Arial" w:hAnsi="Arial" w:cs="Arial"/>
            </w:rPr>
            <w:fldChar w:fldCharType="end"/>
          </w:r>
        </w:sdtContent>
      </w:sdt>
      <w:r w:rsidR="006F19FC" w:rsidRPr="00385C4B">
        <w:rPr>
          <w:rFonts w:ascii="Arial" w:hAnsi="Arial" w:cs="Arial"/>
        </w:rPr>
        <w:t xml:space="preserve">. </w:t>
      </w:r>
    </w:p>
    <w:p w14:paraId="6CAB6FDC" w14:textId="77777777" w:rsidR="000E18A4" w:rsidRDefault="00A67D7F" w:rsidP="000E18A4">
      <w:pPr>
        <w:keepNext/>
        <w:jc w:val="center"/>
      </w:pPr>
      <w:r w:rsidRPr="00B45C1C">
        <w:rPr>
          <w:noProof/>
          <w:lang w:eastAsia="en-GB"/>
        </w:rPr>
        <w:drawing>
          <wp:inline distT="0" distB="0" distL="0" distR="0" wp14:anchorId="480B53AD" wp14:editId="7595E837">
            <wp:extent cx="4019550" cy="2204383"/>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030696" cy="2210496"/>
                    </a:xfrm>
                    <a:prstGeom prst="rect">
                      <a:avLst/>
                    </a:prstGeom>
                  </pic:spPr>
                </pic:pic>
              </a:graphicData>
            </a:graphic>
          </wp:inline>
        </w:drawing>
      </w:r>
    </w:p>
    <w:p w14:paraId="07EF40CA" w14:textId="77777777" w:rsidR="00A67D7F" w:rsidRPr="00B45C1C" w:rsidRDefault="000E18A4" w:rsidP="000E18A4">
      <w:pPr>
        <w:pStyle w:val="Caption"/>
        <w:jc w:val="center"/>
        <w:rPr>
          <w:color w:val="auto"/>
        </w:rPr>
      </w:pPr>
      <w:r>
        <w:t xml:space="preserve">Figure </w:t>
      </w:r>
      <w:r w:rsidR="00BA4023">
        <w:fldChar w:fldCharType="begin"/>
      </w:r>
      <w:r w:rsidR="00BA4023">
        <w:instrText xml:space="preserve"> SEQ Figure \* ARABIC </w:instrText>
      </w:r>
      <w:r w:rsidR="00BA4023">
        <w:fldChar w:fldCharType="separate"/>
      </w:r>
      <w:r>
        <w:rPr>
          <w:noProof/>
        </w:rPr>
        <w:t>1</w:t>
      </w:r>
      <w:r w:rsidR="00BA4023">
        <w:rPr>
          <w:noProof/>
        </w:rPr>
        <w:fldChar w:fldCharType="end"/>
      </w:r>
      <w:r>
        <w:t>: Population Distribution; Source:</w:t>
      </w:r>
      <w:sdt>
        <w:sdtPr>
          <w:id w:val="-899276119"/>
          <w:citation/>
        </w:sdtPr>
        <w:sdtEndPr/>
        <w:sdtContent>
          <w:r>
            <w:fldChar w:fldCharType="begin"/>
          </w:r>
          <w:r>
            <w:rPr>
              <w:lang w:val="en-US"/>
            </w:rPr>
            <w:instrText xml:space="preserve"> CITATION Eth222 \l 1033 </w:instrText>
          </w:r>
          <w:r>
            <w:fldChar w:fldCharType="separate"/>
          </w:r>
          <w:r>
            <w:rPr>
              <w:noProof/>
              <w:lang w:val="en-US"/>
            </w:rPr>
            <w:t xml:space="preserve"> </w:t>
          </w:r>
          <w:r w:rsidRPr="000E18A4">
            <w:rPr>
              <w:noProof/>
              <w:lang w:val="en-US"/>
            </w:rPr>
            <w:t>(Ethnicity-facts, 2022)</w:t>
          </w:r>
          <w:r>
            <w:fldChar w:fldCharType="end"/>
          </w:r>
        </w:sdtContent>
      </w:sdt>
    </w:p>
    <w:p w14:paraId="00952E39" w14:textId="77777777" w:rsidR="00A67D7F" w:rsidRPr="00385C4B" w:rsidRDefault="00A67D7F" w:rsidP="00A67D7F">
      <w:pPr>
        <w:rPr>
          <w:rFonts w:ascii="Arial" w:hAnsi="Arial" w:cs="Arial"/>
        </w:rPr>
      </w:pPr>
      <w:r w:rsidRPr="00385C4B">
        <w:rPr>
          <w:rFonts w:ascii="Arial" w:hAnsi="Arial" w:cs="Arial"/>
        </w:rPr>
        <w:lastRenderedPageBreak/>
        <w:t>Under the census, the distribution of the BAME communities in the rural and urban regions are proportionately oriented towards 18.5% and 81.5%, respectively</w:t>
      </w:r>
      <w:sdt>
        <w:sdtPr>
          <w:rPr>
            <w:rFonts w:ascii="Arial" w:hAnsi="Arial" w:cs="Arial"/>
          </w:rPr>
          <w:id w:val="-634870136"/>
          <w:citation/>
        </w:sdtPr>
        <w:sdtEndPr/>
        <w:sdtContent>
          <w:r w:rsidRPr="00385C4B">
            <w:rPr>
              <w:rFonts w:ascii="Arial" w:hAnsi="Arial" w:cs="Arial"/>
            </w:rPr>
            <w:fldChar w:fldCharType="begin"/>
          </w:r>
          <w:r w:rsidRPr="00385C4B">
            <w:rPr>
              <w:rFonts w:ascii="Arial" w:hAnsi="Arial" w:cs="Arial"/>
              <w:lang w:val="en-US"/>
            </w:rPr>
            <w:instrText xml:space="preserve"> CITATION Eth22 \l 1033 </w:instrText>
          </w:r>
          <w:r w:rsidRPr="00385C4B">
            <w:rPr>
              <w:rFonts w:ascii="Arial" w:hAnsi="Arial" w:cs="Arial"/>
            </w:rPr>
            <w:fldChar w:fldCharType="separate"/>
          </w:r>
          <w:r w:rsidR="004341D0" w:rsidRPr="00385C4B">
            <w:rPr>
              <w:rFonts w:ascii="Arial" w:hAnsi="Arial" w:cs="Arial"/>
              <w:noProof/>
              <w:lang w:val="en-US"/>
            </w:rPr>
            <w:t xml:space="preserve"> (Ethnicity-facts, 2022)</w:t>
          </w:r>
          <w:r w:rsidRPr="00385C4B">
            <w:rPr>
              <w:rFonts w:ascii="Arial" w:hAnsi="Arial" w:cs="Arial"/>
            </w:rPr>
            <w:fldChar w:fldCharType="end"/>
          </w:r>
        </w:sdtContent>
      </w:sdt>
      <w:r w:rsidRPr="00385C4B">
        <w:rPr>
          <w:rFonts w:ascii="Arial" w:hAnsi="Arial" w:cs="Arial"/>
        </w:rPr>
        <w:t>. Out of all these</w:t>
      </w:r>
      <w:r w:rsidR="00D56076" w:rsidRPr="00385C4B">
        <w:rPr>
          <w:rFonts w:ascii="Arial" w:hAnsi="Arial" w:cs="Arial"/>
        </w:rPr>
        <w:t>,</w:t>
      </w:r>
      <w:r w:rsidRPr="00385C4B">
        <w:rPr>
          <w:rFonts w:ascii="Arial" w:hAnsi="Arial" w:cs="Arial"/>
        </w:rPr>
        <w:t xml:space="preserve"> the majority of the ethnic population living in the urban centres are Asian out of the BAME groups. The lowest proportion of the white population is found in the Newham region of London, with only 29.0% of white people remaining belonging to different communities under the BAME. </w:t>
      </w:r>
    </w:p>
    <w:p w14:paraId="761AF3F4" w14:textId="77777777" w:rsidR="00A67D7F" w:rsidRPr="00385C4B" w:rsidRDefault="00A67383" w:rsidP="00A67D7F">
      <w:pPr>
        <w:rPr>
          <w:rFonts w:ascii="Arial" w:hAnsi="Arial" w:cs="Arial"/>
        </w:rPr>
      </w:pPr>
      <w:r w:rsidRPr="00385C4B">
        <w:rPr>
          <w:rFonts w:ascii="Arial" w:hAnsi="Arial" w:cs="Arial"/>
        </w:rPr>
        <w:t xml:space="preserve">The diversity of the BAME communities </w:t>
      </w:r>
      <w:r w:rsidR="00D56076" w:rsidRPr="00385C4B">
        <w:rPr>
          <w:rFonts w:ascii="Arial" w:hAnsi="Arial" w:cs="Arial"/>
        </w:rPr>
        <w:t>is</w:t>
      </w:r>
      <w:r w:rsidRPr="00385C4B">
        <w:rPr>
          <w:rFonts w:ascii="Arial" w:hAnsi="Arial" w:cs="Arial"/>
        </w:rPr>
        <w:t xml:space="preserve"> well-established</w:t>
      </w:r>
      <w:r w:rsidR="00D56076" w:rsidRPr="00385C4B">
        <w:rPr>
          <w:rFonts w:ascii="Arial" w:hAnsi="Arial" w:cs="Arial"/>
        </w:rPr>
        <w:t>,</w:t>
      </w:r>
      <w:r w:rsidRPr="00385C4B">
        <w:rPr>
          <w:rFonts w:ascii="Arial" w:hAnsi="Arial" w:cs="Arial"/>
        </w:rPr>
        <w:t xml:space="preserve"> particularly within London</w:t>
      </w:r>
      <w:r w:rsidR="00D56076" w:rsidRPr="00385C4B">
        <w:rPr>
          <w:rFonts w:ascii="Arial" w:hAnsi="Arial" w:cs="Arial"/>
        </w:rPr>
        <w:t>,</w:t>
      </w:r>
      <w:r w:rsidRPr="00385C4B">
        <w:rPr>
          <w:rFonts w:ascii="Arial" w:hAnsi="Arial" w:cs="Arial"/>
        </w:rPr>
        <w:t xml:space="preserve"> wherein the majority of the population seemingly belong</w:t>
      </w:r>
      <w:r w:rsidR="00D56076" w:rsidRPr="00385C4B">
        <w:rPr>
          <w:rFonts w:ascii="Arial" w:hAnsi="Arial" w:cs="Arial"/>
        </w:rPr>
        <w:t>s</w:t>
      </w:r>
      <w:r w:rsidRPr="00385C4B">
        <w:rPr>
          <w:rFonts w:ascii="Arial" w:hAnsi="Arial" w:cs="Arial"/>
        </w:rPr>
        <w:t xml:space="preserve"> to the minority proportions and hence influence</w:t>
      </w:r>
      <w:r w:rsidR="00D56076" w:rsidRPr="00385C4B">
        <w:rPr>
          <w:rFonts w:ascii="Arial" w:hAnsi="Arial" w:cs="Arial"/>
        </w:rPr>
        <w:t>s</w:t>
      </w:r>
      <w:r w:rsidRPr="00385C4B">
        <w:rPr>
          <w:rFonts w:ascii="Arial" w:hAnsi="Arial" w:cs="Arial"/>
        </w:rPr>
        <w:t xml:space="preserve"> the overall decision making frameworks. In this respect, the overall significance is laid on the perspectives of essential focus leading towards the implied benefits for the situational factors in place</w:t>
      </w:r>
      <w:sdt>
        <w:sdtPr>
          <w:rPr>
            <w:rFonts w:ascii="Arial" w:hAnsi="Arial" w:cs="Arial"/>
          </w:rPr>
          <w:id w:val="1590972849"/>
          <w:citation/>
        </w:sdtPr>
        <w:sdtEndPr/>
        <w:sdtContent>
          <w:r w:rsidR="00954808" w:rsidRPr="00385C4B">
            <w:rPr>
              <w:rFonts w:ascii="Arial" w:hAnsi="Arial" w:cs="Arial"/>
            </w:rPr>
            <w:fldChar w:fldCharType="begin"/>
          </w:r>
          <w:r w:rsidR="00954808" w:rsidRPr="00385C4B">
            <w:rPr>
              <w:rFonts w:ascii="Arial" w:hAnsi="Arial" w:cs="Arial"/>
              <w:lang w:val="en-US"/>
            </w:rPr>
            <w:instrText xml:space="preserve"> CITATION Eth221 \l 1033 </w:instrText>
          </w:r>
          <w:r w:rsidR="00954808" w:rsidRPr="00385C4B">
            <w:rPr>
              <w:rFonts w:ascii="Arial" w:hAnsi="Arial" w:cs="Arial"/>
            </w:rPr>
            <w:fldChar w:fldCharType="separate"/>
          </w:r>
          <w:r w:rsidR="004341D0" w:rsidRPr="00385C4B">
            <w:rPr>
              <w:rFonts w:ascii="Arial" w:hAnsi="Arial" w:cs="Arial"/>
              <w:noProof/>
              <w:lang w:val="en-US"/>
            </w:rPr>
            <w:t xml:space="preserve"> (Ethnicity-facts, 2022)</w:t>
          </w:r>
          <w:r w:rsidR="00954808" w:rsidRPr="00385C4B">
            <w:rPr>
              <w:rFonts w:ascii="Arial" w:hAnsi="Arial" w:cs="Arial"/>
            </w:rPr>
            <w:fldChar w:fldCharType="end"/>
          </w:r>
        </w:sdtContent>
      </w:sdt>
      <w:r w:rsidRPr="00385C4B">
        <w:rPr>
          <w:rFonts w:ascii="Arial" w:hAnsi="Arial" w:cs="Arial"/>
        </w:rPr>
        <w:t xml:space="preserve">. </w:t>
      </w:r>
      <w:r w:rsidR="00F6766C" w:rsidRPr="00385C4B">
        <w:rPr>
          <w:rFonts w:ascii="Arial" w:hAnsi="Arial" w:cs="Arial"/>
        </w:rPr>
        <w:t>The socio-economic status</w:t>
      </w:r>
      <w:r w:rsidR="00D56076" w:rsidRPr="00385C4B">
        <w:rPr>
          <w:rFonts w:ascii="Arial" w:hAnsi="Arial" w:cs="Arial"/>
        </w:rPr>
        <w:t>,</w:t>
      </w:r>
      <w:r w:rsidR="00F6766C" w:rsidRPr="00385C4B">
        <w:rPr>
          <w:rFonts w:ascii="Arial" w:hAnsi="Arial" w:cs="Arial"/>
        </w:rPr>
        <w:t xml:space="preserve"> especially among the BAME community people</w:t>
      </w:r>
      <w:r w:rsidR="00D56076" w:rsidRPr="00385C4B">
        <w:rPr>
          <w:rFonts w:ascii="Arial" w:hAnsi="Arial" w:cs="Arial"/>
        </w:rPr>
        <w:t>,</w:t>
      </w:r>
      <w:r w:rsidR="00F6766C" w:rsidRPr="00385C4B">
        <w:rPr>
          <w:rFonts w:ascii="Arial" w:hAnsi="Arial" w:cs="Arial"/>
        </w:rPr>
        <w:t xml:space="preserve"> has increased substantially</w:t>
      </w:r>
      <w:r w:rsidR="00D56076" w:rsidRPr="00385C4B">
        <w:rPr>
          <w:rFonts w:ascii="Arial" w:hAnsi="Arial" w:cs="Arial"/>
        </w:rPr>
        <w:t>,</w:t>
      </w:r>
      <w:r w:rsidR="00F6766C" w:rsidRPr="00385C4B">
        <w:rPr>
          <w:rFonts w:ascii="Arial" w:hAnsi="Arial" w:cs="Arial"/>
        </w:rPr>
        <w:t xml:space="preserve"> leading to improved health and wellbeing status. The </w:t>
      </w:r>
      <w:r w:rsidR="006A376F" w:rsidRPr="00385C4B">
        <w:rPr>
          <w:rFonts w:ascii="Arial" w:hAnsi="Arial" w:cs="Arial"/>
        </w:rPr>
        <w:t>biopsychosocial</w:t>
      </w:r>
      <w:r w:rsidR="00F6766C" w:rsidRPr="00385C4B">
        <w:rPr>
          <w:rFonts w:ascii="Arial" w:hAnsi="Arial" w:cs="Arial"/>
        </w:rPr>
        <w:t xml:space="preserve"> model in this process has evaluated the significance in outlining the effective outcomes in place, leading towards the effective mechanism for the outputs in place, thus leading to </w:t>
      </w:r>
      <w:r w:rsidR="006A376F" w:rsidRPr="00385C4B">
        <w:rPr>
          <w:rFonts w:ascii="Arial" w:hAnsi="Arial" w:cs="Arial"/>
        </w:rPr>
        <w:t>improved</w:t>
      </w:r>
      <w:r w:rsidR="00F6766C" w:rsidRPr="00385C4B">
        <w:rPr>
          <w:rFonts w:ascii="Arial" w:hAnsi="Arial" w:cs="Arial"/>
        </w:rPr>
        <w:t xml:space="preserve"> li</w:t>
      </w:r>
      <w:r w:rsidR="00D56076" w:rsidRPr="00385C4B">
        <w:rPr>
          <w:rFonts w:ascii="Arial" w:hAnsi="Arial" w:cs="Arial"/>
        </w:rPr>
        <w:t>ving</w:t>
      </w:r>
      <w:r w:rsidR="00F6766C" w:rsidRPr="00385C4B">
        <w:rPr>
          <w:rFonts w:ascii="Arial" w:hAnsi="Arial" w:cs="Arial"/>
        </w:rPr>
        <w:t xml:space="preserve"> standards. </w:t>
      </w:r>
    </w:p>
    <w:p w14:paraId="030DE124" w14:textId="77777777" w:rsidR="007A7E38" w:rsidRPr="00B45C1C" w:rsidRDefault="00157576" w:rsidP="007A7E38">
      <w:pPr>
        <w:keepNext/>
        <w:jc w:val="center"/>
      </w:pPr>
      <w:r w:rsidRPr="00B45C1C">
        <w:rPr>
          <w:noProof/>
          <w:lang w:eastAsia="en-GB"/>
        </w:rPr>
        <w:drawing>
          <wp:inline distT="0" distB="0" distL="0" distR="0" wp14:anchorId="12FA740E" wp14:editId="2D42EA1F">
            <wp:extent cx="2266950" cy="2246588"/>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70470" cy="2250076"/>
                    </a:xfrm>
                    <a:prstGeom prst="rect">
                      <a:avLst/>
                    </a:prstGeom>
                  </pic:spPr>
                </pic:pic>
              </a:graphicData>
            </a:graphic>
          </wp:inline>
        </w:drawing>
      </w:r>
    </w:p>
    <w:p w14:paraId="4682C6B8" w14:textId="77777777" w:rsidR="006A376F" w:rsidRDefault="007A7E38" w:rsidP="007A7E38">
      <w:pPr>
        <w:pStyle w:val="Caption"/>
        <w:jc w:val="center"/>
      </w:pPr>
      <w:r>
        <w:t xml:space="preserve">Figure </w:t>
      </w:r>
      <w:r w:rsidR="00BA4023">
        <w:fldChar w:fldCharType="begin"/>
      </w:r>
      <w:r w:rsidR="00BA4023">
        <w:instrText xml:space="preserve"> SEQ Figure \* ARABIC </w:instrText>
      </w:r>
      <w:r w:rsidR="00BA4023">
        <w:fldChar w:fldCharType="separate"/>
      </w:r>
      <w:r w:rsidR="000E18A4">
        <w:rPr>
          <w:noProof/>
        </w:rPr>
        <w:t>2</w:t>
      </w:r>
      <w:r w:rsidR="00BA4023">
        <w:rPr>
          <w:noProof/>
        </w:rPr>
        <w:fldChar w:fldCharType="end"/>
      </w:r>
      <w:r>
        <w:t xml:space="preserve">: The Biopsychosocial model; Source: </w:t>
      </w:r>
      <w:r w:rsidR="00D56076" w:rsidRPr="007A7E38">
        <w:rPr>
          <w:noProof/>
          <w:lang w:val="en-US"/>
        </w:rPr>
        <w:t xml:space="preserve">(Mikkelsen </w:t>
      </w:r>
      <w:r w:rsidR="00247A5C">
        <w:rPr>
          <w:noProof/>
          <w:lang w:val="en-US"/>
        </w:rPr>
        <w:t>and</w:t>
      </w:r>
      <w:r w:rsidR="00D56076" w:rsidRPr="007A7E38">
        <w:rPr>
          <w:noProof/>
          <w:lang w:val="en-US"/>
        </w:rPr>
        <w:t xml:space="preserve"> Novotny, 2016)</w:t>
      </w:r>
    </w:p>
    <w:p w14:paraId="220E53DE" w14:textId="77777777" w:rsidR="00B73D56" w:rsidRPr="00385C4B" w:rsidRDefault="00157576" w:rsidP="00B42217">
      <w:pPr>
        <w:rPr>
          <w:rFonts w:ascii="Arial" w:hAnsi="Arial" w:cs="Arial"/>
        </w:rPr>
      </w:pPr>
      <w:r w:rsidRPr="00385C4B">
        <w:rPr>
          <w:rFonts w:ascii="Arial" w:hAnsi="Arial" w:cs="Arial"/>
        </w:rPr>
        <w:t>According to the Biopsychosocial model, the influence o</w:t>
      </w:r>
      <w:r w:rsidR="00D56076" w:rsidRPr="00385C4B">
        <w:rPr>
          <w:rFonts w:ascii="Arial" w:hAnsi="Arial" w:cs="Arial"/>
        </w:rPr>
        <w:t>f</w:t>
      </w:r>
      <w:r w:rsidRPr="00385C4B">
        <w:rPr>
          <w:rFonts w:ascii="Arial" w:hAnsi="Arial" w:cs="Arial"/>
        </w:rPr>
        <w:t xml:space="preserve"> the biological factors </w:t>
      </w:r>
      <w:r w:rsidR="00D56076" w:rsidRPr="00385C4B">
        <w:rPr>
          <w:rFonts w:ascii="Arial" w:hAnsi="Arial" w:cs="Arial"/>
        </w:rPr>
        <w:t>is</w:t>
      </w:r>
      <w:r w:rsidRPr="00385C4B">
        <w:rPr>
          <w:rFonts w:ascii="Arial" w:hAnsi="Arial" w:cs="Arial"/>
        </w:rPr>
        <w:t xml:space="preserve"> essentially linked with the prospectus for improved outcomes and hence related to better </w:t>
      </w:r>
      <w:r w:rsidR="00296E6E" w:rsidRPr="00385C4B">
        <w:rPr>
          <w:rFonts w:ascii="Arial" w:hAnsi="Arial" w:cs="Arial"/>
        </w:rPr>
        <w:t>developments in</w:t>
      </w:r>
      <w:r w:rsidRPr="00385C4B">
        <w:rPr>
          <w:rFonts w:ascii="Arial" w:hAnsi="Arial" w:cs="Arial"/>
        </w:rPr>
        <w:t xml:space="preserve"> terms of effective outcomes. In this place, the overall situational factors in place ha</w:t>
      </w:r>
      <w:r w:rsidR="00D56076" w:rsidRPr="00385C4B">
        <w:rPr>
          <w:rFonts w:ascii="Arial" w:hAnsi="Arial" w:cs="Arial"/>
        </w:rPr>
        <w:t>ve</w:t>
      </w:r>
      <w:r w:rsidRPr="00385C4B">
        <w:rPr>
          <w:rFonts w:ascii="Arial" w:hAnsi="Arial" w:cs="Arial"/>
        </w:rPr>
        <w:t xml:space="preserve"> the overall </w:t>
      </w:r>
      <w:r w:rsidR="00296E6E" w:rsidRPr="00385C4B">
        <w:rPr>
          <w:rFonts w:ascii="Arial" w:hAnsi="Arial" w:cs="Arial"/>
        </w:rPr>
        <w:t>significance</w:t>
      </w:r>
      <w:r w:rsidRPr="00385C4B">
        <w:rPr>
          <w:rFonts w:ascii="Arial" w:hAnsi="Arial" w:cs="Arial"/>
        </w:rPr>
        <w:t xml:space="preserve"> in </w:t>
      </w:r>
      <w:r w:rsidR="00296E6E" w:rsidRPr="00385C4B">
        <w:rPr>
          <w:rFonts w:ascii="Arial" w:hAnsi="Arial" w:cs="Arial"/>
        </w:rPr>
        <w:t>place</w:t>
      </w:r>
      <w:sdt>
        <w:sdtPr>
          <w:rPr>
            <w:rFonts w:ascii="Arial" w:hAnsi="Arial" w:cs="Arial"/>
          </w:rPr>
          <w:id w:val="-47072828"/>
          <w:citation/>
        </w:sdtPr>
        <w:sdtEndPr/>
        <w:sdtContent>
          <w:r w:rsidR="00C1233F" w:rsidRPr="00385C4B">
            <w:rPr>
              <w:rFonts w:ascii="Arial" w:hAnsi="Arial" w:cs="Arial"/>
            </w:rPr>
            <w:fldChar w:fldCharType="begin"/>
          </w:r>
          <w:r w:rsidR="00C1233F" w:rsidRPr="00385C4B">
            <w:rPr>
              <w:rFonts w:ascii="Arial" w:hAnsi="Arial" w:cs="Arial"/>
              <w:lang w:val="en-US"/>
            </w:rPr>
            <w:instrText xml:space="preserve"> CITATION The225 \l 1033 </w:instrText>
          </w:r>
          <w:r w:rsidR="00C1233F" w:rsidRPr="00385C4B">
            <w:rPr>
              <w:rFonts w:ascii="Arial" w:hAnsi="Arial" w:cs="Arial"/>
            </w:rPr>
            <w:fldChar w:fldCharType="separate"/>
          </w:r>
          <w:r w:rsidR="004341D0" w:rsidRPr="00385C4B">
            <w:rPr>
              <w:rFonts w:ascii="Arial" w:hAnsi="Arial" w:cs="Arial"/>
              <w:noProof/>
              <w:lang w:val="en-US"/>
            </w:rPr>
            <w:t xml:space="preserve"> (The Guardian, 2022)</w:t>
          </w:r>
          <w:r w:rsidR="00C1233F" w:rsidRPr="00385C4B">
            <w:rPr>
              <w:rFonts w:ascii="Arial" w:hAnsi="Arial" w:cs="Arial"/>
            </w:rPr>
            <w:fldChar w:fldCharType="end"/>
          </w:r>
        </w:sdtContent>
      </w:sdt>
      <w:r w:rsidRPr="00385C4B">
        <w:rPr>
          <w:rFonts w:ascii="Arial" w:hAnsi="Arial" w:cs="Arial"/>
        </w:rPr>
        <w:t>. In the case of the BAME communities as well, the improved lifestyle has impacted their overall capacity</w:t>
      </w:r>
      <w:r w:rsidR="00D56076" w:rsidRPr="00385C4B">
        <w:rPr>
          <w:rFonts w:ascii="Arial" w:hAnsi="Arial" w:cs="Arial"/>
        </w:rPr>
        <w:t>,</w:t>
      </w:r>
      <w:r w:rsidRPr="00385C4B">
        <w:rPr>
          <w:rFonts w:ascii="Arial" w:hAnsi="Arial" w:cs="Arial"/>
        </w:rPr>
        <w:t xml:space="preserve"> and lack of humiliation has resulted in mental peace</w:t>
      </w:r>
      <w:r w:rsidR="00D56076" w:rsidRPr="00385C4B">
        <w:rPr>
          <w:rFonts w:ascii="Arial" w:hAnsi="Arial" w:cs="Arial"/>
        </w:rPr>
        <w:t>,</w:t>
      </w:r>
      <w:r w:rsidRPr="00385C4B">
        <w:rPr>
          <w:rFonts w:ascii="Arial" w:hAnsi="Arial" w:cs="Arial"/>
        </w:rPr>
        <w:t xml:space="preserve"> thus resulting in the overall effective outputs. </w:t>
      </w:r>
    </w:p>
    <w:p w14:paraId="1AB44005" w14:textId="77777777" w:rsidR="002C5670" w:rsidRPr="00385C4B" w:rsidRDefault="00FD402E" w:rsidP="00385C4B">
      <w:pPr>
        <w:pStyle w:val="Heading2"/>
        <w:jc w:val="center"/>
        <w:rPr>
          <w:rFonts w:ascii="Arial" w:hAnsi="Arial" w:cs="Arial"/>
          <w:b/>
          <w:bCs/>
          <w:color w:val="auto"/>
        </w:rPr>
      </w:pPr>
      <w:bookmarkStart w:id="3" w:name="_Toc111746283"/>
      <w:r w:rsidRPr="00385C4B">
        <w:rPr>
          <w:rFonts w:ascii="Arial" w:hAnsi="Arial" w:cs="Arial"/>
          <w:b/>
          <w:bCs/>
          <w:color w:val="auto"/>
        </w:rPr>
        <w:lastRenderedPageBreak/>
        <w:t>Exploration o</w:t>
      </w:r>
      <w:r w:rsidR="00211FD5" w:rsidRPr="00385C4B">
        <w:rPr>
          <w:rFonts w:ascii="Arial" w:hAnsi="Arial" w:cs="Arial"/>
          <w:b/>
          <w:bCs/>
          <w:color w:val="auto"/>
        </w:rPr>
        <w:t>f issues faced by the community</w:t>
      </w:r>
      <w:bookmarkEnd w:id="3"/>
    </w:p>
    <w:p w14:paraId="1008C787" w14:textId="77777777" w:rsidR="003526B6" w:rsidRPr="00385C4B" w:rsidRDefault="007561ED" w:rsidP="003526B6">
      <w:pPr>
        <w:rPr>
          <w:rFonts w:ascii="Arial" w:hAnsi="Arial" w:cs="Arial"/>
        </w:rPr>
      </w:pPr>
      <w:r w:rsidRPr="00385C4B">
        <w:rPr>
          <w:rFonts w:ascii="Arial" w:hAnsi="Arial" w:cs="Arial"/>
        </w:rPr>
        <w:t>Community engagement is defined as the steps taken by the organisations in place to encourage, engage, and improve relationships with the said communities across the country or region. In this aspect, the National Institute for Health and Care Excellence (NICE) has designed the stakeholder map for increased engagement</w:t>
      </w:r>
      <w:r w:rsidR="00601CE2" w:rsidRPr="00385C4B">
        <w:rPr>
          <w:rFonts w:ascii="Arial" w:hAnsi="Arial" w:cs="Arial"/>
        </w:rPr>
        <w:t xml:space="preserve"> within the communities by taking supportive actions in place. The main issue identified during the process of the stakeholder mapping is the lack of healthcare facilities</w:t>
      </w:r>
      <w:r w:rsidR="00D56076" w:rsidRPr="00385C4B">
        <w:rPr>
          <w:rFonts w:ascii="Arial" w:hAnsi="Arial" w:cs="Arial"/>
        </w:rPr>
        <w:t>,</w:t>
      </w:r>
      <w:r w:rsidR="00601CE2" w:rsidRPr="00385C4B">
        <w:rPr>
          <w:rFonts w:ascii="Arial" w:hAnsi="Arial" w:cs="Arial"/>
        </w:rPr>
        <w:t xml:space="preserve"> and even unequal delivery of healthcare needs to the individuals. In this case</w:t>
      </w:r>
      <w:r w:rsidR="00D56076" w:rsidRPr="00385C4B">
        <w:rPr>
          <w:rFonts w:ascii="Arial" w:hAnsi="Arial" w:cs="Arial"/>
        </w:rPr>
        <w:t>,</w:t>
      </w:r>
      <w:r w:rsidR="00601CE2" w:rsidRPr="00385C4B">
        <w:rPr>
          <w:rFonts w:ascii="Arial" w:hAnsi="Arial" w:cs="Arial"/>
        </w:rPr>
        <w:t xml:space="preserve"> </w:t>
      </w:r>
      <w:r w:rsidR="007A7E38" w:rsidRPr="00385C4B">
        <w:rPr>
          <w:rFonts w:ascii="Arial" w:hAnsi="Arial" w:cs="Arial"/>
          <w:noProof/>
          <w:lang w:val="en-US"/>
        </w:rPr>
        <w:t xml:space="preserve">Bi </w:t>
      </w:r>
      <w:r w:rsidR="00247A5C" w:rsidRPr="00385C4B">
        <w:rPr>
          <w:rFonts w:ascii="Arial" w:hAnsi="Arial" w:cs="Arial"/>
          <w:noProof/>
          <w:lang w:val="en-US"/>
        </w:rPr>
        <w:t>and</w:t>
      </w:r>
      <w:r w:rsidR="007A7E38" w:rsidRPr="00385C4B">
        <w:rPr>
          <w:rFonts w:ascii="Arial" w:hAnsi="Arial" w:cs="Arial"/>
          <w:noProof/>
          <w:lang w:val="en-US"/>
        </w:rPr>
        <w:t xml:space="preserve"> Zhang (2018)</w:t>
      </w:r>
      <w:r w:rsidR="007A7E38" w:rsidRPr="00385C4B">
        <w:rPr>
          <w:rFonts w:ascii="Arial" w:hAnsi="Arial" w:cs="Arial"/>
        </w:rPr>
        <w:t xml:space="preserve"> </w:t>
      </w:r>
      <w:r w:rsidR="00601CE2" w:rsidRPr="00385C4B">
        <w:rPr>
          <w:rFonts w:ascii="Arial" w:hAnsi="Arial" w:cs="Arial"/>
        </w:rPr>
        <w:t>ha</w:t>
      </w:r>
      <w:r w:rsidR="00D56076" w:rsidRPr="00385C4B">
        <w:rPr>
          <w:rFonts w:ascii="Arial" w:hAnsi="Arial" w:cs="Arial"/>
        </w:rPr>
        <w:t>ve</w:t>
      </w:r>
      <w:r w:rsidR="00601CE2" w:rsidRPr="00385C4B">
        <w:rPr>
          <w:rFonts w:ascii="Arial" w:hAnsi="Arial" w:cs="Arial"/>
        </w:rPr>
        <w:t xml:space="preserve"> stated that the BAME groups have currently outlined the overall standards of efforts in place for the improvement of the position of the individuals and taken actions </w:t>
      </w:r>
      <w:r w:rsidR="00D56076" w:rsidRPr="00385C4B">
        <w:rPr>
          <w:rFonts w:ascii="Arial" w:hAnsi="Arial" w:cs="Arial"/>
        </w:rPr>
        <w:t>to solve</w:t>
      </w:r>
      <w:r w:rsidR="00601CE2" w:rsidRPr="00385C4B">
        <w:rPr>
          <w:rFonts w:ascii="Arial" w:hAnsi="Arial" w:cs="Arial"/>
        </w:rPr>
        <w:t xml:space="preserve"> the issue </w:t>
      </w:r>
      <w:r w:rsidR="00D56076" w:rsidRPr="00385C4B">
        <w:rPr>
          <w:rFonts w:ascii="Arial" w:hAnsi="Arial" w:cs="Arial"/>
        </w:rPr>
        <w:t>of</w:t>
      </w:r>
      <w:r w:rsidR="00601CE2" w:rsidRPr="00385C4B">
        <w:rPr>
          <w:rFonts w:ascii="Arial" w:hAnsi="Arial" w:cs="Arial"/>
        </w:rPr>
        <w:t xml:space="preserve"> unequal health care delivery. Under this purview, </w:t>
      </w:r>
      <w:r w:rsidR="007A7E38" w:rsidRPr="00385C4B">
        <w:rPr>
          <w:rFonts w:ascii="Arial" w:hAnsi="Arial" w:cs="Arial"/>
          <w:noProof/>
          <w:lang w:val="en-US"/>
        </w:rPr>
        <w:t>Crowl (2017)</w:t>
      </w:r>
      <w:r w:rsidR="00D56076" w:rsidRPr="00385C4B">
        <w:rPr>
          <w:rFonts w:ascii="Arial" w:hAnsi="Arial" w:cs="Arial"/>
          <w:noProof/>
          <w:lang w:val="en-US"/>
        </w:rPr>
        <w:t>,</w:t>
      </w:r>
      <w:r w:rsidR="007A7E38" w:rsidRPr="00385C4B">
        <w:rPr>
          <w:rFonts w:ascii="Arial" w:hAnsi="Arial" w:cs="Arial"/>
        </w:rPr>
        <w:t xml:space="preserve"> </w:t>
      </w:r>
      <w:r w:rsidR="00601CE2" w:rsidRPr="00385C4B">
        <w:rPr>
          <w:rFonts w:ascii="Arial" w:hAnsi="Arial" w:cs="Arial"/>
        </w:rPr>
        <w:t xml:space="preserve">in support </w:t>
      </w:r>
      <w:r w:rsidR="00D56076" w:rsidRPr="00385C4B">
        <w:rPr>
          <w:rFonts w:ascii="Arial" w:hAnsi="Arial" w:cs="Arial"/>
        </w:rPr>
        <w:t>of</w:t>
      </w:r>
      <w:r w:rsidR="00601CE2" w:rsidRPr="00385C4B">
        <w:rPr>
          <w:rFonts w:ascii="Arial" w:hAnsi="Arial" w:cs="Arial"/>
        </w:rPr>
        <w:t xml:space="preserve"> this claim</w:t>
      </w:r>
      <w:r w:rsidR="00D56076" w:rsidRPr="00385C4B">
        <w:rPr>
          <w:rFonts w:ascii="Arial" w:hAnsi="Arial" w:cs="Arial"/>
        </w:rPr>
        <w:t>,</w:t>
      </w:r>
      <w:r w:rsidR="00601CE2" w:rsidRPr="00385C4B">
        <w:rPr>
          <w:rFonts w:ascii="Arial" w:hAnsi="Arial" w:cs="Arial"/>
        </w:rPr>
        <w:t xml:space="preserve"> has denoted effectively that the improved outcomes are in place for the overall improved situation in place. The higher level of healthcare services being delivered has been impactful for the conditioning for the effective positioning. </w:t>
      </w:r>
    </w:p>
    <w:p w14:paraId="3BDB3300" w14:textId="77777777" w:rsidR="0021271D" w:rsidRPr="00385C4B" w:rsidRDefault="00337F1C" w:rsidP="003526B6">
      <w:pPr>
        <w:rPr>
          <w:rFonts w:ascii="Arial" w:hAnsi="Arial" w:cs="Arial"/>
        </w:rPr>
      </w:pPr>
      <w:r w:rsidRPr="00385C4B">
        <w:rPr>
          <w:rFonts w:ascii="Arial" w:hAnsi="Arial" w:cs="Arial"/>
        </w:rPr>
        <w:t>The health conditions of the BAME population</w:t>
      </w:r>
      <w:r w:rsidR="00D56076" w:rsidRPr="00385C4B">
        <w:rPr>
          <w:rFonts w:ascii="Arial" w:hAnsi="Arial" w:cs="Arial"/>
        </w:rPr>
        <w:t>,</w:t>
      </w:r>
      <w:r w:rsidRPr="00385C4B">
        <w:rPr>
          <w:rFonts w:ascii="Arial" w:hAnsi="Arial" w:cs="Arial"/>
        </w:rPr>
        <w:t xml:space="preserve"> as per </w:t>
      </w:r>
      <w:r w:rsidR="007A7E38" w:rsidRPr="00385C4B">
        <w:rPr>
          <w:rFonts w:ascii="Arial" w:hAnsi="Arial" w:cs="Arial"/>
          <w:noProof/>
          <w:lang w:val="en-US"/>
        </w:rPr>
        <w:t xml:space="preserve">Demirkol </w:t>
      </w:r>
      <w:r w:rsidR="00247A5C" w:rsidRPr="00385C4B">
        <w:rPr>
          <w:rFonts w:ascii="Arial" w:hAnsi="Arial" w:cs="Arial"/>
          <w:noProof/>
          <w:lang w:val="en-US"/>
        </w:rPr>
        <w:t>and</w:t>
      </w:r>
      <w:r w:rsidR="007A7E38" w:rsidRPr="00385C4B">
        <w:rPr>
          <w:rFonts w:ascii="Arial" w:hAnsi="Arial" w:cs="Arial"/>
          <w:noProof/>
          <w:lang w:val="en-US"/>
        </w:rPr>
        <w:t xml:space="preserve"> Nalla (2017)</w:t>
      </w:r>
      <w:r w:rsidR="00D56076" w:rsidRPr="00385C4B">
        <w:rPr>
          <w:rFonts w:ascii="Arial" w:hAnsi="Arial" w:cs="Arial"/>
          <w:noProof/>
          <w:lang w:val="en-US"/>
        </w:rPr>
        <w:t>,</w:t>
      </w:r>
      <w:r w:rsidR="007A7E38" w:rsidRPr="00385C4B">
        <w:rPr>
          <w:rFonts w:ascii="Arial" w:hAnsi="Arial" w:cs="Arial"/>
        </w:rPr>
        <w:t xml:space="preserve"> </w:t>
      </w:r>
      <w:r w:rsidRPr="00385C4B">
        <w:rPr>
          <w:rFonts w:ascii="Arial" w:hAnsi="Arial" w:cs="Arial"/>
        </w:rPr>
        <w:t>ha</w:t>
      </w:r>
      <w:r w:rsidR="00D56076" w:rsidRPr="00385C4B">
        <w:rPr>
          <w:rFonts w:ascii="Arial" w:hAnsi="Arial" w:cs="Arial"/>
        </w:rPr>
        <w:t>ve</w:t>
      </w:r>
      <w:r w:rsidRPr="00385C4B">
        <w:rPr>
          <w:rFonts w:ascii="Arial" w:hAnsi="Arial" w:cs="Arial"/>
        </w:rPr>
        <w:t xml:space="preserve"> been mainly impacted due to the </w:t>
      </w:r>
      <w:r w:rsidR="00803B30" w:rsidRPr="00385C4B">
        <w:rPr>
          <w:rFonts w:ascii="Arial" w:hAnsi="Arial" w:cs="Arial"/>
        </w:rPr>
        <w:t xml:space="preserve">lack of strategic focus by the government bodies in place for the effective delivery </w:t>
      </w:r>
      <w:r w:rsidR="00D56076" w:rsidRPr="00385C4B">
        <w:rPr>
          <w:rFonts w:ascii="Arial" w:hAnsi="Arial" w:cs="Arial"/>
        </w:rPr>
        <w:t>of</w:t>
      </w:r>
      <w:r w:rsidR="00803B30" w:rsidRPr="00385C4B">
        <w:rPr>
          <w:rFonts w:ascii="Arial" w:hAnsi="Arial" w:cs="Arial"/>
        </w:rPr>
        <w:t xml:space="preserve"> the outcomes. In this aspect, the overall</w:t>
      </w:r>
      <w:r w:rsidR="002171A5" w:rsidRPr="00385C4B">
        <w:rPr>
          <w:rFonts w:ascii="Arial" w:hAnsi="Arial" w:cs="Arial"/>
        </w:rPr>
        <w:t xml:space="preserve"> focus is laid on the perspectives of discrimination and exclusion</w:t>
      </w:r>
      <w:r w:rsidR="00D56076" w:rsidRPr="00385C4B">
        <w:rPr>
          <w:rFonts w:ascii="Arial" w:hAnsi="Arial" w:cs="Arial"/>
        </w:rPr>
        <w:t>,</w:t>
      </w:r>
      <w:r w:rsidR="002171A5" w:rsidRPr="00385C4B">
        <w:rPr>
          <w:rFonts w:ascii="Arial" w:hAnsi="Arial" w:cs="Arial"/>
        </w:rPr>
        <w:t xml:space="preserve"> which ha</w:t>
      </w:r>
      <w:r w:rsidR="00D56076" w:rsidRPr="00385C4B">
        <w:rPr>
          <w:rFonts w:ascii="Arial" w:hAnsi="Arial" w:cs="Arial"/>
        </w:rPr>
        <w:t>ve</w:t>
      </w:r>
      <w:r w:rsidR="002171A5" w:rsidRPr="00385C4B">
        <w:rPr>
          <w:rFonts w:ascii="Arial" w:hAnsi="Arial" w:cs="Arial"/>
        </w:rPr>
        <w:t xml:space="preserve"> been impacted heavily due to the health outcomes. As per </w:t>
      </w:r>
      <w:r w:rsidR="007A7E38" w:rsidRPr="00385C4B">
        <w:rPr>
          <w:rFonts w:ascii="Arial" w:hAnsi="Arial" w:cs="Arial"/>
          <w:noProof/>
          <w:lang w:val="en-US"/>
        </w:rPr>
        <w:t>Falender et al. (2014)</w:t>
      </w:r>
      <w:r w:rsidR="002171A5" w:rsidRPr="00385C4B">
        <w:rPr>
          <w:rFonts w:ascii="Arial" w:hAnsi="Arial" w:cs="Arial"/>
        </w:rPr>
        <w:t xml:space="preserve">, the main focus is laid on the discriminatory services and </w:t>
      </w:r>
      <w:r w:rsidR="00D56076" w:rsidRPr="00385C4B">
        <w:rPr>
          <w:rFonts w:ascii="Arial" w:hAnsi="Arial" w:cs="Arial"/>
        </w:rPr>
        <w:t xml:space="preserve">the </w:t>
      </w:r>
      <w:r w:rsidR="002171A5" w:rsidRPr="00385C4B">
        <w:rPr>
          <w:rFonts w:ascii="Arial" w:hAnsi="Arial" w:cs="Arial"/>
        </w:rPr>
        <w:t xml:space="preserve">stakeholders identified are </w:t>
      </w:r>
      <w:r w:rsidR="00F3194E" w:rsidRPr="00385C4B">
        <w:rPr>
          <w:rFonts w:ascii="Arial" w:hAnsi="Arial" w:cs="Arial"/>
        </w:rPr>
        <w:t>mainly</w:t>
      </w:r>
      <w:r w:rsidR="002171A5" w:rsidRPr="00385C4B">
        <w:rPr>
          <w:rFonts w:ascii="Arial" w:hAnsi="Arial" w:cs="Arial"/>
        </w:rPr>
        <w:t xml:space="preserve"> the </w:t>
      </w:r>
      <w:r w:rsidR="006E13FE" w:rsidRPr="00385C4B">
        <w:rPr>
          <w:rFonts w:ascii="Arial" w:hAnsi="Arial" w:cs="Arial"/>
        </w:rPr>
        <w:t xml:space="preserve">people from the BAME community, who are heavily impacted due to the issues of unequal healthcare delivery. According </w:t>
      </w:r>
      <w:r w:rsidR="00186754" w:rsidRPr="00385C4B">
        <w:rPr>
          <w:rFonts w:ascii="Arial" w:hAnsi="Arial" w:cs="Arial"/>
        </w:rPr>
        <w:t xml:space="preserve">to </w:t>
      </w:r>
      <w:r w:rsidR="007A7E38" w:rsidRPr="00385C4B">
        <w:rPr>
          <w:rFonts w:ascii="Arial" w:hAnsi="Arial" w:cs="Arial"/>
          <w:noProof/>
          <w:lang w:val="en-US"/>
        </w:rPr>
        <w:t>Grytten (2017)</w:t>
      </w:r>
      <w:r w:rsidR="00186754" w:rsidRPr="00385C4B">
        <w:rPr>
          <w:rFonts w:ascii="Arial" w:hAnsi="Arial" w:cs="Arial"/>
        </w:rPr>
        <w:t xml:space="preserve">, the overall significance </w:t>
      </w:r>
      <w:r w:rsidR="00D8637B" w:rsidRPr="00385C4B">
        <w:rPr>
          <w:rFonts w:ascii="Arial" w:hAnsi="Arial" w:cs="Arial"/>
        </w:rPr>
        <w:t xml:space="preserve">is related to the abolition of the issues in relation to </w:t>
      </w:r>
      <w:r w:rsidR="00B739C1" w:rsidRPr="00385C4B">
        <w:rPr>
          <w:rFonts w:ascii="Arial" w:hAnsi="Arial" w:cs="Arial"/>
        </w:rPr>
        <w:t>discrimination</w:t>
      </w:r>
      <w:r w:rsidR="00D8637B" w:rsidRPr="00385C4B">
        <w:rPr>
          <w:rFonts w:ascii="Arial" w:hAnsi="Arial" w:cs="Arial"/>
        </w:rPr>
        <w:t xml:space="preserve"> and </w:t>
      </w:r>
      <w:r w:rsidR="0008437A" w:rsidRPr="00385C4B">
        <w:rPr>
          <w:rFonts w:ascii="Arial" w:hAnsi="Arial" w:cs="Arial"/>
        </w:rPr>
        <w:t xml:space="preserve">exclusion. </w:t>
      </w:r>
      <w:r w:rsidR="004F59C6" w:rsidRPr="00385C4B">
        <w:rPr>
          <w:rFonts w:ascii="Arial" w:hAnsi="Arial" w:cs="Arial"/>
        </w:rPr>
        <w:t>The process of social exclusivity i</w:t>
      </w:r>
      <w:r w:rsidR="00D56076" w:rsidRPr="00385C4B">
        <w:rPr>
          <w:rFonts w:ascii="Arial" w:hAnsi="Arial" w:cs="Arial"/>
        </w:rPr>
        <w:t>s</w:t>
      </w:r>
      <w:r w:rsidR="004F59C6" w:rsidRPr="00385C4B">
        <w:rPr>
          <w:rFonts w:ascii="Arial" w:hAnsi="Arial" w:cs="Arial"/>
        </w:rPr>
        <w:t xml:space="preserve"> often practised in the mechanism for delivery of outputs aligned with the </w:t>
      </w:r>
      <w:r w:rsidR="00290930" w:rsidRPr="00385C4B">
        <w:rPr>
          <w:rFonts w:ascii="Arial" w:hAnsi="Arial" w:cs="Arial"/>
        </w:rPr>
        <w:t>medical services</w:t>
      </w:r>
      <w:r w:rsidR="00D56076" w:rsidRPr="00385C4B">
        <w:rPr>
          <w:rFonts w:ascii="Arial" w:hAnsi="Arial" w:cs="Arial"/>
        </w:rPr>
        <w:t>,</w:t>
      </w:r>
      <w:r w:rsidR="00290930" w:rsidRPr="00385C4B">
        <w:rPr>
          <w:rFonts w:ascii="Arial" w:hAnsi="Arial" w:cs="Arial"/>
        </w:rPr>
        <w:t xml:space="preserve"> and this is identified as one of the main issues for the BAME community. </w:t>
      </w:r>
    </w:p>
    <w:p w14:paraId="6340603D" w14:textId="77777777" w:rsidR="00D35868" w:rsidRPr="00385C4B" w:rsidRDefault="00D35868" w:rsidP="003526B6">
      <w:pPr>
        <w:rPr>
          <w:rFonts w:ascii="Arial" w:hAnsi="Arial" w:cs="Arial"/>
        </w:rPr>
      </w:pPr>
      <w:r w:rsidRPr="00385C4B">
        <w:rPr>
          <w:rFonts w:ascii="Arial" w:hAnsi="Arial" w:cs="Arial"/>
        </w:rPr>
        <w:t xml:space="preserve">The second major issue for the BAME communities </w:t>
      </w:r>
      <w:r w:rsidR="00D56076" w:rsidRPr="00385C4B">
        <w:rPr>
          <w:rFonts w:ascii="Arial" w:hAnsi="Arial" w:cs="Arial"/>
        </w:rPr>
        <w:t>is</w:t>
      </w:r>
      <w:r w:rsidRPr="00385C4B">
        <w:rPr>
          <w:rFonts w:ascii="Arial" w:hAnsi="Arial" w:cs="Arial"/>
        </w:rPr>
        <w:t xml:space="preserve"> economic exclusion</w:t>
      </w:r>
      <w:r w:rsidR="00D56076" w:rsidRPr="00385C4B">
        <w:rPr>
          <w:rFonts w:ascii="Arial" w:hAnsi="Arial" w:cs="Arial"/>
        </w:rPr>
        <w:t>,</w:t>
      </w:r>
      <w:r w:rsidRPr="00385C4B">
        <w:rPr>
          <w:rFonts w:ascii="Arial" w:hAnsi="Arial" w:cs="Arial"/>
        </w:rPr>
        <w:t xml:space="preserve"> </w:t>
      </w:r>
      <w:r w:rsidR="00D56076" w:rsidRPr="00385C4B">
        <w:rPr>
          <w:rFonts w:ascii="Arial" w:hAnsi="Arial" w:cs="Arial"/>
        </w:rPr>
        <w:t>which</w:t>
      </w:r>
      <w:r w:rsidRPr="00385C4B">
        <w:rPr>
          <w:rFonts w:ascii="Arial" w:hAnsi="Arial" w:cs="Arial"/>
        </w:rPr>
        <w:t xml:space="preserve"> lead</w:t>
      </w:r>
      <w:r w:rsidR="00D56076" w:rsidRPr="00385C4B">
        <w:rPr>
          <w:rFonts w:ascii="Arial" w:hAnsi="Arial" w:cs="Arial"/>
        </w:rPr>
        <w:t>s</w:t>
      </w:r>
      <w:r w:rsidRPr="00385C4B">
        <w:rPr>
          <w:rFonts w:ascii="Arial" w:hAnsi="Arial" w:cs="Arial"/>
        </w:rPr>
        <w:t xml:space="preserve"> to outcomes </w:t>
      </w:r>
      <w:r w:rsidR="00D56076" w:rsidRPr="00385C4B">
        <w:rPr>
          <w:rFonts w:ascii="Arial" w:hAnsi="Arial" w:cs="Arial"/>
        </w:rPr>
        <w:t>of</w:t>
      </w:r>
      <w:r w:rsidRPr="00385C4B">
        <w:rPr>
          <w:rFonts w:ascii="Arial" w:hAnsi="Arial" w:cs="Arial"/>
        </w:rPr>
        <w:t xml:space="preserve"> poverty. In this process, the overall outputs are based on the mechanism for the outputs in rela</w:t>
      </w:r>
      <w:r w:rsidR="000A7601" w:rsidRPr="00385C4B">
        <w:rPr>
          <w:rFonts w:ascii="Arial" w:hAnsi="Arial" w:cs="Arial"/>
        </w:rPr>
        <w:t xml:space="preserve">tion to the situational factors, </w:t>
      </w:r>
      <w:r w:rsidR="005E29F0" w:rsidRPr="00385C4B">
        <w:rPr>
          <w:rFonts w:ascii="Arial" w:hAnsi="Arial" w:cs="Arial"/>
        </w:rPr>
        <w:t>which has shown th</w:t>
      </w:r>
      <w:r w:rsidR="00D56076" w:rsidRPr="00385C4B">
        <w:rPr>
          <w:rFonts w:ascii="Arial" w:hAnsi="Arial" w:cs="Arial"/>
        </w:rPr>
        <w:t>at</w:t>
      </w:r>
      <w:r w:rsidR="005E29F0" w:rsidRPr="00385C4B">
        <w:rPr>
          <w:rFonts w:ascii="Arial" w:hAnsi="Arial" w:cs="Arial"/>
        </w:rPr>
        <w:t xml:space="preserve"> poverty among the BAME community has increased substantially. In this case, the overall implications have been laid with the perspective </w:t>
      </w:r>
      <w:r w:rsidR="00D56076" w:rsidRPr="00385C4B">
        <w:rPr>
          <w:rFonts w:ascii="Arial" w:hAnsi="Arial" w:cs="Arial"/>
        </w:rPr>
        <w:t>of</w:t>
      </w:r>
      <w:r w:rsidR="005E29F0" w:rsidRPr="00385C4B">
        <w:rPr>
          <w:rFonts w:ascii="Arial" w:hAnsi="Arial" w:cs="Arial"/>
        </w:rPr>
        <w:t xml:space="preserve"> the reduced intervention from the </w:t>
      </w:r>
      <w:r w:rsidR="00D56076" w:rsidRPr="00385C4B">
        <w:rPr>
          <w:rFonts w:ascii="Arial" w:hAnsi="Arial" w:cs="Arial"/>
        </w:rPr>
        <w:t>G</w:t>
      </w:r>
      <w:r w:rsidR="005E29F0" w:rsidRPr="00385C4B">
        <w:rPr>
          <w:rFonts w:ascii="Arial" w:hAnsi="Arial" w:cs="Arial"/>
        </w:rPr>
        <w:t xml:space="preserve">overnment for </w:t>
      </w:r>
      <w:r w:rsidR="00D56076" w:rsidRPr="00385C4B">
        <w:rPr>
          <w:rFonts w:ascii="Arial" w:hAnsi="Arial" w:cs="Arial"/>
        </w:rPr>
        <w:t xml:space="preserve">the </w:t>
      </w:r>
      <w:r w:rsidR="005E29F0" w:rsidRPr="00385C4B">
        <w:rPr>
          <w:rFonts w:ascii="Arial" w:hAnsi="Arial" w:cs="Arial"/>
        </w:rPr>
        <w:t xml:space="preserve">maintenance of the </w:t>
      </w:r>
      <w:r w:rsidR="006A6992" w:rsidRPr="00385C4B">
        <w:rPr>
          <w:rFonts w:ascii="Arial" w:hAnsi="Arial" w:cs="Arial"/>
        </w:rPr>
        <w:t>equality in payments scheme</w:t>
      </w:r>
      <w:sdt>
        <w:sdtPr>
          <w:rPr>
            <w:rFonts w:ascii="Arial" w:hAnsi="Arial" w:cs="Arial"/>
          </w:rPr>
          <w:id w:val="-1120605638"/>
          <w:citation/>
        </w:sdtPr>
        <w:sdtEndPr/>
        <w:sdtContent>
          <w:r w:rsidR="00F668B3" w:rsidRPr="00385C4B">
            <w:rPr>
              <w:rFonts w:ascii="Arial" w:hAnsi="Arial" w:cs="Arial"/>
            </w:rPr>
            <w:fldChar w:fldCharType="begin"/>
          </w:r>
          <w:r w:rsidR="00F668B3" w:rsidRPr="00385C4B">
            <w:rPr>
              <w:rFonts w:ascii="Arial" w:hAnsi="Arial" w:cs="Arial"/>
              <w:lang w:val="en-US"/>
            </w:rPr>
            <w:instrText xml:space="preserve"> CITATION Mur201 \l 1033 </w:instrText>
          </w:r>
          <w:r w:rsidR="00F668B3" w:rsidRPr="00385C4B">
            <w:rPr>
              <w:rFonts w:ascii="Arial" w:hAnsi="Arial" w:cs="Arial"/>
            </w:rPr>
            <w:fldChar w:fldCharType="separate"/>
          </w:r>
          <w:r w:rsidR="004341D0" w:rsidRPr="00385C4B">
            <w:rPr>
              <w:rFonts w:ascii="Arial" w:hAnsi="Arial" w:cs="Arial"/>
              <w:noProof/>
              <w:lang w:val="en-US"/>
            </w:rPr>
            <w:t xml:space="preserve"> </w:t>
          </w:r>
          <w:r w:rsidR="004341D0" w:rsidRPr="00385C4B">
            <w:rPr>
              <w:rFonts w:ascii="Arial" w:hAnsi="Arial" w:cs="Arial"/>
              <w:noProof/>
              <w:lang w:val="en-US"/>
            </w:rPr>
            <w:lastRenderedPageBreak/>
            <w:t>(Murray, 2020)</w:t>
          </w:r>
          <w:r w:rsidR="00F668B3" w:rsidRPr="00385C4B">
            <w:rPr>
              <w:rFonts w:ascii="Arial" w:hAnsi="Arial" w:cs="Arial"/>
            </w:rPr>
            <w:fldChar w:fldCharType="end"/>
          </w:r>
        </w:sdtContent>
      </w:sdt>
      <w:r w:rsidR="006A6992" w:rsidRPr="00385C4B">
        <w:rPr>
          <w:rFonts w:ascii="Arial" w:hAnsi="Arial" w:cs="Arial"/>
        </w:rPr>
        <w:t xml:space="preserve">. </w:t>
      </w:r>
      <w:r w:rsidR="0065212D" w:rsidRPr="00385C4B">
        <w:rPr>
          <w:rFonts w:ascii="Arial" w:hAnsi="Arial" w:cs="Arial"/>
        </w:rPr>
        <w:t xml:space="preserve">Reference has shown that more than 19% of the BAME members are </w:t>
      </w:r>
      <w:r w:rsidR="00FD1D10" w:rsidRPr="00385C4B">
        <w:rPr>
          <w:rFonts w:ascii="Arial" w:hAnsi="Arial" w:cs="Arial"/>
        </w:rPr>
        <w:t>currently suffering from poverty in the UK. In this context, the overall significance is laid out from the perspective</w:t>
      </w:r>
      <w:r w:rsidR="00E05DF3" w:rsidRPr="00385C4B">
        <w:rPr>
          <w:rFonts w:ascii="Arial" w:hAnsi="Arial" w:cs="Arial"/>
        </w:rPr>
        <w:t xml:space="preserve">s under the overall impact due to the implications </w:t>
      </w:r>
      <w:r w:rsidR="00B01BE9" w:rsidRPr="00385C4B">
        <w:rPr>
          <w:rFonts w:ascii="Arial" w:hAnsi="Arial" w:cs="Arial"/>
        </w:rPr>
        <w:t>of the output in policy decisions</w:t>
      </w:r>
      <w:sdt>
        <w:sdtPr>
          <w:rPr>
            <w:rFonts w:ascii="Arial" w:hAnsi="Arial" w:cs="Arial"/>
          </w:rPr>
          <w:id w:val="-200176796"/>
          <w:citation/>
        </w:sdtPr>
        <w:sdtEndPr/>
        <w:sdtContent>
          <w:r w:rsidR="007A7E38" w:rsidRPr="00385C4B">
            <w:rPr>
              <w:rFonts w:ascii="Arial" w:hAnsi="Arial" w:cs="Arial"/>
            </w:rPr>
            <w:fldChar w:fldCharType="begin"/>
          </w:r>
          <w:r w:rsidR="007A7E38" w:rsidRPr="00385C4B">
            <w:rPr>
              <w:rFonts w:ascii="Arial" w:hAnsi="Arial" w:cs="Arial"/>
              <w:lang w:val="en-US"/>
            </w:rPr>
            <w:instrText xml:space="preserve"> CITATION The226 \l 1033 </w:instrText>
          </w:r>
          <w:r w:rsidR="007A7E38" w:rsidRPr="00385C4B">
            <w:rPr>
              <w:rFonts w:ascii="Arial" w:hAnsi="Arial" w:cs="Arial"/>
            </w:rPr>
            <w:fldChar w:fldCharType="separate"/>
          </w:r>
          <w:r w:rsidR="004341D0" w:rsidRPr="00385C4B">
            <w:rPr>
              <w:rFonts w:ascii="Arial" w:hAnsi="Arial" w:cs="Arial"/>
              <w:noProof/>
              <w:lang w:val="en-US"/>
            </w:rPr>
            <w:t xml:space="preserve"> (The Guardian, 2022)</w:t>
          </w:r>
          <w:r w:rsidR="007A7E38" w:rsidRPr="00385C4B">
            <w:rPr>
              <w:rFonts w:ascii="Arial" w:hAnsi="Arial" w:cs="Arial"/>
            </w:rPr>
            <w:fldChar w:fldCharType="end"/>
          </w:r>
        </w:sdtContent>
      </w:sdt>
      <w:r w:rsidR="00B01BE9" w:rsidRPr="00385C4B">
        <w:rPr>
          <w:rFonts w:ascii="Arial" w:hAnsi="Arial" w:cs="Arial"/>
        </w:rPr>
        <w:t xml:space="preserve">. In addition to this, the impacts are laid out on the </w:t>
      </w:r>
      <w:r w:rsidR="00187183" w:rsidRPr="00385C4B">
        <w:rPr>
          <w:rFonts w:ascii="Arial" w:hAnsi="Arial" w:cs="Arial"/>
        </w:rPr>
        <w:t xml:space="preserve">scale of outputs under the focus, which </w:t>
      </w:r>
      <w:r w:rsidR="00700BD5" w:rsidRPr="00385C4B">
        <w:rPr>
          <w:rFonts w:ascii="Arial" w:hAnsi="Arial" w:cs="Arial"/>
        </w:rPr>
        <w:t xml:space="preserve">has been seemingly focused on the outputs for the </w:t>
      </w:r>
      <w:r w:rsidR="00411D5C" w:rsidRPr="00385C4B">
        <w:rPr>
          <w:rFonts w:ascii="Arial" w:hAnsi="Arial" w:cs="Arial"/>
        </w:rPr>
        <w:t xml:space="preserve">impact on poverty. As per the latest census report of 2011, in Great Britain, around 45% of the Black Africans, 25% </w:t>
      </w:r>
      <w:r w:rsidR="00D56076" w:rsidRPr="00385C4B">
        <w:rPr>
          <w:rFonts w:ascii="Arial" w:hAnsi="Arial" w:cs="Arial"/>
        </w:rPr>
        <w:t xml:space="preserve">of </w:t>
      </w:r>
      <w:r w:rsidR="00411D5C" w:rsidRPr="00385C4B">
        <w:rPr>
          <w:rFonts w:ascii="Arial" w:hAnsi="Arial" w:cs="Arial"/>
        </w:rPr>
        <w:t xml:space="preserve">Indians, </w:t>
      </w:r>
      <w:r w:rsidR="00D56076" w:rsidRPr="00385C4B">
        <w:rPr>
          <w:rFonts w:ascii="Arial" w:hAnsi="Arial" w:cs="Arial"/>
        </w:rPr>
        <w:t xml:space="preserve">and </w:t>
      </w:r>
      <w:r w:rsidR="00411D5C" w:rsidRPr="00385C4B">
        <w:rPr>
          <w:rFonts w:ascii="Arial" w:hAnsi="Arial" w:cs="Arial"/>
        </w:rPr>
        <w:t>45% of Bangladeshis belonging to the Asian region suffer from poverty</w:t>
      </w:r>
      <w:sdt>
        <w:sdtPr>
          <w:rPr>
            <w:rFonts w:ascii="Arial" w:hAnsi="Arial" w:cs="Arial"/>
          </w:rPr>
          <w:id w:val="-827751360"/>
          <w:citation/>
        </w:sdtPr>
        <w:sdtEndPr/>
        <w:sdtContent>
          <w:r w:rsidR="00F668B3" w:rsidRPr="00385C4B">
            <w:rPr>
              <w:rFonts w:ascii="Arial" w:hAnsi="Arial" w:cs="Arial"/>
            </w:rPr>
            <w:fldChar w:fldCharType="begin"/>
          </w:r>
          <w:r w:rsidR="00F668B3" w:rsidRPr="00385C4B">
            <w:rPr>
              <w:rFonts w:ascii="Arial" w:hAnsi="Arial" w:cs="Arial"/>
              <w:lang w:val="en-US"/>
            </w:rPr>
            <w:instrText xml:space="preserve"> CITATION JRF22 \l 1033 </w:instrText>
          </w:r>
          <w:r w:rsidR="00F668B3" w:rsidRPr="00385C4B">
            <w:rPr>
              <w:rFonts w:ascii="Arial" w:hAnsi="Arial" w:cs="Arial"/>
            </w:rPr>
            <w:fldChar w:fldCharType="separate"/>
          </w:r>
          <w:r w:rsidR="004341D0" w:rsidRPr="00385C4B">
            <w:rPr>
              <w:rFonts w:ascii="Arial" w:hAnsi="Arial" w:cs="Arial"/>
              <w:noProof/>
              <w:lang w:val="en-US"/>
            </w:rPr>
            <w:t xml:space="preserve"> (JRF, 2022)</w:t>
          </w:r>
          <w:r w:rsidR="00F668B3" w:rsidRPr="00385C4B">
            <w:rPr>
              <w:rFonts w:ascii="Arial" w:hAnsi="Arial" w:cs="Arial"/>
            </w:rPr>
            <w:fldChar w:fldCharType="end"/>
          </w:r>
        </w:sdtContent>
      </w:sdt>
      <w:r w:rsidR="00411D5C" w:rsidRPr="00385C4B">
        <w:rPr>
          <w:rFonts w:ascii="Arial" w:hAnsi="Arial" w:cs="Arial"/>
        </w:rPr>
        <w:t xml:space="preserve">. From this segment, the overall implications are laid on the overall perspectives under the reduced health standards and hence impact the overall mechanism of output. This also impacts the health standards of the people, and it is outlined that the majority of the poor BAME members have poor living </w:t>
      </w:r>
      <w:r w:rsidR="00475019" w:rsidRPr="00385C4B">
        <w:rPr>
          <w:rFonts w:ascii="Arial" w:hAnsi="Arial" w:cs="Arial"/>
        </w:rPr>
        <w:t>condition</w:t>
      </w:r>
      <w:r w:rsidR="00D56076" w:rsidRPr="00385C4B">
        <w:rPr>
          <w:rFonts w:ascii="Arial" w:hAnsi="Arial" w:cs="Arial"/>
        </w:rPr>
        <w:t>s</w:t>
      </w:r>
      <w:r w:rsidR="00411D5C" w:rsidRPr="00385C4B">
        <w:rPr>
          <w:rFonts w:ascii="Arial" w:hAnsi="Arial" w:cs="Arial"/>
        </w:rPr>
        <w:t xml:space="preserve">. </w:t>
      </w:r>
      <w:r w:rsidR="00475019" w:rsidRPr="00385C4B">
        <w:rPr>
          <w:rFonts w:ascii="Arial" w:hAnsi="Arial" w:cs="Arial"/>
        </w:rPr>
        <w:t xml:space="preserve">In addition to this, the overall significance </w:t>
      </w:r>
      <w:r w:rsidR="00D56076" w:rsidRPr="00385C4B">
        <w:rPr>
          <w:rFonts w:ascii="Arial" w:hAnsi="Arial" w:cs="Arial"/>
        </w:rPr>
        <w:t>of</w:t>
      </w:r>
      <w:r w:rsidR="00880838" w:rsidRPr="00385C4B">
        <w:rPr>
          <w:rFonts w:ascii="Arial" w:hAnsi="Arial" w:cs="Arial"/>
        </w:rPr>
        <w:t xml:space="preserve"> the output is based on the mechanistic overview and hence related to the sociological conditions</w:t>
      </w:r>
      <w:r w:rsidR="00F668B3" w:rsidRPr="00385C4B">
        <w:rPr>
          <w:rFonts w:ascii="Arial" w:hAnsi="Arial" w:cs="Arial"/>
          <w:noProof/>
          <w:lang w:val="en-US"/>
        </w:rPr>
        <w:t xml:space="preserve"> (Burrell </w:t>
      </w:r>
      <w:r w:rsidR="00247A5C" w:rsidRPr="00385C4B">
        <w:rPr>
          <w:rFonts w:ascii="Arial" w:hAnsi="Arial" w:cs="Arial"/>
          <w:noProof/>
          <w:lang w:val="en-US"/>
        </w:rPr>
        <w:t>and</w:t>
      </w:r>
      <w:r w:rsidR="00F668B3" w:rsidRPr="00385C4B">
        <w:rPr>
          <w:rFonts w:ascii="Arial" w:hAnsi="Arial" w:cs="Arial"/>
          <w:noProof/>
          <w:lang w:val="en-US"/>
        </w:rPr>
        <w:t xml:space="preserve"> Morgan, 2019)</w:t>
      </w:r>
      <w:r w:rsidR="00880838" w:rsidRPr="00385C4B">
        <w:rPr>
          <w:rFonts w:ascii="Arial" w:hAnsi="Arial" w:cs="Arial"/>
        </w:rPr>
        <w:t>. In this mechanism, the overall implication is laid out on the mechanism of the impact</w:t>
      </w:r>
      <w:r w:rsidR="00D56076" w:rsidRPr="00385C4B">
        <w:rPr>
          <w:rFonts w:ascii="Arial" w:hAnsi="Arial" w:cs="Arial"/>
        </w:rPr>
        <w:t>,</w:t>
      </w:r>
      <w:r w:rsidR="00880838" w:rsidRPr="00385C4B">
        <w:rPr>
          <w:rFonts w:ascii="Arial" w:hAnsi="Arial" w:cs="Arial"/>
        </w:rPr>
        <w:t xml:space="preserve"> thus directly influencing the standards of living and hence relating to the standards of outputs. </w:t>
      </w:r>
    </w:p>
    <w:p w14:paraId="37B8EAD0" w14:textId="77777777" w:rsidR="00CF2355" w:rsidRPr="00385C4B" w:rsidRDefault="00CF2355" w:rsidP="003526B6">
      <w:pPr>
        <w:rPr>
          <w:rFonts w:ascii="Arial" w:hAnsi="Arial" w:cs="Arial"/>
        </w:rPr>
      </w:pPr>
      <w:r w:rsidRPr="00385C4B">
        <w:rPr>
          <w:rFonts w:ascii="Arial" w:hAnsi="Arial" w:cs="Arial"/>
        </w:rPr>
        <w:t xml:space="preserve">The inequality in income divisions and </w:t>
      </w:r>
      <w:r w:rsidR="002541C1" w:rsidRPr="00385C4B">
        <w:rPr>
          <w:rFonts w:ascii="Arial" w:hAnsi="Arial" w:cs="Arial"/>
        </w:rPr>
        <w:t>implications</w:t>
      </w:r>
      <w:r w:rsidRPr="00385C4B">
        <w:rPr>
          <w:rFonts w:ascii="Arial" w:hAnsi="Arial" w:cs="Arial"/>
        </w:rPr>
        <w:t xml:space="preserve"> of health </w:t>
      </w:r>
      <w:r w:rsidR="002541C1" w:rsidRPr="00385C4B">
        <w:rPr>
          <w:rFonts w:ascii="Arial" w:hAnsi="Arial" w:cs="Arial"/>
        </w:rPr>
        <w:t>outcomes</w:t>
      </w:r>
      <w:r w:rsidRPr="00385C4B">
        <w:rPr>
          <w:rFonts w:ascii="Arial" w:hAnsi="Arial" w:cs="Arial"/>
        </w:rPr>
        <w:t xml:space="preserve"> are associated with the major reasons which therefore impact the situational factors in place. The </w:t>
      </w:r>
      <w:r w:rsidR="002541C1" w:rsidRPr="00385C4B">
        <w:rPr>
          <w:rFonts w:ascii="Arial" w:hAnsi="Arial" w:cs="Arial"/>
        </w:rPr>
        <w:t>implications</w:t>
      </w:r>
      <w:r w:rsidRPr="00385C4B">
        <w:rPr>
          <w:rFonts w:ascii="Arial" w:hAnsi="Arial" w:cs="Arial"/>
        </w:rPr>
        <w:t xml:space="preserve"> of the low</w:t>
      </w:r>
      <w:r w:rsidR="00D56076" w:rsidRPr="00385C4B">
        <w:rPr>
          <w:rFonts w:ascii="Arial" w:hAnsi="Arial" w:cs="Arial"/>
        </w:rPr>
        <w:t>-</w:t>
      </w:r>
      <w:r w:rsidRPr="00385C4B">
        <w:rPr>
          <w:rFonts w:ascii="Arial" w:hAnsi="Arial" w:cs="Arial"/>
        </w:rPr>
        <w:t xml:space="preserve">income groups in the BAME community </w:t>
      </w:r>
      <w:r w:rsidR="00D56076" w:rsidRPr="00385C4B">
        <w:rPr>
          <w:rFonts w:ascii="Arial" w:hAnsi="Arial" w:cs="Arial"/>
        </w:rPr>
        <w:t>are</w:t>
      </w:r>
      <w:r w:rsidRPr="00385C4B">
        <w:rPr>
          <w:rFonts w:ascii="Arial" w:hAnsi="Arial" w:cs="Arial"/>
        </w:rPr>
        <w:t xml:space="preserve"> also linked directly with the overall </w:t>
      </w:r>
      <w:r w:rsidR="002541C1" w:rsidRPr="00385C4B">
        <w:rPr>
          <w:rFonts w:ascii="Arial" w:hAnsi="Arial" w:cs="Arial"/>
        </w:rPr>
        <w:t>implications</w:t>
      </w:r>
      <w:r w:rsidRPr="00385C4B">
        <w:rPr>
          <w:rFonts w:ascii="Arial" w:hAnsi="Arial" w:cs="Arial"/>
        </w:rPr>
        <w:t xml:space="preserve"> of the outputs focusing on the mechanism for benefits. The social classes in the UK are divided</w:t>
      </w:r>
      <w:r w:rsidR="00D56076" w:rsidRPr="00385C4B">
        <w:rPr>
          <w:rFonts w:ascii="Arial" w:hAnsi="Arial" w:cs="Arial"/>
        </w:rPr>
        <w:t>,</w:t>
      </w:r>
      <w:r w:rsidRPr="00385C4B">
        <w:rPr>
          <w:rFonts w:ascii="Arial" w:hAnsi="Arial" w:cs="Arial"/>
        </w:rPr>
        <w:t xml:space="preserve"> so BAME members face discrimination. Against this, as per </w:t>
      </w:r>
      <w:r w:rsidR="00F668B3" w:rsidRPr="00385C4B">
        <w:rPr>
          <w:rFonts w:ascii="Arial" w:hAnsi="Arial" w:cs="Arial"/>
          <w:noProof/>
          <w:lang w:val="en-US"/>
        </w:rPr>
        <w:t>Wingard (2019)</w:t>
      </w:r>
      <w:r w:rsidRPr="00385C4B">
        <w:rPr>
          <w:rFonts w:ascii="Arial" w:hAnsi="Arial" w:cs="Arial"/>
        </w:rPr>
        <w:t xml:space="preserve">, the Government has </w:t>
      </w:r>
      <w:r w:rsidR="002541C1" w:rsidRPr="00385C4B">
        <w:rPr>
          <w:rFonts w:ascii="Arial" w:hAnsi="Arial" w:cs="Arial"/>
        </w:rPr>
        <w:t>successfully</w:t>
      </w:r>
      <w:r w:rsidRPr="00385C4B">
        <w:rPr>
          <w:rFonts w:ascii="Arial" w:hAnsi="Arial" w:cs="Arial"/>
        </w:rPr>
        <w:t xml:space="preserve"> taken </w:t>
      </w:r>
      <w:r w:rsidR="002541C1" w:rsidRPr="00385C4B">
        <w:rPr>
          <w:rFonts w:ascii="Arial" w:hAnsi="Arial" w:cs="Arial"/>
        </w:rPr>
        <w:t>actions</w:t>
      </w:r>
      <w:r w:rsidRPr="00385C4B">
        <w:rPr>
          <w:rFonts w:ascii="Arial" w:hAnsi="Arial" w:cs="Arial"/>
        </w:rPr>
        <w:t xml:space="preserve"> in order to stay put bans on social exclusivity, leading to the implications of the </w:t>
      </w:r>
      <w:r w:rsidR="00A642EB" w:rsidRPr="00385C4B">
        <w:rPr>
          <w:rFonts w:ascii="Arial" w:hAnsi="Arial" w:cs="Arial"/>
        </w:rPr>
        <w:t xml:space="preserve">inclusive circumstances being developed. </w:t>
      </w:r>
    </w:p>
    <w:p w14:paraId="4C15018F" w14:textId="77777777" w:rsidR="00FD402E" w:rsidRPr="00385C4B" w:rsidRDefault="00FD402E" w:rsidP="00385C4B">
      <w:pPr>
        <w:pStyle w:val="Heading2"/>
        <w:jc w:val="center"/>
        <w:rPr>
          <w:rFonts w:ascii="Arial" w:hAnsi="Arial" w:cs="Arial"/>
          <w:b/>
          <w:bCs/>
          <w:color w:val="auto"/>
        </w:rPr>
      </w:pPr>
      <w:bookmarkStart w:id="4" w:name="_Toc111746284"/>
      <w:r w:rsidRPr="00385C4B">
        <w:rPr>
          <w:rFonts w:ascii="Arial" w:hAnsi="Arial" w:cs="Arial"/>
          <w:b/>
          <w:bCs/>
          <w:color w:val="auto"/>
        </w:rPr>
        <w:t xml:space="preserve">Critical examination and evaluation of approaches in place for </w:t>
      </w:r>
      <w:r w:rsidR="00D56076" w:rsidRPr="00385C4B">
        <w:rPr>
          <w:rFonts w:ascii="Arial" w:hAnsi="Arial" w:cs="Arial"/>
          <w:b/>
          <w:bCs/>
          <w:color w:val="auto"/>
        </w:rPr>
        <w:t xml:space="preserve">the </w:t>
      </w:r>
      <w:r w:rsidRPr="00385C4B">
        <w:rPr>
          <w:rFonts w:ascii="Arial" w:hAnsi="Arial" w:cs="Arial"/>
          <w:b/>
          <w:bCs/>
          <w:color w:val="auto"/>
        </w:rPr>
        <w:t>development of awareness impacting positive change</w:t>
      </w:r>
      <w:bookmarkEnd w:id="4"/>
    </w:p>
    <w:p w14:paraId="5CE9962D" w14:textId="77777777" w:rsidR="00E410F6" w:rsidRPr="00385C4B" w:rsidRDefault="00123735" w:rsidP="00E410F6">
      <w:pPr>
        <w:rPr>
          <w:rFonts w:ascii="Arial" w:hAnsi="Arial" w:cs="Arial"/>
        </w:rPr>
      </w:pPr>
      <w:r w:rsidRPr="00385C4B">
        <w:rPr>
          <w:rFonts w:ascii="Arial" w:hAnsi="Arial" w:cs="Arial"/>
        </w:rPr>
        <w:t xml:space="preserve">The approaches taken by the British Government </w:t>
      </w:r>
      <w:r w:rsidR="00D56076" w:rsidRPr="00385C4B">
        <w:rPr>
          <w:rFonts w:ascii="Arial" w:hAnsi="Arial" w:cs="Arial"/>
        </w:rPr>
        <w:t>are</w:t>
      </w:r>
      <w:r w:rsidRPr="00385C4B">
        <w:rPr>
          <w:rFonts w:ascii="Arial" w:hAnsi="Arial" w:cs="Arial"/>
        </w:rPr>
        <w:t xml:space="preserve"> aligned with the development of efficient standards for encouraging its population to outline the overall implication in place, due to which the examination of the approaches </w:t>
      </w:r>
      <w:r w:rsidR="00D56076" w:rsidRPr="00385C4B">
        <w:rPr>
          <w:rFonts w:ascii="Arial" w:hAnsi="Arial" w:cs="Arial"/>
        </w:rPr>
        <w:t>is</w:t>
      </w:r>
      <w:r w:rsidRPr="00385C4B">
        <w:rPr>
          <w:rFonts w:ascii="Arial" w:hAnsi="Arial" w:cs="Arial"/>
        </w:rPr>
        <w:t xml:space="preserve"> important for improved outcomes. The steps taken by the </w:t>
      </w:r>
      <w:r w:rsidR="00D56076" w:rsidRPr="00385C4B">
        <w:rPr>
          <w:rFonts w:ascii="Arial" w:hAnsi="Arial" w:cs="Arial"/>
        </w:rPr>
        <w:t>G</w:t>
      </w:r>
      <w:r w:rsidRPr="00385C4B">
        <w:rPr>
          <w:rFonts w:ascii="Arial" w:hAnsi="Arial" w:cs="Arial"/>
        </w:rPr>
        <w:t xml:space="preserve">overnment </w:t>
      </w:r>
      <w:r w:rsidR="00D56076" w:rsidRPr="00385C4B">
        <w:rPr>
          <w:rFonts w:ascii="Arial" w:hAnsi="Arial" w:cs="Arial"/>
        </w:rPr>
        <w:t>are</w:t>
      </w:r>
      <w:r w:rsidRPr="00385C4B">
        <w:rPr>
          <w:rFonts w:ascii="Arial" w:hAnsi="Arial" w:cs="Arial"/>
        </w:rPr>
        <w:t xml:space="preserve"> aligned directly with the benefits in place, which has been denoted by the effective outcomes</w:t>
      </w:r>
      <w:r w:rsidR="00FE5C32" w:rsidRPr="00385C4B">
        <w:rPr>
          <w:rFonts w:ascii="Arial" w:hAnsi="Arial" w:cs="Arial"/>
          <w:noProof/>
          <w:lang w:val="en-US"/>
        </w:rPr>
        <w:t xml:space="preserve"> (Zimmerman </w:t>
      </w:r>
      <w:r w:rsidR="00247A5C" w:rsidRPr="00385C4B">
        <w:rPr>
          <w:rFonts w:ascii="Arial" w:hAnsi="Arial" w:cs="Arial"/>
          <w:noProof/>
          <w:lang w:val="en-US"/>
        </w:rPr>
        <w:t>and</w:t>
      </w:r>
      <w:r w:rsidR="00FE5C32" w:rsidRPr="00385C4B">
        <w:rPr>
          <w:rFonts w:ascii="Arial" w:hAnsi="Arial" w:cs="Arial"/>
          <w:noProof/>
          <w:lang w:val="en-US"/>
        </w:rPr>
        <w:t xml:space="preserve"> Weible, 2017)</w:t>
      </w:r>
      <w:r w:rsidRPr="00385C4B">
        <w:rPr>
          <w:rFonts w:ascii="Arial" w:hAnsi="Arial" w:cs="Arial"/>
        </w:rPr>
        <w:t xml:space="preserve">. In this proposition, the overall significance is laid under the circumstances for the critical examination, which needs to be outlined on the basis of the significance </w:t>
      </w:r>
      <w:r w:rsidRPr="00385C4B">
        <w:rPr>
          <w:rFonts w:ascii="Arial" w:hAnsi="Arial" w:cs="Arial"/>
        </w:rPr>
        <w:lastRenderedPageBreak/>
        <w:t xml:space="preserve">and hence taken in order to focus on change. In addition to this, the national empowerment partnership is a scheme taken by the local governments in order to support the BAME communities in place. </w:t>
      </w:r>
      <w:r w:rsidR="00DF427B" w:rsidRPr="00385C4B">
        <w:rPr>
          <w:rFonts w:ascii="Arial" w:hAnsi="Arial" w:cs="Arial"/>
        </w:rPr>
        <w:t>In this mechanism, the overall significance is laid on the perspectives for the outputs</w:t>
      </w:r>
      <w:r w:rsidR="00D56076" w:rsidRPr="00385C4B">
        <w:rPr>
          <w:rFonts w:ascii="Arial" w:hAnsi="Arial" w:cs="Arial"/>
        </w:rPr>
        <w:t>,</w:t>
      </w:r>
      <w:r w:rsidR="00DF427B" w:rsidRPr="00385C4B">
        <w:rPr>
          <w:rFonts w:ascii="Arial" w:hAnsi="Arial" w:cs="Arial"/>
        </w:rPr>
        <w:t xml:space="preserve"> which are in the mechanism for the nine regional empowerment which has been taken up by the overall outputs. In addition to this, supportive schemes are launched in order to </w:t>
      </w:r>
      <w:r w:rsidR="00690A55" w:rsidRPr="00385C4B">
        <w:rPr>
          <w:rFonts w:ascii="Arial" w:hAnsi="Arial" w:cs="Arial"/>
        </w:rPr>
        <w:t>support the poor BAME community. In this respect, the overall significance is laid out so as to improve the stakeholder’s participation</w:t>
      </w:r>
      <w:r w:rsidR="00B106E7" w:rsidRPr="00385C4B">
        <w:rPr>
          <w:rFonts w:ascii="Arial" w:hAnsi="Arial" w:cs="Arial"/>
        </w:rPr>
        <w:t xml:space="preserve"> in the process of outcomes associated with the situational factors</w:t>
      </w:r>
      <w:r w:rsidR="00D56076" w:rsidRPr="00385C4B">
        <w:rPr>
          <w:rFonts w:ascii="Arial" w:hAnsi="Arial" w:cs="Arial"/>
          <w:noProof/>
          <w:lang w:val="en-US"/>
        </w:rPr>
        <w:t xml:space="preserve"> (Poisat, et al., 2018)</w:t>
      </w:r>
      <w:r w:rsidR="00B106E7" w:rsidRPr="00385C4B">
        <w:rPr>
          <w:rFonts w:ascii="Arial" w:hAnsi="Arial" w:cs="Arial"/>
        </w:rPr>
        <w:t xml:space="preserve">. In addition to this, the BAME community members are also impacted due to the </w:t>
      </w:r>
      <w:r w:rsidR="00D56076" w:rsidRPr="00385C4B">
        <w:rPr>
          <w:rFonts w:ascii="Arial" w:hAnsi="Arial" w:cs="Arial"/>
        </w:rPr>
        <w:t>G</w:t>
      </w:r>
      <w:r w:rsidR="00B106E7" w:rsidRPr="00385C4B">
        <w:rPr>
          <w:rFonts w:ascii="Arial" w:hAnsi="Arial" w:cs="Arial"/>
        </w:rPr>
        <w:t>overnment’s regulation for the improvement of li</w:t>
      </w:r>
      <w:r w:rsidR="00D56076" w:rsidRPr="00385C4B">
        <w:rPr>
          <w:rFonts w:ascii="Arial" w:hAnsi="Arial" w:cs="Arial"/>
        </w:rPr>
        <w:t>ving</w:t>
      </w:r>
      <w:r w:rsidR="00B106E7" w:rsidRPr="00385C4B">
        <w:rPr>
          <w:rFonts w:ascii="Arial" w:hAnsi="Arial" w:cs="Arial"/>
        </w:rPr>
        <w:t xml:space="preserve"> standards and hence related to the significant outputs. </w:t>
      </w:r>
    </w:p>
    <w:p w14:paraId="08332447" w14:textId="77777777" w:rsidR="00BE463D" w:rsidRPr="00385C4B" w:rsidRDefault="00FE527C" w:rsidP="00BE463D">
      <w:pPr>
        <w:rPr>
          <w:rFonts w:ascii="Arial" w:hAnsi="Arial" w:cs="Arial"/>
        </w:rPr>
      </w:pPr>
      <w:r w:rsidRPr="00385C4B">
        <w:rPr>
          <w:rFonts w:ascii="Arial" w:hAnsi="Arial" w:cs="Arial"/>
        </w:rPr>
        <w:t xml:space="preserve">The </w:t>
      </w:r>
      <w:r w:rsidR="00934CD7" w:rsidRPr="00385C4B">
        <w:rPr>
          <w:rFonts w:ascii="Arial" w:hAnsi="Arial" w:cs="Arial"/>
        </w:rPr>
        <w:t xml:space="preserve">New Deal </w:t>
      </w:r>
      <w:r w:rsidRPr="00385C4B">
        <w:rPr>
          <w:rFonts w:ascii="Arial" w:hAnsi="Arial" w:cs="Arial"/>
        </w:rPr>
        <w:t>for Communities Programme</w:t>
      </w:r>
      <w:r w:rsidR="00D56076" w:rsidRPr="00385C4B">
        <w:rPr>
          <w:rFonts w:ascii="Arial" w:hAnsi="Arial" w:cs="Arial"/>
        </w:rPr>
        <w:t>,</w:t>
      </w:r>
      <w:r w:rsidRPr="00385C4B">
        <w:rPr>
          <w:rFonts w:ascii="Arial" w:hAnsi="Arial" w:cs="Arial"/>
        </w:rPr>
        <w:t xml:space="preserve"> which was started in 1998 as a flagship project</w:t>
      </w:r>
      <w:r w:rsidR="00D56076" w:rsidRPr="00385C4B">
        <w:rPr>
          <w:rFonts w:ascii="Arial" w:hAnsi="Arial" w:cs="Arial"/>
        </w:rPr>
        <w:t>,</w:t>
      </w:r>
      <w:r w:rsidRPr="00385C4B">
        <w:rPr>
          <w:rFonts w:ascii="Arial" w:hAnsi="Arial" w:cs="Arial"/>
        </w:rPr>
        <w:t xml:space="preserve"> is helpful in national strategies </w:t>
      </w:r>
      <w:r w:rsidR="00803C7F" w:rsidRPr="00385C4B">
        <w:rPr>
          <w:rFonts w:ascii="Arial" w:hAnsi="Arial" w:cs="Arial"/>
        </w:rPr>
        <w:t>for the improvement of the area</w:t>
      </w:r>
      <w:r w:rsidR="00D56076" w:rsidRPr="00385C4B">
        <w:rPr>
          <w:rFonts w:ascii="Arial" w:hAnsi="Arial" w:cs="Arial"/>
        </w:rPr>
        <w:t>-</w:t>
      </w:r>
      <w:r w:rsidR="00803C7F" w:rsidRPr="00385C4B">
        <w:rPr>
          <w:rFonts w:ascii="Arial" w:hAnsi="Arial" w:cs="Arial"/>
        </w:rPr>
        <w:t>based governance programmes</w:t>
      </w:r>
      <w:sdt>
        <w:sdtPr>
          <w:rPr>
            <w:rFonts w:ascii="Arial" w:hAnsi="Arial" w:cs="Arial"/>
          </w:rPr>
          <w:id w:val="-340470403"/>
          <w:citation/>
        </w:sdtPr>
        <w:sdtEndPr/>
        <w:sdtContent>
          <w:r w:rsidR="003E6625" w:rsidRPr="00385C4B">
            <w:rPr>
              <w:rFonts w:ascii="Arial" w:hAnsi="Arial" w:cs="Arial"/>
            </w:rPr>
            <w:fldChar w:fldCharType="begin"/>
          </w:r>
          <w:r w:rsidR="003E6625" w:rsidRPr="00385C4B">
            <w:rPr>
              <w:rFonts w:ascii="Arial" w:hAnsi="Arial" w:cs="Arial"/>
              <w:lang w:val="en-US"/>
            </w:rPr>
            <w:instrText xml:space="preserve"> CITATION SHU22 \l 1033 </w:instrText>
          </w:r>
          <w:r w:rsidR="003E6625" w:rsidRPr="00385C4B">
            <w:rPr>
              <w:rFonts w:ascii="Arial" w:hAnsi="Arial" w:cs="Arial"/>
            </w:rPr>
            <w:fldChar w:fldCharType="separate"/>
          </w:r>
          <w:r w:rsidR="004341D0" w:rsidRPr="00385C4B">
            <w:rPr>
              <w:rFonts w:ascii="Arial" w:hAnsi="Arial" w:cs="Arial"/>
              <w:noProof/>
              <w:lang w:val="en-US"/>
            </w:rPr>
            <w:t xml:space="preserve"> (SHU, 2022)</w:t>
          </w:r>
          <w:r w:rsidR="003E6625" w:rsidRPr="00385C4B">
            <w:rPr>
              <w:rFonts w:ascii="Arial" w:hAnsi="Arial" w:cs="Arial"/>
            </w:rPr>
            <w:fldChar w:fldCharType="end"/>
          </w:r>
        </w:sdtContent>
      </w:sdt>
      <w:r w:rsidR="00803C7F" w:rsidRPr="00385C4B">
        <w:rPr>
          <w:rFonts w:ascii="Arial" w:hAnsi="Arial" w:cs="Arial"/>
        </w:rPr>
        <w:t xml:space="preserve">. In this aspect, the basic mechanism for output is laid on the significant positioning for the improved outcomes related to the NDC partnerships and hence associated directly with the focus under which the outcomes are outlined. In this process, the six key areas are </w:t>
      </w:r>
      <w:r w:rsidR="00A569AA" w:rsidRPr="00385C4B">
        <w:rPr>
          <w:rFonts w:ascii="Arial" w:hAnsi="Arial" w:cs="Arial"/>
        </w:rPr>
        <w:t xml:space="preserve">tested for significant positioning and hence impact the overall significance </w:t>
      </w:r>
      <w:r w:rsidR="00D56076" w:rsidRPr="00385C4B">
        <w:rPr>
          <w:rFonts w:ascii="Arial" w:hAnsi="Arial" w:cs="Arial"/>
        </w:rPr>
        <w:t>of</w:t>
      </w:r>
      <w:r w:rsidR="00A569AA" w:rsidRPr="00385C4B">
        <w:rPr>
          <w:rFonts w:ascii="Arial" w:hAnsi="Arial" w:cs="Arial"/>
        </w:rPr>
        <w:t xml:space="preserve"> the outputs in place</w:t>
      </w:r>
      <w:r w:rsidR="00D56076" w:rsidRPr="00385C4B">
        <w:rPr>
          <w:rFonts w:ascii="Arial" w:hAnsi="Arial" w:cs="Arial"/>
        </w:rPr>
        <w:t>,</w:t>
      </w:r>
      <w:r w:rsidR="00A569AA" w:rsidRPr="00385C4B">
        <w:rPr>
          <w:rFonts w:ascii="Arial" w:hAnsi="Arial" w:cs="Arial"/>
        </w:rPr>
        <w:t xml:space="preserve"> thus leading to the main areas under development. In this aspect, the main key areas are determined by the significant outputs in place</w:t>
      </w:r>
      <w:r w:rsidR="00D56076" w:rsidRPr="00385C4B">
        <w:rPr>
          <w:rFonts w:ascii="Arial" w:hAnsi="Arial" w:cs="Arial"/>
        </w:rPr>
        <w:t>,</w:t>
      </w:r>
      <w:r w:rsidR="00A569AA" w:rsidRPr="00385C4B">
        <w:rPr>
          <w:rFonts w:ascii="Arial" w:hAnsi="Arial" w:cs="Arial"/>
        </w:rPr>
        <w:t xml:space="preserve"> which focuses on parameters like education, health, crime, worklessness, housing, and physical environment. </w:t>
      </w:r>
    </w:p>
    <w:p w14:paraId="2D0368CC" w14:textId="77777777" w:rsidR="00812E3B" w:rsidRPr="00385C4B" w:rsidRDefault="00A569AA" w:rsidP="00BE463D">
      <w:pPr>
        <w:rPr>
          <w:rFonts w:ascii="Arial" w:hAnsi="Arial" w:cs="Arial"/>
        </w:rPr>
      </w:pPr>
      <w:r w:rsidRPr="00385C4B">
        <w:rPr>
          <w:rFonts w:ascii="Arial" w:hAnsi="Arial" w:cs="Arial"/>
        </w:rPr>
        <w:t xml:space="preserve">The main implications are laid out on the </w:t>
      </w:r>
      <w:r w:rsidR="00141F2F" w:rsidRPr="00385C4B">
        <w:rPr>
          <w:rFonts w:ascii="Arial" w:hAnsi="Arial" w:cs="Arial"/>
        </w:rPr>
        <w:t>parameters</w:t>
      </w:r>
      <w:r w:rsidRPr="00385C4B">
        <w:rPr>
          <w:rFonts w:ascii="Arial" w:hAnsi="Arial" w:cs="Arial"/>
        </w:rPr>
        <w:t xml:space="preserve"> for improved </w:t>
      </w:r>
      <w:r w:rsidR="00141F2F" w:rsidRPr="00385C4B">
        <w:rPr>
          <w:rFonts w:ascii="Arial" w:hAnsi="Arial" w:cs="Arial"/>
        </w:rPr>
        <w:t>beneficence</w:t>
      </w:r>
      <w:r w:rsidRPr="00385C4B">
        <w:rPr>
          <w:rFonts w:ascii="Arial" w:hAnsi="Arial" w:cs="Arial"/>
        </w:rPr>
        <w:t xml:space="preserve"> under the </w:t>
      </w:r>
      <w:r w:rsidR="00D56076" w:rsidRPr="00385C4B">
        <w:rPr>
          <w:rFonts w:ascii="Arial" w:hAnsi="Arial" w:cs="Arial"/>
        </w:rPr>
        <w:t>G</w:t>
      </w:r>
      <w:r w:rsidR="00141F2F" w:rsidRPr="00385C4B">
        <w:rPr>
          <w:rFonts w:ascii="Arial" w:hAnsi="Arial" w:cs="Arial"/>
        </w:rPr>
        <w:t>overnment’s</w:t>
      </w:r>
      <w:r w:rsidRPr="00385C4B">
        <w:rPr>
          <w:rFonts w:ascii="Arial" w:hAnsi="Arial" w:cs="Arial"/>
        </w:rPr>
        <w:t xml:space="preserve"> move for the Area Based </w:t>
      </w:r>
      <w:r w:rsidR="00141F2F" w:rsidRPr="00385C4B">
        <w:rPr>
          <w:rFonts w:ascii="Arial" w:hAnsi="Arial" w:cs="Arial"/>
        </w:rPr>
        <w:t xml:space="preserve">Initiative </w:t>
      </w:r>
      <w:r w:rsidRPr="00385C4B">
        <w:rPr>
          <w:rFonts w:ascii="Arial" w:hAnsi="Arial" w:cs="Arial"/>
        </w:rPr>
        <w:t>(ABI), which helps in the significant positioning in terms of effective outputs</w:t>
      </w:r>
      <w:sdt>
        <w:sdtPr>
          <w:rPr>
            <w:rFonts w:ascii="Arial" w:hAnsi="Arial" w:cs="Arial"/>
          </w:rPr>
          <w:id w:val="1404259059"/>
          <w:citation/>
        </w:sdtPr>
        <w:sdtEndPr/>
        <w:sdtContent>
          <w:r w:rsidR="003E6625" w:rsidRPr="00385C4B">
            <w:rPr>
              <w:rFonts w:ascii="Arial" w:hAnsi="Arial" w:cs="Arial"/>
            </w:rPr>
            <w:fldChar w:fldCharType="begin"/>
          </w:r>
          <w:r w:rsidR="003E6625" w:rsidRPr="00385C4B">
            <w:rPr>
              <w:rFonts w:ascii="Arial" w:hAnsi="Arial" w:cs="Arial"/>
              <w:lang w:val="en-US"/>
            </w:rPr>
            <w:instrText xml:space="preserve"> CITATION Lin20 \l 1033 </w:instrText>
          </w:r>
          <w:r w:rsidR="003E6625" w:rsidRPr="00385C4B">
            <w:rPr>
              <w:rFonts w:ascii="Arial" w:hAnsi="Arial" w:cs="Arial"/>
            </w:rPr>
            <w:fldChar w:fldCharType="separate"/>
          </w:r>
          <w:r w:rsidR="004341D0" w:rsidRPr="00385C4B">
            <w:rPr>
              <w:rFonts w:ascii="Arial" w:hAnsi="Arial" w:cs="Arial"/>
              <w:noProof/>
              <w:lang w:val="en-US"/>
            </w:rPr>
            <w:t xml:space="preserve"> (Lindsey, 2020)</w:t>
          </w:r>
          <w:r w:rsidR="003E6625" w:rsidRPr="00385C4B">
            <w:rPr>
              <w:rFonts w:ascii="Arial" w:hAnsi="Arial" w:cs="Arial"/>
            </w:rPr>
            <w:fldChar w:fldCharType="end"/>
          </w:r>
        </w:sdtContent>
      </w:sdt>
      <w:r w:rsidRPr="00385C4B">
        <w:rPr>
          <w:rFonts w:ascii="Arial" w:hAnsi="Arial" w:cs="Arial"/>
        </w:rPr>
        <w:t>. For this reason, the overall implications have focused on the implied benefits</w:t>
      </w:r>
      <w:r w:rsidR="00D56076" w:rsidRPr="00385C4B">
        <w:rPr>
          <w:rFonts w:ascii="Arial" w:hAnsi="Arial" w:cs="Arial"/>
        </w:rPr>
        <w:t>,</w:t>
      </w:r>
      <w:r w:rsidRPr="00385C4B">
        <w:rPr>
          <w:rFonts w:ascii="Arial" w:hAnsi="Arial" w:cs="Arial"/>
        </w:rPr>
        <w:t xml:space="preserve"> which tactfully orient towards the implications of change. In this process, the overall changes are aligned directly with the benefits for the significant outputs, which are currently based on the mechanism for outputs. </w:t>
      </w:r>
      <w:r w:rsidR="006B30D4" w:rsidRPr="00385C4B">
        <w:rPr>
          <w:rFonts w:ascii="Arial" w:hAnsi="Arial" w:cs="Arial"/>
        </w:rPr>
        <w:t xml:space="preserve">In this code of conduct, the health benefits need to be provided equally by the NHS facilities and hospitals without any discrimination occurring </w:t>
      </w:r>
      <w:r w:rsidR="00D56076" w:rsidRPr="00385C4B">
        <w:rPr>
          <w:rFonts w:ascii="Arial" w:hAnsi="Arial" w:cs="Arial"/>
        </w:rPr>
        <w:t>on</w:t>
      </w:r>
      <w:r w:rsidR="006B30D4" w:rsidRPr="00385C4B">
        <w:rPr>
          <w:rFonts w:ascii="Arial" w:hAnsi="Arial" w:cs="Arial"/>
        </w:rPr>
        <w:t xml:space="preserve"> a massive scale</w:t>
      </w:r>
      <w:sdt>
        <w:sdtPr>
          <w:rPr>
            <w:rFonts w:ascii="Arial" w:hAnsi="Arial" w:cs="Arial"/>
          </w:rPr>
          <w:id w:val="1273589771"/>
          <w:citation/>
        </w:sdtPr>
        <w:sdtEndPr/>
        <w:sdtContent>
          <w:r w:rsidR="003E6625" w:rsidRPr="00385C4B">
            <w:rPr>
              <w:rFonts w:ascii="Arial" w:hAnsi="Arial" w:cs="Arial"/>
            </w:rPr>
            <w:fldChar w:fldCharType="begin"/>
          </w:r>
          <w:r w:rsidR="003E6625" w:rsidRPr="00385C4B">
            <w:rPr>
              <w:rFonts w:ascii="Arial" w:hAnsi="Arial" w:cs="Arial"/>
              <w:lang w:val="en-US"/>
            </w:rPr>
            <w:instrText xml:space="preserve"> CITATION Mur201 \l 1033 </w:instrText>
          </w:r>
          <w:r w:rsidR="003E6625" w:rsidRPr="00385C4B">
            <w:rPr>
              <w:rFonts w:ascii="Arial" w:hAnsi="Arial" w:cs="Arial"/>
            </w:rPr>
            <w:fldChar w:fldCharType="separate"/>
          </w:r>
          <w:r w:rsidR="004341D0" w:rsidRPr="00385C4B">
            <w:rPr>
              <w:rFonts w:ascii="Arial" w:hAnsi="Arial" w:cs="Arial"/>
              <w:noProof/>
              <w:lang w:val="en-US"/>
            </w:rPr>
            <w:t xml:space="preserve"> (Murray, 2020)</w:t>
          </w:r>
          <w:r w:rsidR="003E6625" w:rsidRPr="00385C4B">
            <w:rPr>
              <w:rFonts w:ascii="Arial" w:hAnsi="Arial" w:cs="Arial"/>
            </w:rPr>
            <w:fldChar w:fldCharType="end"/>
          </w:r>
        </w:sdtContent>
      </w:sdt>
      <w:r w:rsidR="006B30D4" w:rsidRPr="00385C4B">
        <w:rPr>
          <w:rFonts w:ascii="Arial" w:hAnsi="Arial" w:cs="Arial"/>
        </w:rPr>
        <w:t>. The implications are therefore suggested for the growth in the organisational capacitance</w:t>
      </w:r>
      <w:r w:rsidR="00D56076" w:rsidRPr="00385C4B">
        <w:rPr>
          <w:rFonts w:ascii="Arial" w:hAnsi="Arial" w:cs="Arial"/>
        </w:rPr>
        <w:t>,</w:t>
      </w:r>
      <w:r w:rsidR="006B30D4" w:rsidRPr="00385C4B">
        <w:rPr>
          <w:rFonts w:ascii="Arial" w:hAnsi="Arial" w:cs="Arial"/>
        </w:rPr>
        <w:t xml:space="preserve"> and this implies the benefits under which the mechanism of change is considered for the major benefits under view. In this process of change </w:t>
      </w:r>
      <w:r w:rsidR="00D56076" w:rsidRPr="00385C4B">
        <w:rPr>
          <w:rFonts w:ascii="Arial" w:hAnsi="Arial" w:cs="Arial"/>
        </w:rPr>
        <w:t>with</w:t>
      </w:r>
      <w:r w:rsidR="006B30D4" w:rsidRPr="00385C4B">
        <w:rPr>
          <w:rFonts w:ascii="Arial" w:hAnsi="Arial" w:cs="Arial"/>
        </w:rPr>
        <w:t xml:space="preserve"> respect to the BAME communities, the implications are laid on the </w:t>
      </w:r>
      <w:r w:rsidR="006B30D4" w:rsidRPr="00385C4B">
        <w:rPr>
          <w:rFonts w:ascii="Arial" w:hAnsi="Arial" w:cs="Arial"/>
        </w:rPr>
        <w:lastRenderedPageBreak/>
        <w:t xml:space="preserve">perspectives </w:t>
      </w:r>
      <w:r w:rsidR="00D56076" w:rsidRPr="00385C4B">
        <w:rPr>
          <w:rFonts w:ascii="Arial" w:hAnsi="Arial" w:cs="Arial"/>
        </w:rPr>
        <w:t>of</w:t>
      </w:r>
      <w:r w:rsidR="006B30D4" w:rsidRPr="00385C4B">
        <w:rPr>
          <w:rFonts w:ascii="Arial" w:hAnsi="Arial" w:cs="Arial"/>
        </w:rPr>
        <w:t xml:space="preserve"> the implications</w:t>
      </w:r>
      <w:r w:rsidR="00D56076" w:rsidRPr="00385C4B">
        <w:rPr>
          <w:rFonts w:ascii="Arial" w:hAnsi="Arial" w:cs="Arial"/>
        </w:rPr>
        <w:t>,</w:t>
      </w:r>
      <w:r w:rsidR="006B30D4" w:rsidRPr="00385C4B">
        <w:rPr>
          <w:rFonts w:ascii="Arial" w:hAnsi="Arial" w:cs="Arial"/>
        </w:rPr>
        <w:t xml:space="preserve"> which therefore benefit the individuals within the ethnic community</w:t>
      </w:r>
      <w:sdt>
        <w:sdtPr>
          <w:rPr>
            <w:rFonts w:ascii="Arial" w:hAnsi="Arial" w:cs="Arial"/>
          </w:rPr>
          <w:id w:val="-1482067568"/>
          <w:citation/>
        </w:sdtPr>
        <w:sdtEndPr/>
        <w:sdtContent>
          <w:r w:rsidR="00974DA4" w:rsidRPr="00385C4B">
            <w:rPr>
              <w:rFonts w:ascii="Arial" w:hAnsi="Arial" w:cs="Arial"/>
            </w:rPr>
            <w:fldChar w:fldCharType="begin"/>
          </w:r>
          <w:r w:rsidR="00974DA4" w:rsidRPr="00385C4B">
            <w:rPr>
              <w:rFonts w:ascii="Arial" w:hAnsi="Arial" w:cs="Arial"/>
              <w:lang w:val="en-US"/>
            </w:rPr>
            <w:instrText xml:space="preserve"> CITATION Har20 \l 1033 </w:instrText>
          </w:r>
          <w:r w:rsidR="00974DA4" w:rsidRPr="00385C4B">
            <w:rPr>
              <w:rFonts w:ascii="Arial" w:hAnsi="Arial" w:cs="Arial"/>
            </w:rPr>
            <w:fldChar w:fldCharType="separate"/>
          </w:r>
          <w:r w:rsidR="004341D0" w:rsidRPr="00385C4B">
            <w:rPr>
              <w:rFonts w:ascii="Arial" w:hAnsi="Arial" w:cs="Arial"/>
              <w:noProof/>
              <w:lang w:val="en-US"/>
            </w:rPr>
            <w:t xml:space="preserve"> (Hargreaves, et al., 2020)</w:t>
          </w:r>
          <w:r w:rsidR="00974DA4" w:rsidRPr="00385C4B">
            <w:rPr>
              <w:rFonts w:ascii="Arial" w:hAnsi="Arial" w:cs="Arial"/>
            </w:rPr>
            <w:fldChar w:fldCharType="end"/>
          </w:r>
        </w:sdtContent>
      </w:sdt>
      <w:r w:rsidR="006B30D4" w:rsidRPr="00385C4B">
        <w:rPr>
          <w:rFonts w:ascii="Arial" w:hAnsi="Arial" w:cs="Arial"/>
        </w:rPr>
        <w:t xml:space="preserve">. </w:t>
      </w:r>
      <w:r w:rsidR="00523FE2" w:rsidRPr="00385C4B">
        <w:rPr>
          <w:rFonts w:ascii="Arial" w:hAnsi="Arial" w:cs="Arial"/>
        </w:rPr>
        <w:t>Non-peer health advocacy</w:t>
      </w:r>
      <w:r w:rsidR="00D56076" w:rsidRPr="00385C4B">
        <w:rPr>
          <w:rFonts w:ascii="Arial" w:hAnsi="Arial" w:cs="Arial"/>
        </w:rPr>
        <w:t>,</w:t>
      </w:r>
      <w:r w:rsidR="00523FE2" w:rsidRPr="00385C4B">
        <w:rPr>
          <w:rFonts w:ascii="Arial" w:hAnsi="Arial" w:cs="Arial"/>
        </w:rPr>
        <w:t xml:space="preserve"> on the other hand</w:t>
      </w:r>
      <w:r w:rsidR="00D56076" w:rsidRPr="00385C4B">
        <w:rPr>
          <w:rFonts w:ascii="Arial" w:hAnsi="Arial" w:cs="Arial"/>
        </w:rPr>
        <w:t>,</w:t>
      </w:r>
      <w:r w:rsidR="00523FE2" w:rsidRPr="00385C4B">
        <w:rPr>
          <w:rFonts w:ascii="Arial" w:hAnsi="Arial" w:cs="Arial"/>
        </w:rPr>
        <w:t xml:space="preserve"> consider</w:t>
      </w:r>
      <w:r w:rsidR="00D56076" w:rsidRPr="00385C4B">
        <w:rPr>
          <w:rFonts w:ascii="Arial" w:hAnsi="Arial" w:cs="Arial"/>
        </w:rPr>
        <w:t>s</w:t>
      </w:r>
      <w:r w:rsidR="00523FE2" w:rsidRPr="00385C4B">
        <w:rPr>
          <w:rFonts w:ascii="Arial" w:hAnsi="Arial" w:cs="Arial"/>
        </w:rPr>
        <w:t xml:space="preserve"> the benefits for the </w:t>
      </w:r>
      <w:r w:rsidR="00BE463D" w:rsidRPr="00385C4B">
        <w:rPr>
          <w:rFonts w:ascii="Arial" w:hAnsi="Arial" w:cs="Arial"/>
        </w:rPr>
        <w:t>situational</w:t>
      </w:r>
      <w:r w:rsidR="00523FE2" w:rsidRPr="00385C4B">
        <w:rPr>
          <w:rFonts w:ascii="Arial" w:hAnsi="Arial" w:cs="Arial"/>
        </w:rPr>
        <w:t xml:space="preserve"> factors under place, which then orients to the </w:t>
      </w:r>
      <w:r w:rsidR="00F962AB" w:rsidRPr="00385C4B">
        <w:rPr>
          <w:rFonts w:ascii="Arial" w:hAnsi="Arial" w:cs="Arial"/>
        </w:rPr>
        <w:t>situational</w:t>
      </w:r>
      <w:r w:rsidR="00523FE2" w:rsidRPr="00385C4B">
        <w:rPr>
          <w:rFonts w:ascii="Arial" w:hAnsi="Arial" w:cs="Arial"/>
        </w:rPr>
        <w:t xml:space="preserve"> factors</w:t>
      </w:r>
      <w:r w:rsidR="003E6625" w:rsidRPr="00385C4B">
        <w:rPr>
          <w:rFonts w:ascii="Arial" w:hAnsi="Arial" w:cs="Arial"/>
          <w:noProof/>
          <w:lang w:val="en-US"/>
        </w:rPr>
        <w:t xml:space="preserve"> (Mikkelsen </w:t>
      </w:r>
      <w:r w:rsidR="00247A5C" w:rsidRPr="00385C4B">
        <w:rPr>
          <w:rFonts w:ascii="Arial" w:hAnsi="Arial" w:cs="Arial"/>
          <w:noProof/>
          <w:lang w:val="en-US"/>
        </w:rPr>
        <w:t>and</w:t>
      </w:r>
      <w:r w:rsidR="003E6625" w:rsidRPr="00385C4B">
        <w:rPr>
          <w:rFonts w:ascii="Arial" w:hAnsi="Arial" w:cs="Arial"/>
          <w:noProof/>
          <w:lang w:val="en-US"/>
        </w:rPr>
        <w:t xml:space="preserve"> Novotny, 2016)</w:t>
      </w:r>
      <w:r w:rsidR="00523FE2" w:rsidRPr="00385C4B">
        <w:rPr>
          <w:rFonts w:ascii="Arial" w:hAnsi="Arial" w:cs="Arial"/>
        </w:rPr>
        <w:t>.</w:t>
      </w:r>
      <w:r w:rsidR="00F962AB" w:rsidRPr="00385C4B">
        <w:rPr>
          <w:rFonts w:ascii="Arial" w:hAnsi="Arial" w:cs="Arial"/>
        </w:rPr>
        <w:t xml:space="preserve"> Henceforth, from this discussion, it has been found that the changes are considered by the </w:t>
      </w:r>
      <w:r w:rsidR="00D56076" w:rsidRPr="00385C4B">
        <w:rPr>
          <w:rFonts w:ascii="Arial" w:hAnsi="Arial" w:cs="Arial"/>
        </w:rPr>
        <w:t>G</w:t>
      </w:r>
      <w:r w:rsidR="00F962AB" w:rsidRPr="00385C4B">
        <w:rPr>
          <w:rFonts w:ascii="Arial" w:hAnsi="Arial" w:cs="Arial"/>
        </w:rPr>
        <w:t xml:space="preserve">overnment and hence proven to be impactful in the long term. </w:t>
      </w:r>
    </w:p>
    <w:p w14:paraId="76D82C01" w14:textId="77777777" w:rsidR="00E66FF8" w:rsidRPr="00385C4B" w:rsidRDefault="002C5670" w:rsidP="00385C4B">
      <w:pPr>
        <w:pStyle w:val="Heading1"/>
        <w:jc w:val="center"/>
        <w:rPr>
          <w:rFonts w:ascii="Arial" w:hAnsi="Arial" w:cs="Arial"/>
          <w:b/>
          <w:bCs/>
          <w:color w:val="auto"/>
        </w:rPr>
      </w:pPr>
      <w:bookmarkStart w:id="5" w:name="_Toc111746285"/>
      <w:r w:rsidRPr="00385C4B">
        <w:rPr>
          <w:rFonts w:ascii="Arial" w:hAnsi="Arial" w:cs="Arial"/>
          <w:b/>
          <w:bCs/>
          <w:color w:val="auto"/>
        </w:rPr>
        <w:t>Conclusion</w:t>
      </w:r>
      <w:bookmarkEnd w:id="5"/>
    </w:p>
    <w:p w14:paraId="5E1D10A8" w14:textId="77777777" w:rsidR="003A74D8" w:rsidRPr="00385C4B" w:rsidRDefault="000E6450" w:rsidP="00BF79D3">
      <w:pPr>
        <w:rPr>
          <w:rFonts w:ascii="Arial" w:hAnsi="Arial" w:cs="Arial"/>
        </w:rPr>
      </w:pPr>
      <w:r w:rsidRPr="00385C4B">
        <w:rPr>
          <w:rFonts w:ascii="Arial" w:hAnsi="Arial" w:cs="Arial"/>
        </w:rPr>
        <w:t xml:space="preserve">In conclusion, it has been gained that the BAME communities are aligned with their needs and suffer from main issues like poverty and </w:t>
      </w:r>
      <w:r w:rsidR="005705F5" w:rsidRPr="00385C4B">
        <w:rPr>
          <w:rFonts w:ascii="Arial" w:hAnsi="Arial" w:cs="Arial"/>
        </w:rPr>
        <w:t>unequal</w:t>
      </w:r>
      <w:r w:rsidRPr="00385C4B">
        <w:rPr>
          <w:rFonts w:ascii="Arial" w:hAnsi="Arial" w:cs="Arial"/>
        </w:rPr>
        <w:t xml:space="preserve"> health outcomes. In this consideration, it has been concluded that their benefits are directly aligned with the overall focus of change and hence related to the steps ensured by the </w:t>
      </w:r>
      <w:r w:rsidR="00D56076" w:rsidRPr="00385C4B">
        <w:rPr>
          <w:rFonts w:ascii="Arial" w:hAnsi="Arial" w:cs="Arial"/>
        </w:rPr>
        <w:t>G</w:t>
      </w:r>
      <w:r w:rsidRPr="00385C4B">
        <w:rPr>
          <w:rFonts w:ascii="Arial" w:hAnsi="Arial" w:cs="Arial"/>
        </w:rPr>
        <w:t>overnment so as to improve the situational factors in place.</w:t>
      </w:r>
      <w:r w:rsidR="001D0C1F" w:rsidRPr="00385C4B">
        <w:rPr>
          <w:rFonts w:ascii="Arial" w:hAnsi="Arial" w:cs="Arial"/>
        </w:rPr>
        <w:t xml:space="preserve"> Moreover, the conclusions are laid out so as to improve the understanding related to the patterns of thought and hence related to the </w:t>
      </w:r>
      <w:r w:rsidR="005705F5" w:rsidRPr="00385C4B">
        <w:rPr>
          <w:rFonts w:ascii="Arial" w:hAnsi="Arial" w:cs="Arial"/>
        </w:rPr>
        <w:t xml:space="preserve">situational factors in place, which benefits the overall process of outcomes directly relating to the overall focus on changed schemes. The significance of the schemes taken by the </w:t>
      </w:r>
      <w:r w:rsidR="00D56076" w:rsidRPr="00385C4B">
        <w:rPr>
          <w:rFonts w:ascii="Arial" w:hAnsi="Arial" w:cs="Arial"/>
        </w:rPr>
        <w:t>G</w:t>
      </w:r>
      <w:r w:rsidR="005705F5" w:rsidRPr="00385C4B">
        <w:rPr>
          <w:rFonts w:ascii="Arial" w:hAnsi="Arial" w:cs="Arial"/>
        </w:rPr>
        <w:t xml:space="preserve">overnment is denoted by the situational factors in place, thus relating to the situational factors in place. </w:t>
      </w:r>
    </w:p>
    <w:p w14:paraId="1C14E542" w14:textId="77777777" w:rsidR="003A74D8" w:rsidRDefault="003A74D8">
      <w:pPr>
        <w:spacing w:line="259" w:lineRule="auto"/>
        <w:jc w:val="left"/>
      </w:pPr>
      <w:r>
        <w:br w:type="page"/>
      </w:r>
    </w:p>
    <w:bookmarkStart w:id="6" w:name="_Toc111746286" w:displacedByCustomXml="next"/>
    <w:sdt>
      <w:sdtPr>
        <w:rPr>
          <w:rFonts w:ascii="Times New Roman" w:eastAsiaTheme="minorHAnsi" w:hAnsi="Times New Roman" w:cstheme="minorBidi"/>
          <w:color w:val="auto"/>
          <w:sz w:val="24"/>
          <w:szCs w:val="22"/>
        </w:rPr>
        <w:id w:val="663831275"/>
        <w:docPartObj>
          <w:docPartGallery w:val="Bibliographies"/>
          <w:docPartUnique/>
        </w:docPartObj>
      </w:sdtPr>
      <w:sdtEndPr/>
      <w:sdtContent>
        <w:p w14:paraId="68ABE1DA" w14:textId="77777777" w:rsidR="003A74D8" w:rsidRPr="00161621" w:rsidRDefault="003A74D8" w:rsidP="00161621">
          <w:pPr>
            <w:pStyle w:val="Heading1"/>
            <w:numPr>
              <w:ilvl w:val="0"/>
              <w:numId w:val="2"/>
            </w:numPr>
            <w:jc w:val="center"/>
            <w:rPr>
              <w:rFonts w:ascii="Arial" w:hAnsi="Arial" w:cs="Arial"/>
              <w:b/>
              <w:bCs/>
              <w:color w:val="auto"/>
            </w:rPr>
          </w:pPr>
          <w:r w:rsidRPr="00161621">
            <w:rPr>
              <w:rFonts w:ascii="Arial" w:hAnsi="Arial" w:cs="Arial"/>
              <w:b/>
              <w:bCs/>
              <w:color w:val="auto"/>
            </w:rPr>
            <w:t>References</w:t>
          </w:r>
          <w:bookmarkEnd w:id="6"/>
        </w:p>
        <w:p w14:paraId="25044FF9" w14:textId="77777777" w:rsidR="003A74D8" w:rsidRPr="00161621" w:rsidRDefault="003A74D8" w:rsidP="00161621">
          <w:pPr>
            <w:pStyle w:val="ListParagraph"/>
            <w:numPr>
              <w:ilvl w:val="0"/>
              <w:numId w:val="2"/>
            </w:numPr>
            <w:rPr>
              <w:noProof/>
              <w:szCs w:val="24"/>
            </w:rPr>
          </w:pPr>
          <w:r>
            <w:rPr>
              <w:noProof/>
            </w:rPr>
            <w:t xml:space="preserve">Bale, I., Broadhead, S., Case, K., Hussain, M., </w:t>
          </w:r>
          <w:r w:rsidR="00247A5C">
            <w:rPr>
              <w:noProof/>
            </w:rPr>
            <w:t>and</w:t>
          </w:r>
          <w:r>
            <w:rPr>
              <w:noProof/>
            </w:rPr>
            <w:t xml:space="preserve"> Woolley, D. (2020). Exploring the black, Asian and ethnic minority (BAME) student experience using a Community of Inquiry approach. </w:t>
          </w:r>
          <w:r w:rsidRPr="00161621">
            <w:rPr>
              <w:i/>
              <w:iCs/>
              <w:noProof/>
            </w:rPr>
            <w:t>Widening Participation and Lifelong Learning, 22</w:t>
          </w:r>
          <w:r>
            <w:rPr>
              <w:noProof/>
            </w:rPr>
            <w:t>(1), 112-131, DOI: 10.5456/WPLL.22.1.112.</w:t>
          </w:r>
        </w:p>
        <w:p w14:paraId="317CCCE3" w14:textId="77777777" w:rsidR="003A74D8" w:rsidRDefault="003A74D8" w:rsidP="00161621">
          <w:pPr>
            <w:pStyle w:val="ListParagraph"/>
            <w:numPr>
              <w:ilvl w:val="0"/>
              <w:numId w:val="2"/>
            </w:numPr>
            <w:rPr>
              <w:noProof/>
            </w:rPr>
          </w:pPr>
          <w:r>
            <w:rPr>
              <w:noProof/>
            </w:rPr>
            <w:t xml:space="preserve">Bi, J., </w:t>
          </w:r>
          <w:r w:rsidR="00247A5C">
            <w:rPr>
              <w:noProof/>
            </w:rPr>
            <w:t>and</w:t>
          </w:r>
          <w:r>
            <w:rPr>
              <w:noProof/>
            </w:rPr>
            <w:t xml:space="preserve"> Zhang, C. (2018). An empirical comparison on state-of-the-art multi-class imbalance learning algorithms and a new diversified ensemble learning scheme. </w:t>
          </w:r>
          <w:r w:rsidRPr="00161621">
            <w:rPr>
              <w:i/>
              <w:iCs/>
              <w:noProof/>
            </w:rPr>
            <w:t>Knowledge-Based Systems, 158</w:t>
          </w:r>
          <w:r>
            <w:rPr>
              <w:noProof/>
            </w:rPr>
            <w:t>(7), 81-93,DOI-10.1016/j.knosys.2018.05.037.</w:t>
          </w:r>
        </w:p>
        <w:p w14:paraId="1BCCFA9B" w14:textId="77777777" w:rsidR="003A74D8" w:rsidRDefault="003A74D8" w:rsidP="00161621">
          <w:pPr>
            <w:pStyle w:val="ListParagraph"/>
            <w:numPr>
              <w:ilvl w:val="0"/>
              <w:numId w:val="2"/>
            </w:numPr>
            <w:rPr>
              <w:noProof/>
            </w:rPr>
          </w:pPr>
          <w:r>
            <w:rPr>
              <w:noProof/>
            </w:rPr>
            <w:t xml:space="preserve">Burrell, G., </w:t>
          </w:r>
          <w:r w:rsidR="00247A5C">
            <w:rPr>
              <w:noProof/>
            </w:rPr>
            <w:t>and</w:t>
          </w:r>
          <w:r>
            <w:rPr>
              <w:noProof/>
            </w:rPr>
            <w:t xml:space="preserve"> Morgan, G. (2019). </w:t>
          </w:r>
          <w:r w:rsidRPr="00161621">
            <w:rPr>
              <w:i/>
              <w:iCs/>
              <w:noProof/>
            </w:rPr>
            <w:t>Sociological paradigms and organisational analysis: Elements of the sociology of corporate life.</w:t>
          </w:r>
          <w:r>
            <w:rPr>
              <w:noProof/>
            </w:rPr>
            <w:t xml:space="preserve"> London: Routledge.</w:t>
          </w:r>
        </w:p>
        <w:p w14:paraId="21B6D37E" w14:textId="77777777" w:rsidR="003A74D8" w:rsidRDefault="003A74D8" w:rsidP="00161621">
          <w:pPr>
            <w:pStyle w:val="ListParagraph"/>
            <w:numPr>
              <w:ilvl w:val="0"/>
              <w:numId w:val="2"/>
            </w:numPr>
            <w:rPr>
              <w:noProof/>
            </w:rPr>
          </w:pPr>
          <w:r>
            <w:rPr>
              <w:noProof/>
            </w:rPr>
            <w:t xml:space="preserve">Crowl, J. (2017). The effect of community policing on fear and crime reduction, police legitimacy and job satisfaction: an empirical review of the evidence. </w:t>
          </w:r>
          <w:r w:rsidRPr="00161621">
            <w:rPr>
              <w:i/>
              <w:iCs/>
              <w:noProof/>
            </w:rPr>
            <w:t>Police Practice and Research</w:t>
          </w:r>
          <w:r>
            <w:rPr>
              <w:noProof/>
            </w:rPr>
            <w:t>, 449-462, DOI: 10.1080/15614263.2017.1303771.</w:t>
          </w:r>
        </w:p>
        <w:p w14:paraId="7DDC51AD" w14:textId="77777777" w:rsidR="003A74D8" w:rsidRDefault="003A74D8" w:rsidP="00161621">
          <w:pPr>
            <w:pStyle w:val="ListParagraph"/>
            <w:numPr>
              <w:ilvl w:val="0"/>
              <w:numId w:val="2"/>
            </w:numPr>
            <w:rPr>
              <w:noProof/>
            </w:rPr>
          </w:pPr>
          <w:r>
            <w:rPr>
              <w:noProof/>
            </w:rPr>
            <w:t xml:space="preserve">Demirkol, I., </w:t>
          </w:r>
          <w:r w:rsidR="00247A5C">
            <w:rPr>
              <w:noProof/>
            </w:rPr>
            <w:t>and</w:t>
          </w:r>
          <w:r>
            <w:rPr>
              <w:noProof/>
            </w:rPr>
            <w:t xml:space="preserve"> Nalla, M. (2017). How does police culture shape officers’ support for community policing? </w:t>
          </w:r>
          <w:r w:rsidRPr="00161621">
            <w:rPr>
              <w:i/>
              <w:iCs/>
              <w:noProof/>
            </w:rPr>
            <w:t>Policing and Society</w:t>
          </w:r>
          <w:r>
            <w:rPr>
              <w:noProof/>
            </w:rPr>
            <w:t>, 122, DOI: 10.1007/978-1-4614-5690-2_394.</w:t>
          </w:r>
        </w:p>
        <w:p w14:paraId="08364FF0" w14:textId="77777777" w:rsidR="003A74D8" w:rsidRDefault="003A74D8" w:rsidP="00161621">
          <w:pPr>
            <w:pStyle w:val="ListParagraph"/>
            <w:numPr>
              <w:ilvl w:val="0"/>
              <w:numId w:val="2"/>
            </w:numPr>
            <w:rPr>
              <w:noProof/>
            </w:rPr>
          </w:pPr>
          <w:r>
            <w:rPr>
              <w:noProof/>
            </w:rPr>
            <w:t xml:space="preserve">Ethnicity-facts. (2022). </w:t>
          </w:r>
          <w:r w:rsidRPr="00161621">
            <w:rPr>
              <w:i/>
              <w:iCs/>
              <w:noProof/>
            </w:rPr>
            <w:t>Regional ethnic diversity</w:t>
          </w:r>
          <w:r>
            <w:rPr>
              <w:noProof/>
            </w:rPr>
            <w:t>. Retrieved August 18, 2022, from https://www.ethnicity-facts-figures.service.gov.uk/uk-population-by-ethnicity/national-and-regional-populations/regional-ethnic-diversity/latest#main-facts-and-figures</w:t>
          </w:r>
        </w:p>
        <w:p w14:paraId="26A567DB" w14:textId="77777777" w:rsidR="003A74D8" w:rsidRDefault="003A74D8" w:rsidP="00161621">
          <w:pPr>
            <w:pStyle w:val="ListParagraph"/>
            <w:numPr>
              <w:ilvl w:val="0"/>
              <w:numId w:val="2"/>
            </w:numPr>
            <w:rPr>
              <w:noProof/>
            </w:rPr>
          </w:pPr>
          <w:r>
            <w:rPr>
              <w:noProof/>
            </w:rPr>
            <w:t xml:space="preserve">Ethnicity-facts. (2022). </w:t>
          </w:r>
          <w:r w:rsidRPr="00161621">
            <w:rPr>
              <w:i/>
              <w:iCs/>
              <w:noProof/>
            </w:rPr>
            <w:t>UK population by ethnicity</w:t>
          </w:r>
          <w:r>
            <w:rPr>
              <w:noProof/>
            </w:rPr>
            <w:t>. Retrieved August 18, 2022, from https://www.ethnicity-facts-figures.service.gov.uk/uk-population-by-ethnicity</w:t>
          </w:r>
        </w:p>
        <w:p w14:paraId="328E02D8" w14:textId="77777777" w:rsidR="003A74D8" w:rsidRDefault="003A74D8" w:rsidP="00161621">
          <w:pPr>
            <w:pStyle w:val="ListParagraph"/>
            <w:numPr>
              <w:ilvl w:val="0"/>
              <w:numId w:val="2"/>
            </w:numPr>
            <w:rPr>
              <w:noProof/>
            </w:rPr>
          </w:pPr>
          <w:r>
            <w:rPr>
              <w:noProof/>
            </w:rPr>
            <w:t xml:space="preserve">Ethnicity-facts. (2022). </w:t>
          </w:r>
          <w:r w:rsidRPr="00161621">
            <w:rPr>
              <w:i/>
              <w:iCs/>
              <w:noProof/>
            </w:rPr>
            <w:t>Working age population</w:t>
          </w:r>
          <w:r>
            <w:rPr>
              <w:noProof/>
            </w:rPr>
            <w:t>. Retrieved August 18, 2022, from https://www.ethnicity-facts-figures.service.gov.uk/uk-population-by-ethnicity/demographics/working-age-population/latest</w:t>
          </w:r>
        </w:p>
        <w:p w14:paraId="0D0FDA7C" w14:textId="77777777" w:rsidR="003A74D8" w:rsidRDefault="003A74D8" w:rsidP="00161621">
          <w:pPr>
            <w:pStyle w:val="ListParagraph"/>
            <w:numPr>
              <w:ilvl w:val="0"/>
              <w:numId w:val="2"/>
            </w:numPr>
            <w:rPr>
              <w:noProof/>
            </w:rPr>
          </w:pPr>
          <w:r>
            <w:rPr>
              <w:noProof/>
            </w:rPr>
            <w:t xml:space="preserve">Falender, C., Shafranske, E., </w:t>
          </w:r>
          <w:r w:rsidR="00247A5C">
            <w:rPr>
              <w:noProof/>
            </w:rPr>
            <w:t>and</w:t>
          </w:r>
          <w:r>
            <w:rPr>
              <w:noProof/>
            </w:rPr>
            <w:t xml:space="preserve"> Falicov, C. (2014). </w:t>
          </w:r>
          <w:r w:rsidRPr="00161621">
            <w:rPr>
              <w:i/>
              <w:iCs/>
              <w:noProof/>
            </w:rPr>
            <w:t>Multiculturalism and diversity in clinical supervision: A competency-based approach</w:t>
          </w:r>
          <w:r>
            <w:rPr>
              <w:noProof/>
            </w:rPr>
            <w:t xml:space="preserve"> (01 ed.). London: American Psychological Association, ISBN-13: 978-1433816857.</w:t>
          </w:r>
        </w:p>
        <w:p w14:paraId="343D7B7F" w14:textId="77777777" w:rsidR="003A74D8" w:rsidRDefault="003A74D8" w:rsidP="00161621">
          <w:pPr>
            <w:pStyle w:val="ListParagraph"/>
            <w:numPr>
              <w:ilvl w:val="0"/>
              <w:numId w:val="2"/>
            </w:numPr>
            <w:rPr>
              <w:noProof/>
            </w:rPr>
          </w:pPr>
          <w:r>
            <w:rPr>
              <w:noProof/>
            </w:rPr>
            <w:t xml:space="preserve">Grytten, J. (2017). Payment systems and incentives in dentistry. </w:t>
          </w:r>
          <w:r w:rsidRPr="00161621">
            <w:rPr>
              <w:i/>
              <w:iCs/>
              <w:noProof/>
            </w:rPr>
            <w:t>Community dentistry and oral epidemiology, 45</w:t>
          </w:r>
          <w:r>
            <w:rPr>
              <w:noProof/>
            </w:rPr>
            <w:t>(1), 1-11, DOI 10.1111/cdoe.12267.</w:t>
          </w:r>
        </w:p>
        <w:p w14:paraId="35B796AC" w14:textId="77777777" w:rsidR="003A74D8" w:rsidRDefault="003A74D8" w:rsidP="00161621">
          <w:pPr>
            <w:pStyle w:val="ListParagraph"/>
            <w:numPr>
              <w:ilvl w:val="0"/>
              <w:numId w:val="2"/>
            </w:numPr>
            <w:rPr>
              <w:noProof/>
            </w:rPr>
          </w:pPr>
          <w:r>
            <w:rPr>
              <w:noProof/>
            </w:rPr>
            <w:t>Hargreaves, M., Coffee</w:t>
          </w:r>
          <w:r w:rsidRPr="00161621">
            <w:rPr>
              <w:rFonts w:ascii="Cambria Math" w:hAnsi="Cambria Math" w:cs="Cambria Math"/>
              <w:noProof/>
            </w:rPr>
            <w:t>‐</w:t>
          </w:r>
          <w:r>
            <w:rPr>
              <w:noProof/>
            </w:rPr>
            <w:t xml:space="preserve">Borden, B., </w:t>
          </w:r>
          <w:r w:rsidR="00247A5C">
            <w:rPr>
              <w:noProof/>
            </w:rPr>
            <w:t>and</w:t>
          </w:r>
          <w:r>
            <w:rPr>
              <w:noProof/>
            </w:rPr>
            <w:t xml:space="preserve"> Verbitsky</w:t>
          </w:r>
          <w:r w:rsidRPr="00161621">
            <w:rPr>
              <w:rFonts w:ascii="Cambria Math" w:hAnsi="Cambria Math" w:cs="Cambria Math"/>
              <w:noProof/>
            </w:rPr>
            <w:t>‐</w:t>
          </w:r>
          <w:r>
            <w:rPr>
              <w:noProof/>
            </w:rPr>
            <w:t xml:space="preserve">Savitz, N. (2020). Advancing the Measurement of Collective Community Capacity and the Evaluation of Community </w:t>
          </w:r>
          <w:r>
            <w:rPr>
              <w:noProof/>
            </w:rPr>
            <w:lastRenderedPageBreak/>
            <w:t>Capacity</w:t>
          </w:r>
          <w:r w:rsidRPr="00161621">
            <w:rPr>
              <w:rFonts w:ascii="Cambria Math" w:hAnsi="Cambria Math" w:cs="Cambria Math"/>
              <w:noProof/>
            </w:rPr>
            <w:t>‐</w:t>
          </w:r>
          <w:r>
            <w:rPr>
              <w:noProof/>
            </w:rPr>
            <w:t xml:space="preserve">Building Models. </w:t>
          </w:r>
          <w:r w:rsidRPr="00161621">
            <w:rPr>
              <w:i/>
              <w:iCs/>
              <w:noProof/>
            </w:rPr>
            <w:t>New Directions for Evaluation, 2020</w:t>
          </w:r>
          <w:r>
            <w:rPr>
              <w:noProof/>
            </w:rPr>
            <w:t>(65), 123-138,DOI: 10.1002/ev.20394.</w:t>
          </w:r>
        </w:p>
        <w:p w14:paraId="5F1C0EA9" w14:textId="77777777" w:rsidR="003A74D8" w:rsidRDefault="003A74D8" w:rsidP="00161621">
          <w:pPr>
            <w:pStyle w:val="ListParagraph"/>
            <w:numPr>
              <w:ilvl w:val="0"/>
              <w:numId w:val="2"/>
            </w:numPr>
            <w:rPr>
              <w:noProof/>
            </w:rPr>
          </w:pPr>
          <w:r>
            <w:rPr>
              <w:noProof/>
            </w:rPr>
            <w:t xml:space="preserve">JRF. (2022). </w:t>
          </w:r>
          <w:r w:rsidRPr="00161621">
            <w:rPr>
              <w:i/>
              <w:iCs/>
              <w:noProof/>
            </w:rPr>
            <w:t>Poverty rates among ethnic groups in Great Britain</w:t>
          </w:r>
          <w:r>
            <w:rPr>
              <w:noProof/>
            </w:rPr>
            <w:t>. Retrieved August 18, 2022, from https://www.jrf.org.uk/report/poverty-rates-among-ethnic-groups-great-britain</w:t>
          </w:r>
        </w:p>
        <w:p w14:paraId="526B62DA" w14:textId="77777777" w:rsidR="003A74D8" w:rsidRDefault="003A74D8" w:rsidP="00161621">
          <w:pPr>
            <w:pStyle w:val="ListParagraph"/>
            <w:numPr>
              <w:ilvl w:val="0"/>
              <w:numId w:val="2"/>
            </w:numPr>
            <w:rPr>
              <w:noProof/>
            </w:rPr>
          </w:pPr>
          <w:r>
            <w:rPr>
              <w:noProof/>
            </w:rPr>
            <w:t xml:space="preserve">Lindsey, A. (2020). Community Policing as a Tool to Strengthening Police and Community Relations. </w:t>
          </w:r>
          <w:r w:rsidRPr="00161621">
            <w:rPr>
              <w:i/>
              <w:iCs/>
              <w:noProof/>
            </w:rPr>
            <w:t>A student-based journal devoted to discussions on law and criminal justice</w:t>
          </w:r>
          <w:r>
            <w:rPr>
              <w:noProof/>
            </w:rPr>
            <w:t>, 29, DOI: 10.1177/088541229701200105.</w:t>
          </w:r>
        </w:p>
        <w:p w14:paraId="7CBC2FE4" w14:textId="77777777" w:rsidR="003A74D8" w:rsidRDefault="003A74D8" w:rsidP="00161621">
          <w:pPr>
            <w:pStyle w:val="ListParagraph"/>
            <w:numPr>
              <w:ilvl w:val="0"/>
              <w:numId w:val="2"/>
            </w:numPr>
            <w:rPr>
              <w:noProof/>
            </w:rPr>
          </w:pPr>
          <w:r>
            <w:rPr>
              <w:noProof/>
            </w:rPr>
            <w:t xml:space="preserve">Mikkelsen, B., </w:t>
          </w:r>
          <w:r w:rsidR="00247A5C">
            <w:rPr>
              <w:noProof/>
            </w:rPr>
            <w:t>and</w:t>
          </w:r>
          <w:r>
            <w:rPr>
              <w:noProof/>
            </w:rPr>
            <w:t xml:space="preserve"> Novotny, R. (2016). Multi-level, multi-component approaches to community based interventions for healthy living—a three case comparison. </w:t>
          </w:r>
          <w:r w:rsidRPr="00161621">
            <w:rPr>
              <w:i/>
              <w:iCs/>
              <w:noProof/>
            </w:rPr>
            <w:t>International journal of environmental research and public health, 13</w:t>
          </w:r>
          <w:r>
            <w:rPr>
              <w:noProof/>
            </w:rPr>
            <w:t>(10), 1023, Doi: 10.3390/ijerph13101023.</w:t>
          </w:r>
        </w:p>
        <w:p w14:paraId="5A8630D7" w14:textId="77777777" w:rsidR="003A74D8" w:rsidRDefault="003A74D8" w:rsidP="00161621">
          <w:pPr>
            <w:pStyle w:val="ListParagraph"/>
            <w:numPr>
              <w:ilvl w:val="0"/>
              <w:numId w:val="2"/>
            </w:numPr>
            <w:rPr>
              <w:noProof/>
            </w:rPr>
          </w:pPr>
          <w:r>
            <w:rPr>
              <w:noProof/>
            </w:rPr>
            <w:t xml:space="preserve">Murray, K. (2020). Impact of Covid-19 on the BAME community and voluntary sector. . </w:t>
          </w:r>
          <w:r w:rsidRPr="00161621">
            <w:rPr>
              <w:i/>
              <w:iCs/>
              <w:noProof/>
            </w:rPr>
            <w:t>Journal of community, 45</w:t>
          </w:r>
          <w:r>
            <w:rPr>
              <w:noProof/>
            </w:rPr>
            <w:t>(5), 12, DOI: 10.12/7T6773892.</w:t>
          </w:r>
        </w:p>
        <w:p w14:paraId="690CA16A" w14:textId="77777777" w:rsidR="003A74D8" w:rsidRDefault="003A74D8" w:rsidP="00161621">
          <w:pPr>
            <w:pStyle w:val="ListParagraph"/>
            <w:numPr>
              <w:ilvl w:val="0"/>
              <w:numId w:val="2"/>
            </w:numPr>
            <w:rPr>
              <w:noProof/>
            </w:rPr>
          </w:pPr>
          <w:r>
            <w:rPr>
              <w:noProof/>
            </w:rPr>
            <w:t xml:space="preserve">Poisat, P., Mey, M., </w:t>
          </w:r>
          <w:r w:rsidR="00247A5C">
            <w:rPr>
              <w:noProof/>
            </w:rPr>
            <w:t>and</w:t>
          </w:r>
          <w:r>
            <w:rPr>
              <w:noProof/>
            </w:rPr>
            <w:t xml:space="preserve"> Sharp, G. (2018). Do talent management strategies influence the psychological contract within a diverse environment? </w:t>
          </w:r>
          <w:r w:rsidRPr="00161621">
            <w:rPr>
              <w:i/>
              <w:iCs/>
              <w:noProof/>
            </w:rPr>
            <w:t>SA Journal of Human Resource Management, 16</w:t>
          </w:r>
          <w:r>
            <w:rPr>
              <w:noProof/>
            </w:rPr>
            <w:t>(1), 1-10,DOI:10.4102/sajhrm.v16i0.1044.</w:t>
          </w:r>
        </w:p>
        <w:p w14:paraId="24993C45" w14:textId="77777777" w:rsidR="003A74D8" w:rsidRDefault="003A74D8" w:rsidP="00161621">
          <w:pPr>
            <w:pStyle w:val="ListParagraph"/>
            <w:numPr>
              <w:ilvl w:val="0"/>
              <w:numId w:val="2"/>
            </w:numPr>
            <w:rPr>
              <w:noProof/>
            </w:rPr>
          </w:pPr>
          <w:r>
            <w:rPr>
              <w:noProof/>
            </w:rPr>
            <w:t xml:space="preserve">SHU. (2022). </w:t>
          </w:r>
          <w:r w:rsidRPr="00161621">
            <w:rPr>
              <w:i/>
              <w:iCs/>
              <w:noProof/>
            </w:rPr>
            <w:t>The New Deal for Communities Programme:</w:t>
          </w:r>
          <w:r>
            <w:rPr>
              <w:noProof/>
            </w:rPr>
            <w:t>. Retrieved August 18, 2022, from https://extra.shu.ac.uk/ndc/downloads/general/Volume%20one%20-%20Achieving%20a%20neighbourhood%20focus%20for%20regeneration.pdf</w:t>
          </w:r>
        </w:p>
        <w:p w14:paraId="25A9F7F6" w14:textId="77777777" w:rsidR="003A74D8" w:rsidRDefault="003A74D8" w:rsidP="00161621">
          <w:pPr>
            <w:pStyle w:val="ListParagraph"/>
            <w:numPr>
              <w:ilvl w:val="0"/>
              <w:numId w:val="2"/>
            </w:numPr>
            <w:rPr>
              <w:noProof/>
            </w:rPr>
          </w:pPr>
          <w:r>
            <w:rPr>
              <w:noProof/>
            </w:rPr>
            <w:t xml:space="preserve">Skogan, W., </w:t>
          </w:r>
          <w:r w:rsidR="00247A5C">
            <w:rPr>
              <w:noProof/>
            </w:rPr>
            <w:t>and</w:t>
          </w:r>
          <w:r>
            <w:rPr>
              <w:noProof/>
            </w:rPr>
            <w:t xml:space="preserve"> Hartnett, S. (2019). Community policing. </w:t>
          </w:r>
          <w:r w:rsidRPr="00161621">
            <w:rPr>
              <w:i/>
              <w:iCs/>
              <w:noProof/>
            </w:rPr>
            <w:t>Police innovation: Contrasting perspectives, 12</w:t>
          </w:r>
          <w:r>
            <w:rPr>
              <w:noProof/>
            </w:rPr>
            <w:t>(3), 27-44, DOI:10.1073/pnas.1910157116/-/.</w:t>
          </w:r>
        </w:p>
        <w:p w14:paraId="049A6A7E" w14:textId="77777777" w:rsidR="003A74D8" w:rsidRDefault="003A74D8" w:rsidP="00161621">
          <w:pPr>
            <w:pStyle w:val="ListParagraph"/>
            <w:numPr>
              <w:ilvl w:val="0"/>
              <w:numId w:val="2"/>
            </w:numPr>
            <w:rPr>
              <w:noProof/>
            </w:rPr>
          </w:pPr>
          <w:r>
            <w:rPr>
              <w:noProof/>
            </w:rPr>
            <w:t xml:space="preserve">The Guardian. (2022). </w:t>
          </w:r>
          <w:r w:rsidRPr="00161621">
            <w:rPr>
              <w:i/>
              <w:iCs/>
              <w:noProof/>
            </w:rPr>
            <w:t>Nearly half of BAME UK households are living in poverty</w:t>
          </w:r>
          <w:r>
            <w:rPr>
              <w:noProof/>
            </w:rPr>
            <w:t>. Retrieved August 18, 2022, from https://www.theguardian.com/society/2020/jul/01/nearly-half-of-bame-uk-households-are-living-in-poverty#:~:text=It%20found%20that%2019%25%20of,African%2FCaribbean%2FBlack%20British.</w:t>
          </w:r>
        </w:p>
        <w:p w14:paraId="32F41A3F" w14:textId="77777777" w:rsidR="003A74D8" w:rsidRDefault="003A74D8" w:rsidP="00161621">
          <w:pPr>
            <w:pStyle w:val="ListParagraph"/>
            <w:numPr>
              <w:ilvl w:val="0"/>
              <w:numId w:val="2"/>
            </w:numPr>
            <w:rPr>
              <w:noProof/>
            </w:rPr>
          </w:pPr>
          <w:r>
            <w:rPr>
              <w:noProof/>
            </w:rPr>
            <w:t xml:space="preserve">The Guardian. (2022). </w:t>
          </w:r>
          <w:r w:rsidRPr="00161621">
            <w:rPr>
              <w:i/>
              <w:iCs/>
              <w:noProof/>
            </w:rPr>
            <w:t>UK doubles number of people from minority ethnic backgrounds in prominent roles</w:t>
          </w:r>
          <w:r>
            <w:rPr>
              <w:noProof/>
            </w:rPr>
            <w:t>. Retrieved August 18, 2022, from https://www.theguardian.com/inequality/2021/jul/27/uk-doubles-number-of-people-from-minority-ethnic-backgrounds-in-prominent-roles</w:t>
          </w:r>
        </w:p>
        <w:p w14:paraId="599FBEBF" w14:textId="77777777" w:rsidR="003A74D8" w:rsidRDefault="003A74D8" w:rsidP="00161621">
          <w:pPr>
            <w:pStyle w:val="ListParagraph"/>
            <w:numPr>
              <w:ilvl w:val="0"/>
              <w:numId w:val="2"/>
            </w:numPr>
            <w:rPr>
              <w:noProof/>
            </w:rPr>
          </w:pPr>
          <w:r>
            <w:rPr>
              <w:noProof/>
            </w:rPr>
            <w:lastRenderedPageBreak/>
            <w:t xml:space="preserve">Wingard, D. (2019). Data-driven automated decision-making in assessing employee performance and productivity: Designing and implementing workforce metrics and analytics. </w:t>
          </w:r>
          <w:r w:rsidRPr="00161621">
            <w:rPr>
              <w:i/>
              <w:iCs/>
              <w:noProof/>
            </w:rPr>
            <w:t>Psychosociological Issues in Human Resource Management, 7</w:t>
          </w:r>
          <w:r>
            <w:rPr>
              <w:noProof/>
            </w:rPr>
            <w:t>(2), 13-18.</w:t>
          </w:r>
        </w:p>
        <w:p w14:paraId="606599C0" w14:textId="77777777" w:rsidR="003A74D8" w:rsidRDefault="003A74D8" w:rsidP="00161621">
          <w:pPr>
            <w:pStyle w:val="ListParagraph"/>
            <w:numPr>
              <w:ilvl w:val="0"/>
              <w:numId w:val="2"/>
            </w:numPr>
            <w:rPr>
              <w:noProof/>
            </w:rPr>
          </w:pPr>
          <w:r>
            <w:rPr>
              <w:noProof/>
            </w:rPr>
            <w:t xml:space="preserve">Zimmerman, H., </w:t>
          </w:r>
          <w:r w:rsidR="00247A5C">
            <w:rPr>
              <w:noProof/>
            </w:rPr>
            <w:t>and</w:t>
          </w:r>
          <w:r>
            <w:rPr>
              <w:noProof/>
            </w:rPr>
            <w:t xml:space="preserve"> Weible, J. (2017). Learning in and about rural places: Connections and tensions between students’ everyday experiences and environmental quality issues in their community . </w:t>
          </w:r>
          <w:r w:rsidRPr="00161621">
            <w:rPr>
              <w:i/>
              <w:iCs/>
              <w:noProof/>
            </w:rPr>
            <w:t>Cultural Studies of Science Education, 12</w:t>
          </w:r>
          <w:r>
            <w:rPr>
              <w:noProof/>
            </w:rPr>
            <w:t>(1), 7-31,DOI-10.1007/s11422-016-9757-1.</w:t>
          </w:r>
        </w:p>
        <w:p w14:paraId="34C837F6" w14:textId="77777777" w:rsidR="003A74D8" w:rsidRDefault="00BA4023" w:rsidP="003A74D8"/>
      </w:sdtContent>
    </w:sdt>
    <w:p w14:paraId="0017B0B6" w14:textId="77777777" w:rsidR="003A74D8" w:rsidRDefault="003A74D8" w:rsidP="003A74D8"/>
    <w:p w14:paraId="27E2EF84" w14:textId="77777777" w:rsidR="00BF79D3" w:rsidRPr="00B45C1C" w:rsidRDefault="00BF79D3" w:rsidP="00BF79D3"/>
    <w:sectPr w:rsidR="00BF79D3" w:rsidRPr="00B45C1C">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4457A0" w14:textId="77777777" w:rsidR="00AB2B4A" w:rsidRDefault="00AB2B4A" w:rsidP="00273DA4">
      <w:pPr>
        <w:spacing w:after="0" w:line="240" w:lineRule="auto"/>
      </w:pPr>
      <w:r>
        <w:separator/>
      </w:r>
    </w:p>
  </w:endnote>
  <w:endnote w:type="continuationSeparator" w:id="0">
    <w:p w14:paraId="1A9184E2" w14:textId="77777777" w:rsidR="00AB2B4A" w:rsidRDefault="00AB2B4A" w:rsidP="00273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62711666"/>
      <w:docPartObj>
        <w:docPartGallery w:val="Page Numbers (Bottom of Page)"/>
        <w:docPartUnique/>
      </w:docPartObj>
    </w:sdtPr>
    <w:sdtEndPr>
      <w:rPr>
        <w:noProof/>
      </w:rPr>
    </w:sdtEndPr>
    <w:sdtContent>
      <w:p w14:paraId="555308FF" w14:textId="77777777" w:rsidR="00273DA4" w:rsidRDefault="00273DA4">
        <w:pPr>
          <w:pStyle w:val="Footer"/>
          <w:jc w:val="right"/>
        </w:pPr>
        <w:r>
          <w:fldChar w:fldCharType="begin"/>
        </w:r>
        <w:r>
          <w:instrText xml:space="preserve"> PAGE   \* MERGEFORMAT </w:instrText>
        </w:r>
        <w:r>
          <w:fldChar w:fldCharType="separate"/>
        </w:r>
        <w:r w:rsidR="006B0054">
          <w:rPr>
            <w:noProof/>
          </w:rPr>
          <w:t>4</w:t>
        </w:r>
        <w:r>
          <w:rPr>
            <w:noProof/>
          </w:rPr>
          <w:fldChar w:fldCharType="end"/>
        </w:r>
      </w:p>
    </w:sdtContent>
  </w:sdt>
  <w:p w14:paraId="6D8CF21B" w14:textId="77777777" w:rsidR="00273DA4" w:rsidRDefault="00273D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0612CD" w14:textId="77777777" w:rsidR="00AB2B4A" w:rsidRDefault="00AB2B4A" w:rsidP="00273DA4">
      <w:pPr>
        <w:spacing w:after="0" w:line="240" w:lineRule="auto"/>
      </w:pPr>
      <w:r>
        <w:separator/>
      </w:r>
    </w:p>
  </w:footnote>
  <w:footnote w:type="continuationSeparator" w:id="0">
    <w:p w14:paraId="1FEA9F5A" w14:textId="77777777" w:rsidR="00AB2B4A" w:rsidRDefault="00AB2B4A" w:rsidP="00273D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A724F3"/>
    <w:multiLevelType w:val="hybridMultilevel"/>
    <w:tmpl w:val="62A60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8E83954"/>
    <w:multiLevelType w:val="hybridMultilevel"/>
    <w:tmpl w:val="287093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WyNLI0NLKwMDAwNjNX0lEKTi0uzszPAykwrAUAqDaxGiwAAAA="/>
  </w:docVars>
  <w:rsids>
    <w:rsidRoot w:val="00447BDD"/>
    <w:rsid w:val="000026A5"/>
    <w:rsid w:val="000355E3"/>
    <w:rsid w:val="0008437A"/>
    <w:rsid w:val="00094CE1"/>
    <w:rsid w:val="00095211"/>
    <w:rsid w:val="000A28C4"/>
    <w:rsid w:val="000A7601"/>
    <w:rsid w:val="000E18A4"/>
    <w:rsid w:val="000E1937"/>
    <w:rsid w:val="000E6450"/>
    <w:rsid w:val="000F7EE2"/>
    <w:rsid w:val="00123735"/>
    <w:rsid w:val="00141F2F"/>
    <w:rsid w:val="00157576"/>
    <w:rsid w:val="00161621"/>
    <w:rsid w:val="00162E68"/>
    <w:rsid w:val="00186754"/>
    <w:rsid w:val="00187183"/>
    <w:rsid w:val="001D0C1F"/>
    <w:rsid w:val="00211FD5"/>
    <w:rsid w:val="0021271D"/>
    <w:rsid w:val="002171A5"/>
    <w:rsid w:val="00241D9F"/>
    <w:rsid w:val="00242A78"/>
    <w:rsid w:val="00247A5C"/>
    <w:rsid w:val="002541C1"/>
    <w:rsid w:val="00273DA4"/>
    <w:rsid w:val="00290930"/>
    <w:rsid w:val="00296E6E"/>
    <w:rsid w:val="002A7013"/>
    <w:rsid w:val="002C5670"/>
    <w:rsid w:val="003323F0"/>
    <w:rsid w:val="00334284"/>
    <w:rsid w:val="00337F1C"/>
    <w:rsid w:val="003526B6"/>
    <w:rsid w:val="00385C4B"/>
    <w:rsid w:val="003A74D8"/>
    <w:rsid w:val="003D7EC7"/>
    <w:rsid w:val="003E6625"/>
    <w:rsid w:val="00411D5C"/>
    <w:rsid w:val="004341D0"/>
    <w:rsid w:val="004352BB"/>
    <w:rsid w:val="00447BDD"/>
    <w:rsid w:val="004666B3"/>
    <w:rsid w:val="00467E77"/>
    <w:rsid w:val="00475019"/>
    <w:rsid w:val="00496107"/>
    <w:rsid w:val="004977E0"/>
    <w:rsid w:val="004C1751"/>
    <w:rsid w:val="004F59C6"/>
    <w:rsid w:val="00523FE2"/>
    <w:rsid w:val="00534A97"/>
    <w:rsid w:val="005705F5"/>
    <w:rsid w:val="005A491F"/>
    <w:rsid w:val="005D2BD0"/>
    <w:rsid w:val="005E29F0"/>
    <w:rsid w:val="005E7BC8"/>
    <w:rsid w:val="00601CE2"/>
    <w:rsid w:val="00627FB1"/>
    <w:rsid w:val="00633F8C"/>
    <w:rsid w:val="006447B2"/>
    <w:rsid w:val="0065212D"/>
    <w:rsid w:val="00681A9B"/>
    <w:rsid w:val="00690A55"/>
    <w:rsid w:val="006A376F"/>
    <w:rsid w:val="006A62BC"/>
    <w:rsid w:val="006A6992"/>
    <w:rsid w:val="006B0054"/>
    <w:rsid w:val="006B30D4"/>
    <w:rsid w:val="006B57F2"/>
    <w:rsid w:val="006E13FE"/>
    <w:rsid w:val="006E6A05"/>
    <w:rsid w:val="006F19FC"/>
    <w:rsid w:val="00700BD5"/>
    <w:rsid w:val="007202FF"/>
    <w:rsid w:val="00731A41"/>
    <w:rsid w:val="007561ED"/>
    <w:rsid w:val="00762B87"/>
    <w:rsid w:val="007A6F1E"/>
    <w:rsid w:val="007A7E38"/>
    <w:rsid w:val="00803B30"/>
    <w:rsid w:val="00803C7F"/>
    <w:rsid w:val="00812E3B"/>
    <w:rsid w:val="00817C89"/>
    <w:rsid w:val="00877D6A"/>
    <w:rsid w:val="00880838"/>
    <w:rsid w:val="00893443"/>
    <w:rsid w:val="0089632F"/>
    <w:rsid w:val="00896340"/>
    <w:rsid w:val="008F603F"/>
    <w:rsid w:val="00934CD7"/>
    <w:rsid w:val="00954808"/>
    <w:rsid w:val="00974DA4"/>
    <w:rsid w:val="00982F73"/>
    <w:rsid w:val="009A33C1"/>
    <w:rsid w:val="009C04CE"/>
    <w:rsid w:val="009C4235"/>
    <w:rsid w:val="00A569AA"/>
    <w:rsid w:val="00A62658"/>
    <w:rsid w:val="00A642EB"/>
    <w:rsid w:val="00A67383"/>
    <w:rsid w:val="00A67D7F"/>
    <w:rsid w:val="00A94B9E"/>
    <w:rsid w:val="00AB2B4A"/>
    <w:rsid w:val="00AC4A30"/>
    <w:rsid w:val="00B01BE9"/>
    <w:rsid w:val="00B106E7"/>
    <w:rsid w:val="00B279CF"/>
    <w:rsid w:val="00B42217"/>
    <w:rsid w:val="00B45C1C"/>
    <w:rsid w:val="00B52805"/>
    <w:rsid w:val="00B739C1"/>
    <w:rsid w:val="00B73D56"/>
    <w:rsid w:val="00B748B4"/>
    <w:rsid w:val="00B8029C"/>
    <w:rsid w:val="00BA4023"/>
    <w:rsid w:val="00BA4D79"/>
    <w:rsid w:val="00BD606A"/>
    <w:rsid w:val="00BE463D"/>
    <w:rsid w:val="00BF79D3"/>
    <w:rsid w:val="00C1233F"/>
    <w:rsid w:val="00CE1795"/>
    <w:rsid w:val="00CF2355"/>
    <w:rsid w:val="00D3325E"/>
    <w:rsid w:val="00D352A5"/>
    <w:rsid w:val="00D35868"/>
    <w:rsid w:val="00D402C2"/>
    <w:rsid w:val="00D56076"/>
    <w:rsid w:val="00D8637B"/>
    <w:rsid w:val="00DA3E7B"/>
    <w:rsid w:val="00DF427B"/>
    <w:rsid w:val="00E05DF3"/>
    <w:rsid w:val="00E15539"/>
    <w:rsid w:val="00E410F6"/>
    <w:rsid w:val="00E66FF8"/>
    <w:rsid w:val="00F3194E"/>
    <w:rsid w:val="00F668B3"/>
    <w:rsid w:val="00F6766C"/>
    <w:rsid w:val="00F962AB"/>
    <w:rsid w:val="00FD1D10"/>
    <w:rsid w:val="00FD402E"/>
    <w:rsid w:val="00FE527C"/>
    <w:rsid w:val="00FE5C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327D3"/>
  <w15:chartTrackingRefBased/>
  <w15:docId w15:val="{EF35D3AB-5E8F-4F0D-9409-328DE6C44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79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B57F2"/>
    <w:pPr>
      <w:keepNext/>
      <w:keepLines/>
      <w:spacing w:before="240" w:after="0"/>
      <w:outlineLvl w:val="0"/>
    </w:pPr>
    <w:rPr>
      <w:rFonts w:asciiTheme="majorHAnsi" w:eastAsiaTheme="majorEastAsia" w:hAnsiTheme="majorHAnsi" w:cstheme="majorBidi"/>
      <w:color w:val="2E74B5" w:themeColor="accent1" w:themeShade="BF"/>
      <w:sz w:val="30"/>
      <w:szCs w:val="32"/>
    </w:rPr>
  </w:style>
  <w:style w:type="paragraph" w:styleId="Heading2">
    <w:name w:val="heading 2"/>
    <w:basedOn w:val="Normal"/>
    <w:next w:val="Normal"/>
    <w:link w:val="Heading2Char"/>
    <w:uiPriority w:val="9"/>
    <w:unhideWhenUsed/>
    <w:qFormat/>
    <w:rsid w:val="006B57F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F7EE2"/>
    <w:pPr>
      <w:spacing w:after="0"/>
      <w:contextualSpacing/>
    </w:pPr>
    <w:rPr>
      <w:rFonts w:asciiTheme="majorHAnsi" w:eastAsiaTheme="majorEastAsia" w:hAnsiTheme="majorHAnsi" w:cstheme="majorBidi"/>
      <w:b/>
      <w:spacing w:val="-10"/>
      <w:kern w:val="28"/>
      <w:sz w:val="56"/>
      <w:szCs w:val="56"/>
    </w:rPr>
  </w:style>
  <w:style w:type="character" w:customStyle="1" w:styleId="TitleChar">
    <w:name w:val="Title Char"/>
    <w:basedOn w:val="DefaultParagraphFont"/>
    <w:link w:val="Title"/>
    <w:uiPriority w:val="10"/>
    <w:rsid w:val="000F7EE2"/>
    <w:rPr>
      <w:rFonts w:asciiTheme="majorHAnsi" w:eastAsiaTheme="majorEastAsia" w:hAnsiTheme="majorHAnsi" w:cstheme="majorBidi"/>
      <w:b/>
      <w:spacing w:val="-10"/>
      <w:kern w:val="28"/>
      <w:sz w:val="56"/>
      <w:szCs w:val="56"/>
    </w:rPr>
  </w:style>
  <w:style w:type="character" w:customStyle="1" w:styleId="Heading1Char">
    <w:name w:val="Heading 1 Char"/>
    <w:basedOn w:val="DefaultParagraphFont"/>
    <w:link w:val="Heading1"/>
    <w:uiPriority w:val="9"/>
    <w:rsid w:val="006B57F2"/>
    <w:rPr>
      <w:rFonts w:asciiTheme="majorHAnsi" w:eastAsiaTheme="majorEastAsia" w:hAnsiTheme="majorHAnsi" w:cstheme="majorBidi"/>
      <w:color w:val="2E74B5" w:themeColor="accent1" w:themeShade="BF"/>
      <w:sz w:val="30"/>
      <w:szCs w:val="32"/>
    </w:rPr>
  </w:style>
  <w:style w:type="character" w:customStyle="1" w:styleId="Heading2Char">
    <w:name w:val="Heading 2 Char"/>
    <w:basedOn w:val="DefaultParagraphFont"/>
    <w:link w:val="Heading2"/>
    <w:uiPriority w:val="9"/>
    <w:rsid w:val="006B57F2"/>
    <w:rPr>
      <w:rFonts w:asciiTheme="majorHAnsi" w:eastAsiaTheme="majorEastAsia" w:hAnsiTheme="majorHAnsi" w:cstheme="majorBidi"/>
      <w:color w:val="2E74B5" w:themeColor="accent1" w:themeShade="BF"/>
      <w:sz w:val="26"/>
      <w:szCs w:val="26"/>
    </w:rPr>
  </w:style>
  <w:style w:type="paragraph" w:styleId="Caption">
    <w:name w:val="caption"/>
    <w:basedOn w:val="Normal"/>
    <w:next w:val="Normal"/>
    <w:uiPriority w:val="35"/>
    <w:unhideWhenUsed/>
    <w:qFormat/>
    <w:rsid w:val="007A7E38"/>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3A74D8"/>
  </w:style>
  <w:style w:type="paragraph" w:styleId="ListParagraph">
    <w:name w:val="List Paragraph"/>
    <w:basedOn w:val="Normal"/>
    <w:uiPriority w:val="34"/>
    <w:qFormat/>
    <w:rsid w:val="003A74D8"/>
    <w:pPr>
      <w:ind w:left="720"/>
      <w:contextualSpacing/>
    </w:pPr>
  </w:style>
  <w:style w:type="paragraph" w:styleId="TOCHeading">
    <w:name w:val="TOC Heading"/>
    <w:basedOn w:val="Heading1"/>
    <w:next w:val="Normal"/>
    <w:uiPriority w:val="39"/>
    <w:unhideWhenUsed/>
    <w:qFormat/>
    <w:rsid w:val="00273DA4"/>
    <w:pPr>
      <w:spacing w:line="259" w:lineRule="auto"/>
      <w:jc w:val="left"/>
      <w:outlineLvl w:val="9"/>
    </w:pPr>
    <w:rPr>
      <w:sz w:val="32"/>
      <w:lang w:val="en-US"/>
    </w:rPr>
  </w:style>
  <w:style w:type="paragraph" w:styleId="TOC1">
    <w:name w:val="toc 1"/>
    <w:basedOn w:val="Normal"/>
    <w:next w:val="Normal"/>
    <w:autoRedefine/>
    <w:uiPriority w:val="39"/>
    <w:unhideWhenUsed/>
    <w:rsid w:val="00273DA4"/>
    <w:pPr>
      <w:spacing w:after="100"/>
    </w:pPr>
  </w:style>
  <w:style w:type="paragraph" w:styleId="TOC2">
    <w:name w:val="toc 2"/>
    <w:basedOn w:val="Normal"/>
    <w:next w:val="Normal"/>
    <w:autoRedefine/>
    <w:uiPriority w:val="39"/>
    <w:unhideWhenUsed/>
    <w:rsid w:val="00273DA4"/>
    <w:pPr>
      <w:spacing w:after="100"/>
      <w:ind w:left="240"/>
    </w:pPr>
  </w:style>
  <w:style w:type="character" w:styleId="Hyperlink">
    <w:name w:val="Hyperlink"/>
    <w:basedOn w:val="DefaultParagraphFont"/>
    <w:uiPriority w:val="99"/>
    <w:unhideWhenUsed/>
    <w:rsid w:val="00273DA4"/>
    <w:rPr>
      <w:color w:val="0563C1" w:themeColor="hyperlink"/>
      <w:u w:val="single"/>
    </w:rPr>
  </w:style>
  <w:style w:type="paragraph" w:styleId="Header">
    <w:name w:val="header"/>
    <w:basedOn w:val="Normal"/>
    <w:link w:val="HeaderChar"/>
    <w:uiPriority w:val="99"/>
    <w:unhideWhenUsed/>
    <w:rsid w:val="00273D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DA4"/>
    <w:rPr>
      <w:rFonts w:ascii="Times New Roman" w:hAnsi="Times New Roman"/>
      <w:sz w:val="24"/>
    </w:rPr>
  </w:style>
  <w:style w:type="paragraph" w:styleId="Footer">
    <w:name w:val="footer"/>
    <w:basedOn w:val="Normal"/>
    <w:link w:val="FooterChar"/>
    <w:uiPriority w:val="99"/>
    <w:unhideWhenUsed/>
    <w:rsid w:val="00273D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DA4"/>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3314">
      <w:bodyDiv w:val="1"/>
      <w:marLeft w:val="0"/>
      <w:marRight w:val="0"/>
      <w:marTop w:val="0"/>
      <w:marBottom w:val="0"/>
      <w:divBdr>
        <w:top w:val="none" w:sz="0" w:space="0" w:color="auto"/>
        <w:left w:val="none" w:sz="0" w:space="0" w:color="auto"/>
        <w:bottom w:val="none" w:sz="0" w:space="0" w:color="auto"/>
        <w:right w:val="none" w:sz="0" w:space="0" w:color="auto"/>
      </w:divBdr>
    </w:div>
    <w:div w:id="36702114">
      <w:bodyDiv w:val="1"/>
      <w:marLeft w:val="0"/>
      <w:marRight w:val="0"/>
      <w:marTop w:val="0"/>
      <w:marBottom w:val="0"/>
      <w:divBdr>
        <w:top w:val="none" w:sz="0" w:space="0" w:color="auto"/>
        <w:left w:val="none" w:sz="0" w:space="0" w:color="auto"/>
        <w:bottom w:val="none" w:sz="0" w:space="0" w:color="auto"/>
        <w:right w:val="none" w:sz="0" w:space="0" w:color="auto"/>
      </w:divBdr>
    </w:div>
    <w:div w:id="65080787">
      <w:bodyDiv w:val="1"/>
      <w:marLeft w:val="0"/>
      <w:marRight w:val="0"/>
      <w:marTop w:val="0"/>
      <w:marBottom w:val="0"/>
      <w:divBdr>
        <w:top w:val="none" w:sz="0" w:space="0" w:color="auto"/>
        <w:left w:val="none" w:sz="0" w:space="0" w:color="auto"/>
        <w:bottom w:val="none" w:sz="0" w:space="0" w:color="auto"/>
        <w:right w:val="none" w:sz="0" w:space="0" w:color="auto"/>
      </w:divBdr>
    </w:div>
    <w:div w:id="172964262">
      <w:bodyDiv w:val="1"/>
      <w:marLeft w:val="0"/>
      <w:marRight w:val="0"/>
      <w:marTop w:val="0"/>
      <w:marBottom w:val="0"/>
      <w:divBdr>
        <w:top w:val="none" w:sz="0" w:space="0" w:color="auto"/>
        <w:left w:val="none" w:sz="0" w:space="0" w:color="auto"/>
        <w:bottom w:val="none" w:sz="0" w:space="0" w:color="auto"/>
        <w:right w:val="none" w:sz="0" w:space="0" w:color="auto"/>
      </w:divBdr>
    </w:div>
    <w:div w:id="176698115">
      <w:bodyDiv w:val="1"/>
      <w:marLeft w:val="0"/>
      <w:marRight w:val="0"/>
      <w:marTop w:val="0"/>
      <w:marBottom w:val="0"/>
      <w:divBdr>
        <w:top w:val="none" w:sz="0" w:space="0" w:color="auto"/>
        <w:left w:val="none" w:sz="0" w:space="0" w:color="auto"/>
        <w:bottom w:val="none" w:sz="0" w:space="0" w:color="auto"/>
        <w:right w:val="none" w:sz="0" w:space="0" w:color="auto"/>
      </w:divBdr>
    </w:div>
    <w:div w:id="220793375">
      <w:bodyDiv w:val="1"/>
      <w:marLeft w:val="0"/>
      <w:marRight w:val="0"/>
      <w:marTop w:val="0"/>
      <w:marBottom w:val="0"/>
      <w:divBdr>
        <w:top w:val="none" w:sz="0" w:space="0" w:color="auto"/>
        <w:left w:val="none" w:sz="0" w:space="0" w:color="auto"/>
        <w:bottom w:val="none" w:sz="0" w:space="0" w:color="auto"/>
        <w:right w:val="none" w:sz="0" w:space="0" w:color="auto"/>
      </w:divBdr>
    </w:div>
    <w:div w:id="247927749">
      <w:bodyDiv w:val="1"/>
      <w:marLeft w:val="0"/>
      <w:marRight w:val="0"/>
      <w:marTop w:val="0"/>
      <w:marBottom w:val="0"/>
      <w:divBdr>
        <w:top w:val="none" w:sz="0" w:space="0" w:color="auto"/>
        <w:left w:val="none" w:sz="0" w:space="0" w:color="auto"/>
        <w:bottom w:val="none" w:sz="0" w:space="0" w:color="auto"/>
        <w:right w:val="none" w:sz="0" w:space="0" w:color="auto"/>
      </w:divBdr>
    </w:div>
    <w:div w:id="278725754">
      <w:bodyDiv w:val="1"/>
      <w:marLeft w:val="0"/>
      <w:marRight w:val="0"/>
      <w:marTop w:val="0"/>
      <w:marBottom w:val="0"/>
      <w:divBdr>
        <w:top w:val="none" w:sz="0" w:space="0" w:color="auto"/>
        <w:left w:val="none" w:sz="0" w:space="0" w:color="auto"/>
        <w:bottom w:val="none" w:sz="0" w:space="0" w:color="auto"/>
        <w:right w:val="none" w:sz="0" w:space="0" w:color="auto"/>
      </w:divBdr>
    </w:div>
    <w:div w:id="287660445">
      <w:bodyDiv w:val="1"/>
      <w:marLeft w:val="0"/>
      <w:marRight w:val="0"/>
      <w:marTop w:val="0"/>
      <w:marBottom w:val="0"/>
      <w:divBdr>
        <w:top w:val="none" w:sz="0" w:space="0" w:color="auto"/>
        <w:left w:val="none" w:sz="0" w:space="0" w:color="auto"/>
        <w:bottom w:val="none" w:sz="0" w:space="0" w:color="auto"/>
        <w:right w:val="none" w:sz="0" w:space="0" w:color="auto"/>
      </w:divBdr>
    </w:div>
    <w:div w:id="303394767">
      <w:bodyDiv w:val="1"/>
      <w:marLeft w:val="0"/>
      <w:marRight w:val="0"/>
      <w:marTop w:val="0"/>
      <w:marBottom w:val="0"/>
      <w:divBdr>
        <w:top w:val="none" w:sz="0" w:space="0" w:color="auto"/>
        <w:left w:val="none" w:sz="0" w:space="0" w:color="auto"/>
        <w:bottom w:val="none" w:sz="0" w:space="0" w:color="auto"/>
        <w:right w:val="none" w:sz="0" w:space="0" w:color="auto"/>
      </w:divBdr>
    </w:div>
    <w:div w:id="325011143">
      <w:bodyDiv w:val="1"/>
      <w:marLeft w:val="0"/>
      <w:marRight w:val="0"/>
      <w:marTop w:val="0"/>
      <w:marBottom w:val="0"/>
      <w:divBdr>
        <w:top w:val="none" w:sz="0" w:space="0" w:color="auto"/>
        <w:left w:val="none" w:sz="0" w:space="0" w:color="auto"/>
        <w:bottom w:val="none" w:sz="0" w:space="0" w:color="auto"/>
        <w:right w:val="none" w:sz="0" w:space="0" w:color="auto"/>
      </w:divBdr>
    </w:div>
    <w:div w:id="348869715">
      <w:bodyDiv w:val="1"/>
      <w:marLeft w:val="0"/>
      <w:marRight w:val="0"/>
      <w:marTop w:val="0"/>
      <w:marBottom w:val="0"/>
      <w:divBdr>
        <w:top w:val="none" w:sz="0" w:space="0" w:color="auto"/>
        <w:left w:val="none" w:sz="0" w:space="0" w:color="auto"/>
        <w:bottom w:val="none" w:sz="0" w:space="0" w:color="auto"/>
        <w:right w:val="none" w:sz="0" w:space="0" w:color="auto"/>
      </w:divBdr>
    </w:div>
    <w:div w:id="414980934">
      <w:bodyDiv w:val="1"/>
      <w:marLeft w:val="0"/>
      <w:marRight w:val="0"/>
      <w:marTop w:val="0"/>
      <w:marBottom w:val="0"/>
      <w:divBdr>
        <w:top w:val="none" w:sz="0" w:space="0" w:color="auto"/>
        <w:left w:val="none" w:sz="0" w:space="0" w:color="auto"/>
        <w:bottom w:val="none" w:sz="0" w:space="0" w:color="auto"/>
        <w:right w:val="none" w:sz="0" w:space="0" w:color="auto"/>
      </w:divBdr>
    </w:div>
    <w:div w:id="476068462">
      <w:bodyDiv w:val="1"/>
      <w:marLeft w:val="0"/>
      <w:marRight w:val="0"/>
      <w:marTop w:val="0"/>
      <w:marBottom w:val="0"/>
      <w:divBdr>
        <w:top w:val="none" w:sz="0" w:space="0" w:color="auto"/>
        <w:left w:val="none" w:sz="0" w:space="0" w:color="auto"/>
        <w:bottom w:val="none" w:sz="0" w:space="0" w:color="auto"/>
        <w:right w:val="none" w:sz="0" w:space="0" w:color="auto"/>
      </w:divBdr>
    </w:div>
    <w:div w:id="597062049">
      <w:bodyDiv w:val="1"/>
      <w:marLeft w:val="0"/>
      <w:marRight w:val="0"/>
      <w:marTop w:val="0"/>
      <w:marBottom w:val="0"/>
      <w:divBdr>
        <w:top w:val="none" w:sz="0" w:space="0" w:color="auto"/>
        <w:left w:val="none" w:sz="0" w:space="0" w:color="auto"/>
        <w:bottom w:val="none" w:sz="0" w:space="0" w:color="auto"/>
        <w:right w:val="none" w:sz="0" w:space="0" w:color="auto"/>
      </w:divBdr>
    </w:div>
    <w:div w:id="635530865">
      <w:bodyDiv w:val="1"/>
      <w:marLeft w:val="0"/>
      <w:marRight w:val="0"/>
      <w:marTop w:val="0"/>
      <w:marBottom w:val="0"/>
      <w:divBdr>
        <w:top w:val="none" w:sz="0" w:space="0" w:color="auto"/>
        <w:left w:val="none" w:sz="0" w:space="0" w:color="auto"/>
        <w:bottom w:val="none" w:sz="0" w:space="0" w:color="auto"/>
        <w:right w:val="none" w:sz="0" w:space="0" w:color="auto"/>
      </w:divBdr>
    </w:div>
    <w:div w:id="656226265">
      <w:bodyDiv w:val="1"/>
      <w:marLeft w:val="0"/>
      <w:marRight w:val="0"/>
      <w:marTop w:val="0"/>
      <w:marBottom w:val="0"/>
      <w:divBdr>
        <w:top w:val="none" w:sz="0" w:space="0" w:color="auto"/>
        <w:left w:val="none" w:sz="0" w:space="0" w:color="auto"/>
        <w:bottom w:val="none" w:sz="0" w:space="0" w:color="auto"/>
        <w:right w:val="none" w:sz="0" w:space="0" w:color="auto"/>
      </w:divBdr>
    </w:div>
    <w:div w:id="729811797">
      <w:bodyDiv w:val="1"/>
      <w:marLeft w:val="0"/>
      <w:marRight w:val="0"/>
      <w:marTop w:val="0"/>
      <w:marBottom w:val="0"/>
      <w:divBdr>
        <w:top w:val="none" w:sz="0" w:space="0" w:color="auto"/>
        <w:left w:val="none" w:sz="0" w:space="0" w:color="auto"/>
        <w:bottom w:val="none" w:sz="0" w:space="0" w:color="auto"/>
        <w:right w:val="none" w:sz="0" w:space="0" w:color="auto"/>
      </w:divBdr>
    </w:div>
    <w:div w:id="778570424">
      <w:bodyDiv w:val="1"/>
      <w:marLeft w:val="0"/>
      <w:marRight w:val="0"/>
      <w:marTop w:val="0"/>
      <w:marBottom w:val="0"/>
      <w:divBdr>
        <w:top w:val="none" w:sz="0" w:space="0" w:color="auto"/>
        <w:left w:val="none" w:sz="0" w:space="0" w:color="auto"/>
        <w:bottom w:val="none" w:sz="0" w:space="0" w:color="auto"/>
        <w:right w:val="none" w:sz="0" w:space="0" w:color="auto"/>
      </w:divBdr>
    </w:div>
    <w:div w:id="815731286">
      <w:bodyDiv w:val="1"/>
      <w:marLeft w:val="0"/>
      <w:marRight w:val="0"/>
      <w:marTop w:val="0"/>
      <w:marBottom w:val="0"/>
      <w:divBdr>
        <w:top w:val="none" w:sz="0" w:space="0" w:color="auto"/>
        <w:left w:val="none" w:sz="0" w:space="0" w:color="auto"/>
        <w:bottom w:val="none" w:sz="0" w:space="0" w:color="auto"/>
        <w:right w:val="none" w:sz="0" w:space="0" w:color="auto"/>
      </w:divBdr>
    </w:div>
    <w:div w:id="830952580">
      <w:bodyDiv w:val="1"/>
      <w:marLeft w:val="0"/>
      <w:marRight w:val="0"/>
      <w:marTop w:val="0"/>
      <w:marBottom w:val="0"/>
      <w:divBdr>
        <w:top w:val="none" w:sz="0" w:space="0" w:color="auto"/>
        <w:left w:val="none" w:sz="0" w:space="0" w:color="auto"/>
        <w:bottom w:val="none" w:sz="0" w:space="0" w:color="auto"/>
        <w:right w:val="none" w:sz="0" w:space="0" w:color="auto"/>
      </w:divBdr>
    </w:div>
    <w:div w:id="833762862">
      <w:bodyDiv w:val="1"/>
      <w:marLeft w:val="0"/>
      <w:marRight w:val="0"/>
      <w:marTop w:val="0"/>
      <w:marBottom w:val="0"/>
      <w:divBdr>
        <w:top w:val="none" w:sz="0" w:space="0" w:color="auto"/>
        <w:left w:val="none" w:sz="0" w:space="0" w:color="auto"/>
        <w:bottom w:val="none" w:sz="0" w:space="0" w:color="auto"/>
        <w:right w:val="none" w:sz="0" w:space="0" w:color="auto"/>
      </w:divBdr>
    </w:div>
    <w:div w:id="836921485">
      <w:bodyDiv w:val="1"/>
      <w:marLeft w:val="0"/>
      <w:marRight w:val="0"/>
      <w:marTop w:val="0"/>
      <w:marBottom w:val="0"/>
      <w:divBdr>
        <w:top w:val="none" w:sz="0" w:space="0" w:color="auto"/>
        <w:left w:val="none" w:sz="0" w:space="0" w:color="auto"/>
        <w:bottom w:val="none" w:sz="0" w:space="0" w:color="auto"/>
        <w:right w:val="none" w:sz="0" w:space="0" w:color="auto"/>
      </w:divBdr>
    </w:div>
    <w:div w:id="950207789">
      <w:bodyDiv w:val="1"/>
      <w:marLeft w:val="0"/>
      <w:marRight w:val="0"/>
      <w:marTop w:val="0"/>
      <w:marBottom w:val="0"/>
      <w:divBdr>
        <w:top w:val="none" w:sz="0" w:space="0" w:color="auto"/>
        <w:left w:val="none" w:sz="0" w:space="0" w:color="auto"/>
        <w:bottom w:val="none" w:sz="0" w:space="0" w:color="auto"/>
        <w:right w:val="none" w:sz="0" w:space="0" w:color="auto"/>
      </w:divBdr>
    </w:div>
    <w:div w:id="965158061">
      <w:bodyDiv w:val="1"/>
      <w:marLeft w:val="0"/>
      <w:marRight w:val="0"/>
      <w:marTop w:val="0"/>
      <w:marBottom w:val="0"/>
      <w:divBdr>
        <w:top w:val="none" w:sz="0" w:space="0" w:color="auto"/>
        <w:left w:val="none" w:sz="0" w:space="0" w:color="auto"/>
        <w:bottom w:val="none" w:sz="0" w:space="0" w:color="auto"/>
        <w:right w:val="none" w:sz="0" w:space="0" w:color="auto"/>
      </w:divBdr>
    </w:div>
    <w:div w:id="1071583523">
      <w:bodyDiv w:val="1"/>
      <w:marLeft w:val="0"/>
      <w:marRight w:val="0"/>
      <w:marTop w:val="0"/>
      <w:marBottom w:val="0"/>
      <w:divBdr>
        <w:top w:val="none" w:sz="0" w:space="0" w:color="auto"/>
        <w:left w:val="none" w:sz="0" w:space="0" w:color="auto"/>
        <w:bottom w:val="none" w:sz="0" w:space="0" w:color="auto"/>
        <w:right w:val="none" w:sz="0" w:space="0" w:color="auto"/>
      </w:divBdr>
    </w:div>
    <w:div w:id="1096100927">
      <w:bodyDiv w:val="1"/>
      <w:marLeft w:val="0"/>
      <w:marRight w:val="0"/>
      <w:marTop w:val="0"/>
      <w:marBottom w:val="0"/>
      <w:divBdr>
        <w:top w:val="none" w:sz="0" w:space="0" w:color="auto"/>
        <w:left w:val="none" w:sz="0" w:space="0" w:color="auto"/>
        <w:bottom w:val="none" w:sz="0" w:space="0" w:color="auto"/>
        <w:right w:val="none" w:sz="0" w:space="0" w:color="auto"/>
      </w:divBdr>
    </w:div>
    <w:div w:id="1118253888">
      <w:bodyDiv w:val="1"/>
      <w:marLeft w:val="0"/>
      <w:marRight w:val="0"/>
      <w:marTop w:val="0"/>
      <w:marBottom w:val="0"/>
      <w:divBdr>
        <w:top w:val="none" w:sz="0" w:space="0" w:color="auto"/>
        <w:left w:val="none" w:sz="0" w:space="0" w:color="auto"/>
        <w:bottom w:val="none" w:sz="0" w:space="0" w:color="auto"/>
        <w:right w:val="none" w:sz="0" w:space="0" w:color="auto"/>
      </w:divBdr>
    </w:div>
    <w:div w:id="1131825247">
      <w:bodyDiv w:val="1"/>
      <w:marLeft w:val="0"/>
      <w:marRight w:val="0"/>
      <w:marTop w:val="0"/>
      <w:marBottom w:val="0"/>
      <w:divBdr>
        <w:top w:val="none" w:sz="0" w:space="0" w:color="auto"/>
        <w:left w:val="none" w:sz="0" w:space="0" w:color="auto"/>
        <w:bottom w:val="none" w:sz="0" w:space="0" w:color="auto"/>
        <w:right w:val="none" w:sz="0" w:space="0" w:color="auto"/>
      </w:divBdr>
    </w:div>
    <w:div w:id="1133913484">
      <w:bodyDiv w:val="1"/>
      <w:marLeft w:val="0"/>
      <w:marRight w:val="0"/>
      <w:marTop w:val="0"/>
      <w:marBottom w:val="0"/>
      <w:divBdr>
        <w:top w:val="none" w:sz="0" w:space="0" w:color="auto"/>
        <w:left w:val="none" w:sz="0" w:space="0" w:color="auto"/>
        <w:bottom w:val="none" w:sz="0" w:space="0" w:color="auto"/>
        <w:right w:val="none" w:sz="0" w:space="0" w:color="auto"/>
      </w:divBdr>
    </w:div>
    <w:div w:id="1196231446">
      <w:bodyDiv w:val="1"/>
      <w:marLeft w:val="0"/>
      <w:marRight w:val="0"/>
      <w:marTop w:val="0"/>
      <w:marBottom w:val="0"/>
      <w:divBdr>
        <w:top w:val="none" w:sz="0" w:space="0" w:color="auto"/>
        <w:left w:val="none" w:sz="0" w:space="0" w:color="auto"/>
        <w:bottom w:val="none" w:sz="0" w:space="0" w:color="auto"/>
        <w:right w:val="none" w:sz="0" w:space="0" w:color="auto"/>
      </w:divBdr>
    </w:div>
    <w:div w:id="1201747339">
      <w:bodyDiv w:val="1"/>
      <w:marLeft w:val="0"/>
      <w:marRight w:val="0"/>
      <w:marTop w:val="0"/>
      <w:marBottom w:val="0"/>
      <w:divBdr>
        <w:top w:val="none" w:sz="0" w:space="0" w:color="auto"/>
        <w:left w:val="none" w:sz="0" w:space="0" w:color="auto"/>
        <w:bottom w:val="none" w:sz="0" w:space="0" w:color="auto"/>
        <w:right w:val="none" w:sz="0" w:space="0" w:color="auto"/>
      </w:divBdr>
    </w:div>
    <w:div w:id="1216816982">
      <w:bodyDiv w:val="1"/>
      <w:marLeft w:val="0"/>
      <w:marRight w:val="0"/>
      <w:marTop w:val="0"/>
      <w:marBottom w:val="0"/>
      <w:divBdr>
        <w:top w:val="none" w:sz="0" w:space="0" w:color="auto"/>
        <w:left w:val="none" w:sz="0" w:space="0" w:color="auto"/>
        <w:bottom w:val="none" w:sz="0" w:space="0" w:color="auto"/>
        <w:right w:val="none" w:sz="0" w:space="0" w:color="auto"/>
      </w:divBdr>
    </w:div>
    <w:div w:id="1228616399">
      <w:bodyDiv w:val="1"/>
      <w:marLeft w:val="0"/>
      <w:marRight w:val="0"/>
      <w:marTop w:val="0"/>
      <w:marBottom w:val="0"/>
      <w:divBdr>
        <w:top w:val="none" w:sz="0" w:space="0" w:color="auto"/>
        <w:left w:val="none" w:sz="0" w:space="0" w:color="auto"/>
        <w:bottom w:val="none" w:sz="0" w:space="0" w:color="auto"/>
        <w:right w:val="none" w:sz="0" w:space="0" w:color="auto"/>
      </w:divBdr>
    </w:div>
    <w:div w:id="1228800222">
      <w:bodyDiv w:val="1"/>
      <w:marLeft w:val="0"/>
      <w:marRight w:val="0"/>
      <w:marTop w:val="0"/>
      <w:marBottom w:val="0"/>
      <w:divBdr>
        <w:top w:val="none" w:sz="0" w:space="0" w:color="auto"/>
        <w:left w:val="none" w:sz="0" w:space="0" w:color="auto"/>
        <w:bottom w:val="none" w:sz="0" w:space="0" w:color="auto"/>
        <w:right w:val="none" w:sz="0" w:space="0" w:color="auto"/>
      </w:divBdr>
    </w:div>
    <w:div w:id="1271012920">
      <w:bodyDiv w:val="1"/>
      <w:marLeft w:val="0"/>
      <w:marRight w:val="0"/>
      <w:marTop w:val="0"/>
      <w:marBottom w:val="0"/>
      <w:divBdr>
        <w:top w:val="none" w:sz="0" w:space="0" w:color="auto"/>
        <w:left w:val="none" w:sz="0" w:space="0" w:color="auto"/>
        <w:bottom w:val="none" w:sz="0" w:space="0" w:color="auto"/>
        <w:right w:val="none" w:sz="0" w:space="0" w:color="auto"/>
      </w:divBdr>
    </w:div>
    <w:div w:id="1311785140">
      <w:bodyDiv w:val="1"/>
      <w:marLeft w:val="0"/>
      <w:marRight w:val="0"/>
      <w:marTop w:val="0"/>
      <w:marBottom w:val="0"/>
      <w:divBdr>
        <w:top w:val="none" w:sz="0" w:space="0" w:color="auto"/>
        <w:left w:val="none" w:sz="0" w:space="0" w:color="auto"/>
        <w:bottom w:val="none" w:sz="0" w:space="0" w:color="auto"/>
        <w:right w:val="none" w:sz="0" w:space="0" w:color="auto"/>
      </w:divBdr>
    </w:div>
    <w:div w:id="1320185434">
      <w:bodyDiv w:val="1"/>
      <w:marLeft w:val="0"/>
      <w:marRight w:val="0"/>
      <w:marTop w:val="0"/>
      <w:marBottom w:val="0"/>
      <w:divBdr>
        <w:top w:val="none" w:sz="0" w:space="0" w:color="auto"/>
        <w:left w:val="none" w:sz="0" w:space="0" w:color="auto"/>
        <w:bottom w:val="none" w:sz="0" w:space="0" w:color="auto"/>
        <w:right w:val="none" w:sz="0" w:space="0" w:color="auto"/>
      </w:divBdr>
    </w:div>
    <w:div w:id="1336179370">
      <w:bodyDiv w:val="1"/>
      <w:marLeft w:val="0"/>
      <w:marRight w:val="0"/>
      <w:marTop w:val="0"/>
      <w:marBottom w:val="0"/>
      <w:divBdr>
        <w:top w:val="none" w:sz="0" w:space="0" w:color="auto"/>
        <w:left w:val="none" w:sz="0" w:space="0" w:color="auto"/>
        <w:bottom w:val="none" w:sz="0" w:space="0" w:color="auto"/>
        <w:right w:val="none" w:sz="0" w:space="0" w:color="auto"/>
      </w:divBdr>
    </w:div>
    <w:div w:id="1452169238">
      <w:bodyDiv w:val="1"/>
      <w:marLeft w:val="0"/>
      <w:marRight w:val="0"/>
      <w:marTop w:val="0"/>
      <w:marBottom w:val="0"/>
      <w:divBdr>
        <w:top w:val="none" w:sz="0" w:space="0" w:color="auto"/>
        <w:left w:val="none" w:sz="0" w:space="0" w:color="auto"/>
        <w:bottom w:val="none" w:sz="0" w:space="0" w:color="auto"/>
        <w:right w:val="none" w:sz="0" w:space="0" w:color="auto"/>
      </w:divBdr>
    </w:div>
    <w:div w:id="1489248521">
      <w:bodyDiv w:val="1"/>
      <w:marLeft w:val="0"/>
      <w:marRight w:val="0"/>
      <w:marTop w:val="0"/>
      <w:marBottom w:val="0"/>
      <w:divBdr>
        <w:top w:val="none" w:sz="0" w:space="0" w:color="auto"/>
        <w:left w:val="none" w:sz="0" w:space="0" w:color="auto"/>
        <w:bottom w:val="none" w:sz="0" w:space="0" w:color="auto"/>
        <w:right w:val="none" w:sz="0" w:space="0" w:color="auto"/>
      </w:divBdr>
    </w:div>
    <w:div w:id="1551309030">
      <w:bodyDiv w:val="1"/>
      <w:marLeft w:val="0"/>
      <w:marRight w:val="0"/>
      <w:marTop w:val="0"/>
      <w:marBottom w:val="0"/>
      <w:divBdr>
        <w:top w:val="none" w:sz="0" w:space="0" w:color="auto"/>
        <w:left w:val="none" w:sz="0" w:space="0" w:color="auto"/>
        <w:bottom w:val="none" w:sz="0" w:space="0" w:color="auto"/>
        <w:right w:val="none" w:sz="0" w:space="0" w:color="auto"/>
      </w:divBdr>
    </w:div>
    <w:div w:id="1584602183">
      <w:bodyDiv w:val="1"/>
      <w:marLeft w:val="0"/>
      <w:marRight w:val="0"/>
      <w:marTop w:val="0"/>
      <w:marBottom w:val="0"/>
      <w:divBdr>
        <w:top w:val="none" w:sz="0" w:space="0" w:color="auto"/>
        <w:left w:val="none" w:sz="0" w:space="0" w:color="auto"/>
        <w:bottom w:val="none" w:sz="0" w:space="0" w:color="auto"/>
        <w:right w:val="none" w:sz="0" w:space="0" w:color="auto"/>
      </w:divBdr>
    </w:div>
    <w:div w:id="1661690580">
      <w:bodyDiv w:val="1"/>
      <w:marLeft w:val="0"/>
      <w:marRight w:val="0"/>
      <w:marTop w:val="0"/>
      <w:marBottom w:val="0"/>
      <w:divBdr>
        <w:top w:val="none" w:sz="0" w:space="0" w:color="auto"/>
        <w:left w:val="none" w:sz="0" w:space="0" w:color="auto"/>
        <w:bottom w:val="none" w:sz="0" w:space="0" w:color="auto"/>
        <w:right w:val="none" w:sz="0" w:space="0" w:color="auto"/>
      </w:divBdr>
    </w:div>
    <w:div w:id="1716536933">
      <w:bodyDiv w:val="1"/>
      <w:marLeft w:val="0"/>
      <w:marRight w:val="0"/>
      <w:marTop w:val="0"/>
      <w:marBottom w:val="0"/>
      <w:divBdr>
        <w:top w:val="none" w:sz="0" w:space="0" w:color="auto"/>
        <w:left w:val="none" w:sz="0" w:space="0" w:color="auto"/>
        <w:bottom w:val="none" w:sz="0" w:space="0" w:color="auto"/>
        <w:right w:val="none" w:sz="0" w:space="0" w:color="auto"/>
      </w:divBdr>
    </w:div>
    <w:div w:id="1740323549">
      <w:bodyDiv w:val="1"/>
      <w:marLeft w:val="0"/>
      <w:marRight w:val="0"/>
      <w:marTop w:val="0"/>
      <w:marBottom w:val="0"/>
      <w:divBdr>
        <w:top w:val="none" w:sz="0" w:space="0" w:color="auto"/>
        <w:left w:val="none" w:sz="0" w:space="0" w:color="auto"/>
        <w:bottom w:val="none" w:sz="0" w:space="0" w:color="auto"/>
        <w:right w:val="none" w:sz="0" w:space="0" w:color="auto"/>
      </w:divBdr>
    </w:div>
    <w:div w:id="1740712987">
      <w:bodyDiv w:val="1"/>
      <w:marLeft w:val="0"/>
      <w:marRight w:val="0"/>
      <w:marTop w:val="0"/>
      <w:marBottom w:val="0"/>
      <w:divBdr>
        <w:top w:val="none" w:sz="0" w:space="0" w:color="auto"/>
        <w:left w:val="none" w:sz="0" w:space="0" w:color="auto"/>
        <w:bottom w:val="none" w:sz="0" w:space="0" w:color="auto"/>
        <w:right w:val="none" w:sz="0" w:space="0" w:color="auto"/>
      </w:divBdr>
    </w:div>
    <w:div w:id="1748258451">
      <w:bodyDiv w:val="1"/>
      <w:marLeft w:val="0"/>
      <w:marRight w:val="0"/>
      <w:marTop w:val="0"/>
      <w:marBottom w:val="0"/>
      <w:divBdr>
        <w:top w:val="none" w:sz="0" w:space="0" w:color="auto"/>
        <w:left w:val="none" w:sz="0" w:space="0" w:color="auto"/>
        <w:bottom w:val="none" w:sz="0" w:space="0" w:color="auto"/>
        <w:right w:val="none" w:sz="0" w:space="0" w:color="auto"/>
      </w:divBdr>
    </w:div>
    <w:div w:id="1807425612">
      <w:bodyDiv w:val="1"/>
      <w:marLeft w:val="0"/>
      <w:marRight w:val="0"/>
      <w:marTop w:val="0"/>
      <w:marBottom w:val="0"/>
      <w:divBdr>
        <w:top w:val="none" w:sz="0" w:space="0" w:color="auto"/>
        <w:left w:val="none" w:sz="0" w:space="0" w:color="auto"/>
        <w:bottom w:val="none" w:sz="0" w:space="0" w:color="auto"/>
        <w:right w:val="none" w:sz="0" w:space="0" w:color="auto"/>
      </w:divBdr>
    </w:div>
    <w:div w:id="1821770512">
      <w:bodyDiv w:val="1"/>
      <w:marLeft w:val="0"/>
      <w:marRight w:val="0"/>
      <w:marTop w:val="0"/>
      <w:marBottom w:val="0"/>
      <w:divBdr>
        <w:top w:val="none" w:sz="0" w:space="0" w:color="auto"/>
        <w:left w:val="none" w:sz="0" w:space="0" w:color="auto"/>
        <w:bottom w:val="none" w:sz="0" w:space="0" w:color="auto"/>
        <w:right w:val="none" w:sz="0" w:space="0" w:color="auto"/>
      </w:divBdr>
    </w:div>
    <w:div w:id="1854764818">
      <w:bodyDiv w:val="1"/>
      <w:marLeft w:val="0"/>
      <w:marRight w:val="0"/>
      <w:marTop w:val="0"/>
      <w:marBottom w:val="0"/>
      <w:divBdr>
        <w:top w:val="none" w:sz="0" w:space="0" w:color="auto"/>
        <w:left w:val="none" w:sz="0" w:space="0" w:color="auto"/>
        <w:bottom w:val="none" w:sz="0" w:space="0" w:color="auto"/>
        <w:right w:val="none" w:sz="0" w:space="0" w:color="auto"/>
      </w:divBdr>
    </w:div>
    <w:div w:id="1897349638">
      <w:bodyDiv w:val="1"/>
      <w:marLeft w:val="0"/>
      <w:marRight w:val="0"/>
      <w:marTop w:val="0"/>
      <w:marBottom w:val="0"/>
      <w:divBdr>
        <w:top w:val="none" w:sz="0" w:space="0" w:color="auto"/>
        <w:left w:val="none" w:sz="0" w:space="0" w:color="auto"/>
        <w:bottom w:val="none" w:sz="0" w:space="0" w:color="auto"/>
        <w:right w:val="none" w:sz="0" w:space="0" w:color="auto"/>
      </w:divBdr>
    </w:div>
    <w:div w:id="1956406138">
      <w:bodyDiv w:val="1"/>
      <w:marLeft w:val="0"/>
      <w:marRight w:val="0"/>
      <w:marTop w:val="0"/>
      <w:marBottom w:val="0"/>
      <w:divBdr>
        <w:top w:val="none" w:sz="0" w:space="0" w:color="auto"/>
        <w:left w:val="none" w:sz="0" w:space="0" w:color="auto"/>
        <w:bottom w:val="none" w:sz="0" w:space="0" w:color="auto"/>
        <w:right w:val="none" w:sz="0" w:space="0" w:color="auto"/>
      </w:divBdr>
    </w:div>
    <w:div w:id="1974367938">
      <w:bodyDiv w:val="1"/>
      <w:marLeft w:val="0"/>
      <w:marRight w:val="0"/>
      <w:marTop w:val="0"/>
      <w:marBottom w:val="0"/>
      <w:divBdr>
        <w:top w:val="none" w:sz="0" w:space="0" w:color="auto"/>
        <w:left w:val="none" w:sz="0" w:space="0" w:color="auto"/>
        <w:bottom w:val="none" w:sz="0" w:space="0" w:color="auto"/>
        <w:right w:val="none" w:sz="0" w:space="0" w:color="auto"/>
      </w:divBdr>
    </w:div>
    <w:div w:id="2062242067">
      <w:bodyDiv w:val="1"/>
      <w:marLeft w:val="0"/>
      <w:marRight w:val="0"/>
      <w:marTop w:val="0"/>
      <w:marBottom w:val="0"/>
      <w:divBdr>
        <w:top w:val="none" w:sz="0" w:space="0" w:color="auto"/>
        <w:left w:val="none" w:sz="0" w:space="0" w:color="auto"/>
        <w:bottom w:val="none" w:sz="0" w:space="0" w:color="auto"/>
        <w:right w:val="none" w:sz="0" w:space="0" w:color="auto"/>
      </w:divBdr>
    </w:div>
    <w:div w:id="2086998555">
      <w:bodyDiv w:val="1"/>
      <w:marLeft w:val="0"/>
      <w:marRight w:val="0"/>
      <w:marTop w:val="0"/>
      <w:marBottom w:val="0"/>
      <w:divBdr>
        <w:top w:val="none" w:sz="0" w:space="0" w:color="auto"/>
        <w:left w:val="none" w:sz="0" w:space="0" w:color="auto"/>
        <w:bottom w:val="none" w:sz="0" w:space="0" w:color="auto"/>
        <w:right w:val="none" w:sz="0" w:space="0" w:color="auto"/>
      </w:divBdr>
    </w:div>
    <w:div w:id="2098089651">
      <w:bodyDiv w:val="1"/>
      <w:marLeft w:val="0"/>
      <w:marRight w:val="0"/>
      <w:marTop w:val="0"/>
      <w:marBottom w:val="0"/>
      <w:divBdr>
        <w:top w:val="none" w:sz="0" w:space="0" w:color="auto"/>
        <w:left w:val="none" w:sz="0" w:space="0" w:color="auto"/>
        <w:bottom w:val="none" w:sz="0" w:space="0" w:color="auto"/>
        <w:right w:val="none" w:sz="0" w:space="0" w:color="auto"/>
      </w:divBdr>
    </w:div>
    <w:div w:id="2121755658">
      <w:bodyDiv w:val="1"/>
      <w:marLeft w:val="0"/>
      <w:marRight w:val="0"/>
      <w:marTop w:val="0"/>
      <w:marBottom w:val="0"/>
      <w:divBdr>
        <w:top w:val="none" w:sz="0" w:space="0" w:color="auto"/>
        <w:left w:val="none" w:sz="0" w:space="0" w:color="auto"/>
        <w:bottom w:val="none" w:sz="0" w:space="0" w:color="auto"/>
        <w:right w:val="none" w:sz="0" w:space="0" w:color="auto"/>
      </w:divBdr>
    </w:div>
    <w:div w:id="2134666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Eth22</b:Tag>
    <b:SourceType>InternetSite</b:SourceType>
    <b:Guid>{C6E6735D-F802-4DC5-A16F-C89BEA4B2A98}</b:Guid>
    <b:Title>Regional ethnic diversity</b:Title>
    <b:Year>2022</b:Year>
    <b:YearAccessed>2022</b:YearAccessed>
    <b:MonthAccessed>August</b:MonthAccessed>
    <b:DayAccessed>18</b:DayAccessed>
    <b:URL>https://www.ethnicity-facts-figures.service.gov.uk/uk-population-by-ethnicity/national-and-regional-populations/regional-ethnic-diversity/latest#main-facts-and-figures</b:URL>
    <b:Author>
      <b:Author>
        <b:Corporate>Ethnicity-facts</b:Corporate>
      </b:Author>
    </b:Author>
    <b:RefOrder>2</b:RefOrder>
  </b:Source>
  <b:Source>
    <b:Tag>Eth221</b:Tag>
    <b:SourceType>InternetSite</b:SourceType>
    <b:Guid>{C834B678-9B30-4255-9F65-E280C69EB4A7}</b:Guid>
    <b:Author>
      <b:Author>
        <b:Corporate>Ethnicity-facts</b:Corporate>
      </b:Author>
    </b:Author>
    <b:Title>Working age population</b:Title>
    <b:Year>2022</b:Year>
    <b:YearAccessed>2022</b:YearAccessed>
    <b:MonthAccessed>August</b:MonthAccessed>
    <b:DayAccessed>18</b:DayAccessed>
    <b:URL>https://www.ethnicity-facts-figures.service.gov.uk/uk-population-by-ethnicity/demographics/working-age-population/latest</b:URL>
    <b:RefOrder>3</b:RefOrder>
  </b:Source>
  <b:Source>
    <b:Tag>Eth222</b:Tag>
    <b:SourceType>InternetSite</b:SourceType>
    <b:Guid>{5F07FD47-AC21-4B36-B8C4-47260CAD739F}</b:Guid>
    <b:Author>
      <b:Author>
        <b:Corporate>Ethnicity-facts</b:Corporate>
      </b:Author>
    </b:Author>
    <b:Title>UK population by ethnicity</b:Title>
    <b:Year>2022</b:Year>
    <b:YearAccessed>2022</b:YearAccessed>
    <b:MonthAccessed>August</b:MonthAccessed>
    <b:DayAccessed>18</b:DayAccessed>
    <b:URL>https://www.ethnicity-facts-figures.service.gov.uk/uk-population-by-ethnicity</b:URL>
    <b:RefOrder>1</b:RefOrder>
  </b:Source>
  <b:Source>
    <b:Tag>Bal20</b:Tag>
    <b:SourceType>JournalArticle</b:SourceType>
    <b:Guid>{E33D3586-D90B-47B6-9B56-6B3A7CDDB3BC}</b:Guid>
    <b:Title>Exploring the black, Asian and ethnic minority (BAME) student experience using a Community of Inquiry approach</b:Title>
    <b:Year>2020</b:Year>
    <b:Pages>112-131, DOI: 10.5456/WPLL.22.1.112</b:Pages>
    <b:Author>
      <b:Author>
        <b:NameList>
          <b:Person>
            <b:Last>Bale</b:Last>
            <b:First>I.</b:First>
          </b:Person>
          <b:Person>
            <b:Last>Broadhead</b:Last>
            <b:First>S.</b:First>
          </b:Person>
          <b:Person>
            <b:Last>Case</b:Last>
            <b:First>K.</b:First>
          </b:Person>
          <b:Person>
            <b:Last>Hussain</b:Last>
            <b:First>M.</b:First>
          </b:Person>
          <b:Person>
            <b:Last>Woolley</b:Last>
            <b:First>D.</b:First>
          </b:Person>
        </b:NameList>
      </b:Author>
    </b:Author>
    <b:JournalName>Widening Participation and Lifelong Learning</b:JournalName>
    <b:Volume>22</b:Volume>
    <b:Issue>1</b:Issue>
    <b:RefOrder>11</b:RefOrder>
  </b:Source>
  <b:Source>
    <b:Tag>The225</b:Tag>
    <b:SourceType>InternetSite</b:SourceType>
    <b:Guid>{E13B908C-6641-4660-BA65-2FB4CD2340DC}</b:Guid>
    <b:Title>UK doubles number of people from minority ethnic backgrounds in prominent roles</b:Title>
    <b:Year>2022</b:Year>
    <b:Author>
      <b:Author>
        <b:Corporate>The Guardian</b:Corporate>
      </b:Author>
    </b:Author>
    <b:YearAccessed>2022</b:YearAccessed>
    <b:MonthAccessed>August</b:MonthAccessed>
    <b:DayAccessed>18</b:DayAccessed>
    <b:URL>https://www.theguardian.com/inequality/2021/jul/27/uk-doubles-number-of-people-from-minority-ethnic-backgrounds-in-prominent-roles</b:URL>
    <b:RefOrder>4</b:RefOrder>
  </b:Source>
  <b:Source>
    <b:Tag>Zim17</b:Tag>
    <b:SourceType>JournalArticle</b:SourceType>
    <b:Guid>{84409EBC-166C-4EF0-801F-99B4EB3A551B}</b:Guid>
    <b:Author>
      <b:Author>
        <b:NameList>
          <b:Person>
            <b:Last>Zimmerman</b:Last>
            <b:First>H.T</b:First>
          </b:Person>
          <b:Person>
            <b:Last>Weible</b:Last>
            <b:First>J.L</b:First>
          </b:Person>
        </b:NameList>
      </b:Author>
    </b:Author>
    <b:Title>Learning in and about rural places: Connections and tensions between students’ everyday experiences and environmental quality issues in their community </b:Title>
    <b:JournalName>Cultural Studies of Science Education</b:JournalName>
    <b:Year>2017</b:Year>
    <b:Pages>7-31,DOI-10.1007/s11422-016-9757-1</b:Pages>
    <b:Volume>12</b:Volume>
    <b:Issue>1</b:Issue>
    <b:RefOrder>12</b:RefOrder>
  </b:Source>
  <b:Source>
    <b:Tag>Sko19</b:Tag>
    <b:SourceType>JournalArticle</b:SourceType>
    <b:Guid>{02B380F3-C225-4876-B643-75B2A76DB6BA}</b:Guid>
    <b:Author>
      <b:Author>
        <b:NameList>
          <b:Person>
            <b:Last>Skogan</b:Last>
            <b:First>W.G.</b:First>
          </b:Person>
          <b:Person>
            <b:Last>Hartnett</b:Last>
            <b:First>S.M</b:First>
          </b:Person>
        </b:NameList>
      </b:Author>
    </b:Author>
    <b:Title>Community policing</b:Title>
    <b:Year>2019</b:Year>
    <b:JournalName>Police innovation: Contrasting perspectives</b:JournalName>
    <b:Pages>27-44, DOI:10.1073/pnas.1910157116/-/</b:Pages>
    <b:Volume>12</b:Volume>
    <b:Issue>3</b:Issue>
    <b:RefOrder>13</b:RefOrder>
  </b:Source>
  <b:Source>
    <b:Tag>Mik16</b:Tag>
    <b:SourceType>JournalArticle</b:SourceType>
    <b:Guid>{44439EEA-A2EC-4FA8-A74F-FF914043E9E7}</b:Guid>
    <b:Author>
      <b:Author>
        <b:NameList>
          <b:Person>
            <b:Last>Mikkelsen</b:Last>
            <b:First>B.E.</b:First>
          </b:Person>
          <b:Person>
            <b:Last>Novotny</b:Last>
            <b:First>R.</b:First>
          </b:Person>
        </b:NameList>
      </b:Author>
    </b:Author>
    <b:Title>Multi-level, multi-component approaches to community based interventions for healthy living—a three case comparison</b:Title>
    <b:JournalName>International journal of environmental research and public health</b:JournalName>
    <b:Year>2016</b:Year>
    <b:Pages>1023, Doi: 10.3390/ijerph13101023</b:Pages>
    <b:Volume>13</b:Volume>
    <b:Issue>10</b:Issue>
    <b:RefOrder>14</b:RefOrder>
  </b:Source>
  <b:Source>
    <b:Tag>Lin20</b:Tag>
    <b:SourceType>JournalArticle</b:SourceType>
    <b:Guid>{06145D02-C96F-4907-8ED0-C9C03F7C3A49}</b:Guid>
    <b:Author>
      <b:Author>
        <b:NameList>
          <b:Person>
            <b:Last>Lindsey</b:Last>
            <b:First>A</b:First>
          </b:Person>
        </b:NameList>
      </b:Author>
    </b:Author>
    <b:Title>Community Policing as a Tool to Strengthening Police and Community Relations</b:Title>
    <b:JournalName>A student-based journal devoted to discussions on law and criminal justice</b:JournalName>
    <b:Year>2020</b:Year>
    <b:Pages>29, DOI: 10.1177/088541229701200105</b:Pages>
    <b:RefOrder>9</b:RefOrder>
  </b:Source>
  <b:Source>
    <b:Tag>Har20</b:Tag>
    <b:SourceType>JournalArticle</b:SourceType>
    <b:Guid>{7B201239-3C9F-4979-A248-9941DE051D3A}</b:Guid>
    <b:Author>
      <b:Author>
        <b:NameList>
          <b:Person>
            <b:Last>Hargreaves</b:Last>
            <b:First>M.B.</b:First>
          </b:Person>
          <b:Person>
            <b:Last>Coffee‐Borden</b:Last>
            <b:First>B.</b:First>
          </b:Person>
          <b:Person>
            <b:Last>Verbitsky‐Savitz</b:Last>
            <b:First>N.</b:First>
          </b:Person>
        </b:NameList>
      </b:Author>
    </b:Author>
    <b:Title>Advancing the Measurement of Collective Community Capacity and the Evaluation of Community Capacity‐Building Models</b:Title>
    <b:JournalName>New Directions for Evaluation</b:JournalName>
    <b:Year>2020</b:Year>
    <b:Pages>123-138,DOI: 10.1002/ev.20394</b:Pages>
    <b:Volume>2020</b:Volume>
    <b:Issue>65</b:Issue>
    <b:RefOrder>10</b:RefOrder>
  </b:Source>
  <b:Source>
    <b:Tag>Gry17</b:Tag>
    <b:SourceType>JournalArticle</b:SourceType>
    <b:Guid>{767859B4-D4DC-446F-9F0A-2582D4F95649}</b:Guid>
    <b:Author>
      <b:Author>
        <b:NameList>
          <b:Person>
            <b:Last>Grytten</b:Last>
            <b:First>J</b:First>
          </b:Person>
        </b:NameList>
      </b:Author>
    </b:Author>
    <b:Title>Payment systems and incentives in dentistry</b:Title>
    <b:JournalName>Community dentistry and oral epidemiology</b:JournalName>
    <b:Year>2017</b:Year>
    <b:Pages>1-11, DOI 10.1111/cdoe.12267</b:Pages>
    <b:Volume>45</b:Volume>
    <b:Issue>1</b:Issue>
    <b:RefOrder>15</b:RefOrder>
  </b:Source>
  <b:Source>
    <b:Tag>Dem17</b:Tag>
    <b:SourceType>JournalArticle</b:SourceType>
    <b:Guid>{D64D69AE-2A3E-4F16-95A7-EC267BD4F6A4}</b:Guid>
    <b:Author>
      <b:Author>
        <b:NameList>
          <b:Person>
            <b:Last>Demirkol</b:Last>
            <b:First>I.C.</b:First>
          </b:Person>
          <b:Person>
            <b:Last>Nalla</b:Last>
            <b:First>M.K</b:First>
          </b:Person>
        </b:NameList>
      </b:Author>
    </b:Author>
    <b:Title>How does police culture shape officers’ support for community policing?</b:Title>
    <b:JournalName>Policing and Society</b:JournalName>
    <b:Year>2017</b:Year>
    <b:Pages>122, DOI: 10.1007/978-1-4614-5690-2_394</b:Pages>
    <b:RefOrder>16</b:RefOrder>
  </b:Source>
  <b:Source>
    <b:Tag>Cro17</b:Tag>
    <b:SourceType>JournalArticle</b:SourceType>
    <b:Guid>{F35FDC0D-2908-489C-9B18-DFDC3B77F791}</b:Guid>
    <b:Author>
      <b:Author>
        <b:NameList>
          <b:Person>
            <b:Last>Crowl</b:Last>
            <b:First>J.N</b:First>
          </b:Person>
        </b:NameList>
      </b:Author>
    </b:Author>
    <b:Title>The effect of community policing on fear and crime reduction, police legitimacy and job satisfaction: an empirical review of the evidence</b:Title>
    <b:JournalName>Police Practice and Research</b:JournalName>
    <b:Year>2017</b:Year>
    <b:Pages>449-462, DOI: 10.1080/15614263.2017.1303771</b:Pages>
    <b:RefOrder>17</b:RefOrder>
  </b:Source>
  <b:Source>
    <b:Tag>Fal14</b:Tag>
    <b:SourceType>Book</b:SourceType>
    <b:Guid>{EA1CECA8-A1AA-4F18-AD33-62A8D0E65D7C}</b:Guid>
    <b:Author>
      <b:Author>
        <b:NameList>
          <b:Person>
            <b:Last>Falender</b:Last>
            <b:First>C.A</b:First>
          </b:Person>
          <b:Person>
            <b:Last>Shafranske</b:Last>
            <b:First>E.P</b:First>
          </b:Person>
          <b:Person>
            <b:Last>Falicov</b:Last>
            <b:First>C.J</b:First>
          </b:Person>
        </b:NameList>
      </b:Author>
    </b:Author>
    <b:Title>Multiculturalism and diversity in clinical supervision: A competency-based approach</b:Title>
    <b:Year>2014</b:Year>
    <b:City>London</b:City>
    <b:Publisher>American Psychological Association, ISBN-13: 978-1433816857</b:Publisher>
    <b:Edition>01</b:Edition>
    <b:RefOrder>18</b:RefOrder>
  </b:Source>
  <b:Source>
    <b:Tag>BiJ18</b:Tag>
    <b:SourceType>JournalArticle</b:SourceType>
    <b:Guid>{02D02D28-212E-422D-83D7-37452F93269B}</b:Guid>
    <b:Author>
      <b:Author>
        <b:NameList>
          <b:Person>
            <b:Last>Bi</b:Last>
            <b:First>J</b:First>
          </b:Person>
          <b:Person>
            <b:Last>Zhang</b:Last>
            <b:First>C</b:First>
          </b:Person>
        </b:NameList>
      </b:Author>
    </b:Author>
    <b:Title>An empirical comparison on state-of-the-art multi-class imbalance learning algorithms and a new diversified ensemble learning scheme</b:Title>
    <b:JournalName>Knowledge-Based Systems</b:JournalName>
    <b:Year>2018</b:Year>
    <b:Pages>81-93,DOI-10.1016/j.knosys.2018.05.037</b:Pages>
    <b:Volume>158</b:Volume>
    <b:Issue>7</b:Issue>
    <b:RefOrder>19</b:RefOrder>
  </b:Source>
  <b:Source>
    <b:Tag>Poi18</b:Tag>
    <b:SourceType>JournalArticle</b:SourceType>
    <b:Guid>{0BC62B11-65D2-4DDD-88C1-B5F6F9177CBF}</b:Guid>
    <b:Title>Do talent management strategies influence the psychological contract within a diverse environment?</b:Title>
    <b:Year>2018</b:Year>
    <b:Author>
      <b:Author>
        <b:NameList>
          <b:Person>
            <b:Last>Poisat</b:Last>
            <b:First>P.</b:First>
          </b:Person>
          <b:Person>
            <b:Last>Mey</b:Last>
            <b:First>M.R.</b:First>
          </b:Person>
          <b:Person>
            <b:Last>Sharp</b:Last>
            <b:First>G</b:First>
          </b:Person>
        </b:NameList>
      </b:Author>
    </b:Author>
    <b:JournalName>SA Journal of Human Resource Management</b:JournalName>
    <b:Pages>1-10,DOI:10.4102/sajhrm.v16i0.1044</b:Pages>
    <b:Volume>16</b:Volume>
    <b:Issue>1</b:Issue>
    <b:RefOrder>20</b:RefOrder>
  </b:Source>
  <b:Source>
    <b:Tag>The226</b:Tag>
    <b:SourceType>InternetSite</b:SourceType>
    <b:Guid>{483B647F-D9F5-47FA-9C25-2ED779D388CF}</b:Guid>
    <b:Author>
      <b:Author>
        <b:Corporate>The Guardian</b:Corporate>
      </b:Author>
    </b:Author>
    <b:Title>Nearly half of BAME UK households are living in poverty</b:Title>
    <b:Year>2022</b:Year>
    <b:YearAccessed>2022</b:YearAccessed>
    <b:MonthAccessed>August</b:MonthAccessed>
    <b:DayAccessed>18</b:DayAccessed>
    <b:URL>https://www.theguardian.com/society/2020/jul/01/nearly-half-of-bame-uk-households-are-living-in-poverty#:~:text=It%20found%20that%2019%25%20of,African%2FCaribbean%2FBlack%20British.</b:URL>
    <b:RefOrder>6</b:RefOrder>
  </b:Source>
  <b:Source>
    <b:Tag>Mur201</b:Tag>
    <b:SourceType>JournalArticle</b:SourceType>
    <b:Guid>{D7B3F990-CAAE-4BFE-891C-020F5DC10DB5}</b:Guid>
    <b:Title>Impact of Covid-19 on the BAME community and voluntary sector. </b:Title>
    <b:Year>2020</b:Year>
    <b:Author>
      <b:Author>
        <b:NameList>
          <b:Person>
            <b:Last>Murray</b:Last>
            <b:First>K</b:First>
          </b:Person>
        </b:NameList>
      </b:Author>
    </b:Author>
    <b:JournalName>Journal of community</b:JournalName>
    <b:Pages>12, DOI: 10.12/7T6773892</b:Pages>
    <b:Volume>45</b:Volume>
    <b:Issue>5</b:Issue>
    <b:RefOrder>5</b:RefOrder>
  </b:Source>
  <b:Source>
    <b:Tag>JRF22</b:Tag>
    <b:SourceType>InternetSite</b:SourceType>
    <b:Guid>{80653A39-B74B-4FD3-BC48-02991DFDC43B}</b:Guid>
    <b:Title>Poverty rates among ethnic groups in Great Britain</b:Title>
    <b:Year>2022</b:Year>
    <b:Author>
      <b:Author>
        <b:Corporate>JRF</b:Corporate>
      </b:Author>
    </b:Author>
    <b:YearAccessed>2022</b:YearAccessed>
    <b:MonthAccessed>August</b:MonthAccessed>
    <b:DayAccessed>18</b:DayAccessed>
    <b:URL>https://www.jrf.org.uk/report/poverty-rates-among-ethnic-groups-great-britain</b:URL>
    <b:RefOrder>7</b:RefOrder>
  </b:Source>
  <b:Source>
    <b:Tag>Win19</b:Tag>
    <b:SourceType>JournalArticle</b:SourceType>
    <b:Guid>{4AE2EA56-0FFC-48D8-B1A8-FA42BCED9B77}</b:Guid>
    <b:Title>Data-driven automated decision-making in assessing employee performance and productivity: Designing and implementing workforce metrics and analytics</b:Title>
    <b:Year>2019</b:Year>
    <b:Author>
      <b:Author>
        <b:NameList>
          <b:Person>
            <b:Last>Wingard</b:Last>
            <b:First>D</b:First>
          </b:Person>
        </b:NameList>
      </b:Author>
    </b:Author>
    <b:JournalName>Psychosociological Issues in Human Resource Management</b:JournalName>
    <b:Pages>13-18</b:Pages>
    <b:Volume>7</b:Volume>
    <b:Issue>2</b:Issue>
    <b:RefOrder>21</b:RefOrder>
  </b:Source>
  <b:Source>
    <b:Tag>Bur</b:Tag>
    <b:SourceType>Book</b:SourceType>
    <b:Guid>{159A82F9-E3F0-44A2-8454-6A3767360083}</b:Guid>
    <b:Author>
      <b:Author>
        <b:NameList>
          <b:Person>
            <b:Last>Burrell</b:Last>
            <b:First>G</b:First>
          </b:Person>
          <b:Person>
            <b:Last>Morgan</b:Last>
            <b:First>G</b:First>
          </b:Person>
        </b:NameList>
      </b:Author>
    </b:Author>
    <b:Publisher>Routledge</b:Publisher>
    <b:Title>Sociological paradigms and organisational analysis: Elements of the sociology of corporate life</b:Title>
    <b:Year>2019</b:Year>
    <b:City>London</b:City>
    <b:RefOrder>22</b:RefOrder>
  </b:Source>
  <b:Source>
    <b:Tag>SHU22</b:Tag>
    <b:SourceType>InternetSite</b:SourceType>
    <b:Guid>{E973D3B4-6823-4115-A491-196D2ED80E8A}</b:Guid>
    <b:Author>
      <b:Author>
        <b:Corporate>SHU</b:Corporate>
      </b:Author>
    </b:Author>
    <b:Title>The New Deal for Communities Programme:</b:Title>
    <b:Year>2022</b:Year>
    <b:YearAccessed>2022</b:YearAccessed>
    <b:MonthAccessed>August</b:MonthAccessed>
    <b:DayAccessed>18</b:DayAccessed>
    <b:URL>https://extra.shu.ac.uk/ndc/downloads/general/Volume%20one%20-%20Achieving%20a%20neighbourhood%20focus%20for%20regeneration.pdf</b:URL>
    <b:RefOrder>8</b:RefOrder>
  </b:Source>
</b:Sources>
</file>

<file path=customXml/itemProps1.xml><?xml version="1.0" encoding="utf-8"?>
<ds:datastoreItem xmlns:ds="http://schemas.openxmlformats.org/officeDocument/2006/customXml" ds:itemID="{B2FFAC34-641A-4DB7-B335-055724897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2842</Words>
  <Characters>16200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Jessica barbosa</cp:lastModifiedBy>
  <cp:revision>2</cp:revision>
  <dcterms:created xsi:type="dcterms:W3CDTF">2022-08-21T16:15:00Z</dcterms:created>
  <dcterms:modified xsi:type="dcterms:W3CDTF">2022-08-21T16:15:00Z</dcterms:modified>
</cp:coreProperties>
</file>