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4680F" w:rsidRDefault="0084680F" w:rsidP="0084680F">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84680F" w:rsidRDefault="0084680F" w:rsidP="0084680F">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rsidR="0084680F" w:rsidRPr="001E50BB" w:rsidRDefault="0084680F" w:rsidP="0084680F">
      <w:pPr>
        <w:jc w:val="center"/>
        <w:rPr>
          <w:rFonts w:ascii="Arial" w:hAnsi="Arial" w:cs="Arial"/>
          <w:b/>
          <w:lang w:val="cy-GB"/>
        </w:rPr>
      </w:pPr>
      <w:r w:rsidRPr="001E50BB">
        <w:rPr>
          <w:rFonts w:ascii="Arial" w:hAnsi="Arial" w:cs="Arial"/>
          <w:b/>
          <w:lang w:val="cy-GB"/>
        </w:rPr>
        <w:t>(to be completed by marker)</w:t>
      </w:r>
    </w:p>
    <w:p w:rsidR="0084680F" w:rsidRPr="001E50BB" w:rsidRDefault="0084680F" w:rsidP="0084680F">
      <w:pPr>
        <w:jc w:val="center"/>
        <w:rPr>
          <w:rFonts w:ascii="Arial" w:hAnsi="Arial" w:cs="Arial"/>
          <w:b/>
          <w:lang w:val="cy-GB"/>
        </w:rPr>
      </w:pPr>
    </w:p>
    <w:p w:rsidR="0084680F" w:rsidRDefault="0084680F" w:rsidP="0084680F">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84680F" w:rsidRPr="0065654E" w:rsidTr="00547078">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84680F" w:rsidRDefault="0084680F" w:rsidP="00547078">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w:t>
            </w:r>
            <w:r>
              <w:rPr>
                <w:rFonts w:ascii="Calibri" w:hAnsi="Calibri" w:cs="Tahoma"/>
                <w:i/>
                <w:sz w:val="24"/>
                <w:szCs w:val="24"/>
              </w:rPr>
              <w:t xml:space="preserve"> David Shaw</w:t>
            </w:r>
          </w:p>
          <w:p w:rsidR="0084680F" w:rsidRPr="0065654E" w:rsidRDefault="0084680F" w:rsidP="00547078">
            <w:pPr>
              <w:pStyle w:val="NormalWeb"/>
              <w:spacing w:before="0" w:beforeAutospacing="0" w:after="0" w:afterAutospacing="0"/>
              <w:ind w:right="34"/>
              <w:rPr>
                <w:rFonts w:ascii="Calibri" w:hAnsi="Calibri" w:cs="Tahoma"/>
                <w:i/>
                <w:sz w:val="24"/>
                <w:szCs w:val="24"/>
              </w:rPr>
            </w:pPr>
          </w:p>
        </w:tc>
      </w:tr>
      <w:tr w:rsidR="0084680F" w:rsidRPr="0065654E" w:rsidTr="00547078">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84680F" w:rsidRPr="0065654E" w:rsidRDefault="0084680F" w:rsidP="00547078">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w:t>
            </w:r>
            <w:r>
              <w:rPr>
                <w:rFonts w:ascii="Calibri" w:hAnsi="Calibri" w:cs="Tahoma"/>
                <w:i/>
                <w:sz w:val="24"/>
                <w:szCs w:val="24"/>
              </w:rPr>
              <w:t xml:space="preserve"> Phenomenology and </w:t>
            </w:r>
            <w:proofErr w:type="spellStart"/>
            <w:r>
              <w:rPr>
                <w:rFonts w:ascii="Calibri" w:hAnsi="Calibri" w:cs="Tahoma"/>
                <w:i/>
                <w:sz w:val="24"/>
                <w:szCs w:val="24"/>
              </w:rPr>
              <w:t>Existentialsim</w:t>
            </w:r>
            <w:proofErr w:type="spellEnd"/>
          </w:p>
        </w:tc>
        <w:tc>
          <w:tcPr>
            <w:tcW w:w="3967" w:type="dxa"/>
            <w:gridSpan w:val="2"/>
            <w:tcBorders>
              <w:top w:val="single" w:sz="4" w:space="0" w:color="auto"/>
              <w:left w:val="single" w:sz="4" w:space="0" w:color="auto"/>
              <w:bottom w:val="single" w:sz="4" w:space="0" w:color="auto"/>
              <w:right w:val="single" w:sz="4" w:space="0" w:color="auto"/>
            </w:tcBorders>
          </w:tcPr>
          <w:p w:rsidR="0084680F" w:rsidRPr="0065654E" w:rsidRDefault="0084680F" w:rsidP="00547078">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1301634</w:t>
            </w:r>
          </w:p>
        </w:tc>
      </w:tr>
      <w:tr w:rsidR="0084680F" w:rsidRPr="0065654E" w:rsidTr="00547078">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84680F" w:rsidRPr="0065654E" w:rsidRDefault="0084680F" w:rsidP="00547078">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84680F" w:rsidRDefault="0084680F" w:rsidP="00547078">
            <w:pPr>
              <w:pStyle w:val="NormalWeb"/>
              <w:rPr>
                <w:rFonts w:ascii="Calibri" w:hAnsi="Calibri" w:cs="Tahoma"/>
                <w:i/>
                <w:sz w:val="24"/>
                <w:szCs w:val="24"/>
              </w:rPr>
            </w:pPr>
            <w:r w:rsidRPr="0065654E">
              <w:rPr>
                <w:rFonts w:ascii="Calibri" w:hAnsi="Calibri" w:cs="Tahoma"/>
                <w:i/>
                <w:sz w:val="24"/>
                <w:szCs w:val="24"/>
              </w:rPr>
              <w:t>Comments:</w:t>
            </w:r>
          </w:p>
          <w:p w:rsidR="0084680F" w:rsidRDefault="0084680F" w:rsidP="00547078">
            <w:pPr>
              <w:pStyle w:val="NormalWeb"/>
              <w:rPr>
                <w:rFonts w:ascii="Calibri" w:hAnsi="Calibri" w:cs="Tahoma"/>
                <w:i/>
                <w:sz w:val="24"/>
                <w:szCs w:val="24"/>
              </w:rPr>
            </w:pPr>
          </w:p>
          <w:p w:rsidR="0084680F" w:rsidRDefault="0084680F" w:rsidP="00547078">
            <w:pPr>
              <w:pStyle w:val="NormalWeb"/>
              <w:rPr>
                <w:rFonts w:ascii="Calibri" w:hAnsi="Calibri" w:cs="Tahoma"/>
                <w:i/>
                <w:sz w:val="24"/>
                <w:szCs w:val="24"/>
              </w:rPr>
            </w:pPr>
          </w:p>
          <w:p w:rsidR="0084680F" w:rsidRDefault="0084680F" w:rsidP="00547078">
            <w:pPr>
              <w:pStyle w:val="NormalWeb"/>
              <w:rPr>
                <w:rFonts w:ascii="Calibri" w:hAnsi="Calibri" w:cs="Tahoma"/>
                <w:i/>
                <w:sz w:val="24"/>
                <w:szCs w:val="24"/>
              </w:rPr>
            </w:pPr>
          </w:p>
          <w:p w:rsidR="0084680F" w:rsidRDefault="0084680F" w:rsidP="00547078">
            <w:pPr>
              <w:pStyle w:val="NormalWeb"/>
              <w:rPr>
                <w:rFonts w:ascii="Calibri" w:hAnsi="Calibri" w:cs="Tahoma"/>
                <w:i/>
                <w:sz w:val="24"/>
                <w:szCs w:val="24"/>
              </w:rPr>
            </w:pPr>
          </w:p>
          <w:p w:rsidR="0084680F" w:rsidRDefault="0084680F" w:rsidP="00547078">
            <w:pPr>
              <w:pStyle w:val="NormalWeb"/>
              <w:rPr>
                <w:rFonts w:ascii="Calibri" w:hAnsi="Calibri" w:cs="Tahoma"/>
                <w:i/>
                <w:sz w:val="24"/>
                <w:szCs w:val="24"/>
              </w:rPr>
            </w:pPr>
          </w:p>
          <w:p w:rsidR="0084680F" w:rsidRDefault="0084680F" w:rsidP="00547078">
            <w:pPr>
              <w:pStyle w:val="NormalWeb"/>
              <w:rPr>
                <w:rFonts w:ascii="Calibri" w:hAnsi="Calibri" w:cs="Tahoma"/>
                <w:i/>
                <w:sz w:val="24"/>
                <w:szCs w:val="24"/>
              </w:rPr>
            </w:pPr>
          </w:p>
          <w:p w:rsidR="0084680F" w:rsidRDefault="0084680F" w:rsidP="00547078">
            <w:pPr>
              <w:pStyle w:val="NormalWeb"/>
              <w:rPr>
                <w:rFonts w:ascii="Calibri" w:hAnsi="Calibri" w:cs="Tahoma"/>
                <w:i/>
                <w:sz w:val="24"/>
                <w:szCs w:val="24"/>
              </w:rPr>
            </w:pPr>
          </w:p>
          <w:p w:rsidR="0084680F" w:rsidRDefault="0084680F" w:rsidP="00547078">
            <w:pPr>
              <w:pStyle w:val="NormalWeb"/>
              <w:rPr>
                <w:rFonts w:ascii="Calibri" w:hAnsi="Calibri" w:cs="Tahoma"/>
                <w:i/>
                <w:sz w:val="24"/>
                <w:szCs w:val="24"/>
              </w:rPr>
            </w:pPr>
          </w:p>
          <w:p w:rsidR="0084680F" w:rsidRDefault="0084680F" w:rsidP="00547078">
            <w:pPr>
              <w:pStyle w:val="NormalWeb"/>
              <w:rPr>
                <w:rFonts w:ascii="Calibri" w:hAnsi="Calibri" w:cs="Tahoma"/>
                <w:i/>
                <w:sz w:val="24"/>
                <w:szCs w:val="24"/>
              </w:rPr>
            </w:pPr>
          </w:p>
          <w:p w:rsidR="0084680F" w:rsidRDefault="0084680F" w:rsidP="00547078">
            <w:pPr>
              <w:pStyle w:val="NormalWeb"/>
              <w:rPr>
                <w:rFonts w:ascii="Calibri" w:hAnsi="Calibri" w:cs="Tahoma"/>
                <w:i/>
                <w:sz w:val="24"/>
                <w:szCs w:val="24"/>
              </w:rPr>
            </w:pPr>
          </w:p>
          <w:p w:rsidR="0084680F" w:rsidRPr="0065654E" w:rsidRDefault="0084680F" w:rsidP="00547078">
            <w:pPr>
              <w:pStyle w:val="NormalWeb"/>
              <w:rPr>
                <w:rFonts w:ascii="Calibri" w:hAnsi="Calibri" w:cs="Tahoma"/>
                <w:i/>
                <w:sz w:val="24"/>
                <w:szCs w:val="24"/>
              </w:rPr>
            </w:pPr>
          </w:p>
        </w:tc>
      </w:tr>
      <w:tr w:rsidR="0084680F" w:rsidRPr="0065654E" w:rsidTr="00547078">
        <w:trPr>
          <w:trHeight w:val="492"/>
        </w:trPr>
        <w:tc>
          <w:tcPr>
            <w:tcW w:w="6768" w:type="dxa"/>
            <w:gridSpan w:val="2"/>
            <w:tcBorders>
              <w:top w:val="single" w:sz="4" w:space="0" w:color="auto"/>
            </w:tcBorders>
            <w:vAlign w:val="center"/>
          </w:tcPr>
          <w:p w:rsidR="0084680F" w:rsidRPr="0065654E" w:rsidRDefault="0084680F" w:rsidP="00547078">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rsidR="0084680F" w:rsidRPr="0065654E" w:rsidRDefault="0084680F" w:rsidP="00547078">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84680F" w:rsidRPr="0065654E" w:rsidTr="00547078">
        <w:tc>
          <w:tcPr>
            <w:tcW w:w="8755" w:type="dxa"/>
            <w:gridSpan w:val="3"/>
            <w:vAlign w:val="center"/>
          </w:tcPr>
          <w:p w:rsidR="0084680F" w:rsidRDefault="0084680F" w:rsidP="00547078">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rsidR="0084680F" w:rsidRPr="0065654E" w:rsidRDefault="0084680F" w:rsidP="00547078">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rsidR="0084680F" w:rsidRDefault="0084680F" w:rsidP="0084680F">
      <w:pPr>
        <w:jc w:val="center"/>
        <w:rPr>
          <w:b/>
          <w:sz w:val="32"/>
          <w:szCs w:val="32"/>
          <w:u w:val="single"/>
        </w:rPr>
      </w:pPr>
    </w:p>
    <w:p w:rsidR="00AE2F16" w:rsidRDefault="0084680F" w:rsidP="0084680F">
      <w:pPr>
        <w:jc w:val="center"/>
        <w:rPr>
          <w:sz w:val="32"/>
          <w:szCs w:val="32"/>
        </w:rPr>
      </w:pPr>
      <w:r>
        <w:rPr>
          <w:b/>
          <w:sz w:val="32"/>
          <w:szCs w:val="32"/>
          <w:u w:val="single"/>
        </w:rPr>
        <w:lastRenderedPageBreak/>
        <w:t>What Does Sartre Mean by Bad ‘Faith’?</w:t>
      </w:r>
    </w:p>
    <w:p w:rsidR="00A676E0" w:rsidRDefault="0084680F" w:rsidP="0084680F">
      <w:pPr>
        <w:rPr>
          <w:b/>
          <w:sz w:val="28"/>
          <w:szCs w:val="28"/>
          <w:u w:val="single"/>
        </w:rPr>
      </w:pPr>
      <w:r w:rsidRPr="0084680F">
        <w:rPr>
          <w:b/>
          <w:sz w:val="28"/>
          <w:szCs w:val="28"/>
          <w:u w:val="single"/>
        </w:rPr>
        <w:t>Introduction</w:t>
      </w:r>
      <w:r>
        <w:rPr>
          <w:b/>
          <w:sz w:val="28"/>
          <w:szCs w:val="28"/>
          <w:u w:val="single"/>
        </w:rPr>
        <w:t xml:space="preserve"> </w:t>
      </w:r>
    </w:p>
    <w:p w:rsidR="00A676E0" w:rsidRPr="00DA720D" w:rsidRDefault="00DA720D" w:rsidP="0084680F">
      <w:pPr>
        <w:rPr>
          <w:sz w:val="28"/>
          <w:szCs w:val="28"/>
        </w:rPr>
      </w:pPr>
      <w:r>
        <w:rPr>
          <w:sz w:val="28"/>
          <w:szCs w:val="28"/>
        </w:rPr>
        <w:t xml:space="preserve">     In this essay I am going to try to explain what Sartre means by bad faith.</w:t>
      </w:r>
    </w:p>
    <w:p w:rsidR="00EF5FB6" w:rsidRDefault="00A676E0" w:rsidP="0084680F">
      <w:pPr>
        <w:rPr>
          <w:sz w:val="28"/>
          <w:szCs w:val="28"/>
        </w:rPr>
      </w:pPr>
      <w:r>
        <w:rPr>
          <w:sz w:val="28"/>
          <w:szCs w:val="28"/>
        </w:rPr>
        <w:t xml:space="preserve">     Bad faith, for Sartre, is basically when one lies to oneself so that we save ourselves from short term pain, but</w:t>
      </w:r>
      <w:r w:rsidR="00A03319">
        <w:rPr>
          <w:sz w:val="28"/>
          <w:szCs w:val="28"/>
        </w:rPr>
        <w:t>, if we do this, we</w:t>
      </w:r>
      <w:r>
        <w:rPr>
          <w:sz w:val="28"/>
          <w:szCs w:val="28"/>
        </w:rPr>
        <w:t xml:space="preserve"> can then suffer from long-term psychological pain.</w:t>
      </w:r>
      <w:r w:rsidR="00DB3A3E">
        <w:rPr>
          <w:sz w:val="28"/>
          <w:szCs w:val="28"/>
        </w:rPr>
        <w:t xml:space="preserve"> We force ourselves to believe something which we are not really convinced by because it is easier (in the short term).</w:t>
      </w:r>
      <w:r>
        <w:rPr>
          <w:sz w:val="28"/>
          <w:szCs w:val="28"/>
        </w:rPr>
        <w:t xml:space="preserve"> </w:t>
      </w:r>
      <w:r w:rsidR="00A03319">
        <w:rPr>
          <w:sz w:val="28"/>
          <w:szCs w:val="28"/>
        </w:rPr>
        <w:t xml:space="preserve">Sartre does make a distinction between ‘lying to oneself’ and ‘lying in general,’ or falsehood. A falsehood is when the liar </w:t>
      </w:r>
      <w:r w:rsidR="009A063C">
        <w:rPr>
          <w:sz w:val="28"/>
          <w:szCs w:val="28"/>
        </w:rPr>
        <w:t>knows he is lying because he is in possession of the truth which he is lying about.</w:t>
      </w:r>
      <w:r w:rsidR="00BB76D3">
        <w:rPr>
          <w:sz w:val="28"/>
          <w:szCs w:val="28"/>
        </w:rPr>
        <w:t xml:space="preserve"> ‘Moreover, the liar intends to deceive and does not try either to hide this intention from himself or to disguise the translucency of consciousness.’</w:t>
      </w:r>
      <w:r w:rsidR="00BB76D3">
        <w:rPr>
          <w:rStyle w:val="FootnoteReference"/>
          <w:sz w:val="28"/>
          <w:szCs w:val="28"/>
        </w:rPr>
        <w:footnoteReference w:id="1"/>
      </w:r>
      <w:r w:rsidR="00AA6C7A">
        <w:rPr>
          <w:sz w:val="28"/>
          <w:szCs w:val="28"/>
        </w:rPr>
        <w:t xml:space="preserve"> Sartre also states that ‘Through the lie, consciousness affirms its existence as hidden from the Other and exploits for its own ends the ontological duality between myself and myself viewed from the eyes of the Other.’</w:t>
      </w:r>
      <w:r w:rsidR="00AA6C7A">
        <w:rPr>
          <w:rStyle w:val="FootnoteReference"/>
          <w:sz w:val="28"/>
          <w:szCs w:val="28"/>
        </w:rPr>
        <w:footnoteReference w:id="2"/>
      </w:r>
      <w:r w:rsidR="00AA6C7A">
        <w:rPr>
          <w:sz w:val="28"/>
          <w:szCs w:val="28"/>
        </w:rPr>
        <w:t xml:space="preserve"> But the situat</w:t>
      </w:r>
      <w:r w:rsidR="00CB2548">
        <w:rPr>
          <w:sz w:val="28"/>
          <w:szCs w:val="28"/>
        </w:rPr>
        <w:t xml:space="preserve">ion is different for bad faith, or lying to oneself, because when lying to oneself, if lying to oneself is actually possible, the truth is misrepresented or hidden from consciousness. So ‘lying in general’ is lying to the </w:t>
      </w:r>
      <w:proofErr w:type="gramStart"/>
      <w:r w:rsidR="00CB2548">
        <w:rPr>
          <w:sz w:val="28"/>
          <w:szCs w:val="28"/>
        </w:rPr>
        <w:t>Other</w:t>
      </w:r>
      <w:proofErr w:type="gramEnd"/>
      <w:r w:rsidR="00CB2548">
        <w:rPr>
          <w:sz w:val="28"/>
          <w:szCs w:val="28"/>
        </w:rPr>
        <w:t>, and bad faith is lying to oneself. ‘Here there is no ontological duality between deceiver and deceived. On the contrary, bad faith entails the unity of a single consciousness.’</w:t>
      </w:r>
      <w:r w:rsidR="00CB2548">
        <w:rPr>
          <w:rStyle w:val="FootnoteReference"/>
          <w:sz w:val="28"/>
          <w:szCs w:val="28"/>
        </w:rPr>
        <w:footnoteReference w:id="3"/>
      </w:r>
      <w:r w:rsidR="00DA720D">
        <w:rPr>
          <w:sz w:val="28"/>
          <w:szCs w:val="28"/>
        </w:rPr>
        <w:t xml:space="preserve"> ‘The one who lies and the one to whom the lie is told are one and the same.’</w:t>
      </w:r>
      <w:r w:rsidR="00DA720D">
        <w:rPr>
          <w:rStyle w:val="FootnoteReference"/>
          <w:sz w:val="28"/>
          <w:szCs w:val="28"/>
        </w:rPr>
        <w:footnoteReference w:id="4"/>
      </w:r>
      <w:r w:rsidR="00AA6C7A">
        <w:rPr>
          <w:sz w:val="28"/>
          <w:szCs w:val="28"/>
        </w:rPr>
        <w:t xml:space="preserve"> </w:t>
      </w:r>
      <w:r w:rsidR="009F27DC">
        <w:rPr>
          <w:sz w:val="28"/>
          <w:szCs w:val="28"/>
        </w:rPr>
        <w:t>Bad faith, or lying to oneself, for Sartre, is deceiving oneself into thinking that they do not have the freedom to make different choices in life for fear of the consequences of what might happen to them, and because it might make th</w:t>
      </w:r>
      <w:r w:rsidR="00012786">
        <w:rPr>
          <w:sz w:val="28"/>
          <w:szCs w:val="28"/>
        </w:rPr>
        <w:t>em feel anguish about the fact, as Sartre sees it,</w:t>
      </w:r>
      <w:r w:rsidR="009F27DC">
        <w:rPr>
          <w:sz w:val="28"/>
          <w:szCs w:val="28"/>
        </w:rPr>
        <w:t xml:space="preserve"> that we a</w:t>
      </w:r>
      <w:r w:rsidR="0068119D">
        <w:rPr>
          <w:sz w:val="28"/>
          <w:szCs w:val="28"/>
        </w:rPr>
        <w:t>re all fr</w:t>
      </w:r>
      <w:r w:rsidR="00546BD2">
        <w:rPr>
          <w:sz w:val="28"/>
          <w:szCs w:val="28"/>
        </w:rPr>
        <w:t>ee, responsible agents. Sartre thought that anyone who believes that they are not free and responsible for their actions have bad faith.</w:t>
      </w:r>
      <w:r w:rsidR="00012786">
        <w:rPr>
          <w:sz w:val="28"/>
          <w:szCs w:val="28"/>
        </w:rPr>
        <w:t xml:space="preserve"> So if a country gets taken over by another country</w:t>
      </w:r>
      <w:r w:rsidR="00AA6C7A">
        <w:rPr>
          <w:sz w:val="28"/>
          <w:szCs w:val="28"/>
        </w:rPr>
        <w:t xml:space="preserve"> </w:t>
      </w:r>
      <w:r w:rsidR="00012786">
        <w:rPr>
          <w:sz w:val="28"/>
          <w:szCs w:val="28"/>
        </w:rPr>
        <w:t xml:space="preserve">that says everyone has to now be a certain religion, everyone in the country that has been taken over still has choices (freedom) to choose between changing their religion, staying the same religion, moving to another country, non-violent protests or suicide. Sartre would say that those who submitted to the new society would be making themselves an object like a table or chair, and making </w:t>
      </w:r>
      <w:r w:rsidR="00012786">
        <w:rPr>
          <w:sz w:val="28"/>
          <w:szCs w:val="28"/>
        </w:rPr>
        <w:lastRenderedPageBreak/>
        <w:t xml:space="preserve">yourself into an object takes away your own free will. </w:t>
      </w:r>
      <w:r w:rsidR="00DA720D">
        <w:rPr>
          <w:sz w:val="28"/>
          <w:szCs w:val="28"/>
        </w:rPr>
        <w:t>It is like being what others think you should be instea</w:t>
      </w:r>
      <w:r w:rsidR="00DB3A3E">
        <w:rPr>
          <w:sz w:val="28"/>
          <w:szCs w:val="28"/>
        </w:rPr>
        <w:t>d of being what you want to be. Sartre believed that what we constantly lie to ourselves about is that we do not have other options, when we clearly, always do. No matter what those other options are, we always have them, but we seem to find it a lot easier and reassuring to say we do not</w:t>
      </w:r>
      <w:r w:rsidR="001313D5">
        <w:rPr>
          <w:sz w:val="28"/>
          <w:szCs w:val="28"/>
        </w:rPr>
        <w:t>. It lets us off the hook from our apparent responsibility to be free. Bad faith can very often happen around work. Sartre gives us an example of a waiter who tells himself that he is just a waiter, it is his lot in life and that he has no choice because he needs the money to pay the bills, but Sartre would insist that this is just not true.</w:t>
      </w:r>
      <w:r w:rsidR="009535D9">
        <w:rPr>
          <w:sz w:val="28"/>
          <w:szCs w:val="28"/>
        </w:rPr>
        <w:t xml:space="preserve"> He has many choices, for example, going off to live in the woods, go travelling, </w:t>
      </w:r>
      <w:proofErr w:type="gramStart"/>
      <w:r w:rsidR="009535D9">
        <w:rPr>
          <w:sz w:val="28"/>
          <w:szCs w:val="28"/>
        </w:rPr>
        <w:t>look</w:t>
      </w:r>
      <w:proofErr w:type="gramEnd"/>
      <w:r w:rsidR="009535D9">
        <w:rPr>
          <w:sz w:val="28"/>
          <w:szCs w:val="28"/>
        </w:rPr>
        <w:t xml:space="preserve"> for another, more suitable job, etcetera. But it is a lot easier to lie to ourselves that these choices (freedoms) do not exist and to keep the job as a waiter rather than taking responsibility for our freedom because when we realise that we are a lot more free than we will ever admit to anyone, we have to acknowledge that we could be wasting our lives, and if we are wasting our lives </w:t>
      </w:r>
      <w:r w:rsidR="00FC02DE">
        <w:rPr>
          <w:sz w:val="28"/>
          <w:szCs w:val="28"/>
        </w:rPr>
        <w:t xml:space="preserve">it is our own fault, however much we might want to blame circumstances or other people, but we can then suppress this insight. And the next day we may force ourselves to believe in what we are doing which then shuts down all the other opportunities for changing and improving our lives. We forget, Sartre says, that ‘Being precedes essence’, which means who we are cannot be pinned down to one particular job, or relationship. In bad faith we keep those possibilities out of our minds, we tell ourselves that the way we are at the moment is the only way we can be. So bad faith closes down on the options of freedom. </w:t>
      </w:r>
      <w:r w:rsidR="00956D34">
        <w:rPr>
          <w:sz w:val="28"/>
          <w:szCs w:val="28"/>
        </w:rPr>
        <w:t xml:space="preserve">Sartre detected bad faith as a feature of many unhappy relationships, he saw its origins in early dates when a couple secretly realise that they are not compatible, but then force themselves to believe that they can be happy together. As an example from Sartre, a woman wants to be loved for her mind, and cannot stand to pay attention to her own suspicion that her partner is more interested in her body, while the man realises that the woman is not interested in him sexually but he keeps telling himself that she really is. Both partners lie to themselves and that is why they can end up together, and unhappy. Bad faith will lead them to </w:t>
      </w:r>
      <w:r w:rsidR="00EF5FB6">
        <w:rPr>
          <w:sz w:val="28"/>
          <w:szCs w:val="28"/>
        </w:rPr>
        <w:t xml:space="preserve">put the blame on each other, saying it is the other’s coldness or lack of intellect that is the problem, when really it is their own doing. </w:t>
      </w:r>
    </w:p>
    <w:p w:rsidR="00220FA8" w:rsidRDefault="00220FA8" w:rsidP="0084680F">
      <w:pPr>
        <w:rPr>
          <w:sz w:val="28"/>
          <w:szCs w:val="28"/>
        </w:rPr>
      </w:pPr>
      <w:r>
        <w:rPr>
          <w:sz w:val="28"/>
          <w:szCs w:val="28"/>
        </w:rPr>
        <w:t xml:space="preserve">     ‘To think that I can hide, or indeed attempt to hide, my anguish is </w:t>
      </w:r>
      <w:r w:rsidRPr="00220FA8">
        <w:rPr>
          <w:i/>
          <w:sz w:val="28"/>
          <w:szCs w:val="28"/>
        </w:rPr>
        <w:t>bad faith</w:t>
      </w:r>
      <w:r>
        <w:rPr>
          <w:sz w:val="28"/>
          <w:szCs w:val="28"/>
        </w:rPr>
        <w:t xml:space="preserve">. It is an attempt to turn what I am as a human reality, as a </w:t>
      </w:r>
      <w:r>
        <w:rPr>
          <w:i/>
          <w:sz w:val="28"/>
          <w:szCs w:val="28"/>
        </w:rPr>
        <w:t>pour-</w:t>
      </w:r>
      <w:proofErr w:type="spellStart"/>
      <w:r>
        <w:rPr>
          <w:i/>
          <w:sz w:val="28"/>
          <w:szCs w:val="28"/>
        </w:rPr>
        <w:t>soi</w:t>
      </w:r>
      <w:proofErr w:type="spellEnd"/>
      <w:r>
        <w:rPr>
          <w:sz w:val="28"/>
          <w:szCs w:val="28"/>
        </w:rPr>
        <w:t>, as a being which is what it is not and which is not what it is</w:t>
      </w:r>
      <w:r w:rsidR="00E71AEB">
        <w:rPr>
          <w:sz w:val="28"/>
          <w:szCs w:val="28"/>
        </w:rPr>
        <w:t xml:space="preserve"> into the mode of being of </w:t>
      </w:r>
      <w:proofErr w:type="spellStart"/>
      <w:r w:rsidR="00E71AEB">
        <w:rPr>
          <w:i/>
          <w:sz w:val="28"/>
          <w:szCs w:val="28"/>
        </w:rPr>
        <w:t>en-</w:t>
      </w:r>
      <w:r w:rsidR="00E71AEB">
        <w:rPr>
          <w:i/>
          <w:sz w:val="28"/>
          <w:szCs w:val="28"/>
        </w:rPr>
        <w:lastRenderedPageBreak/>
        <w:t>soi</w:t>
      </w:r>
      <w:proofErr w:type="spellEnd"/>
      <w:r w:rsidR="00E71AEB">
        <w:rPr>
          <w:sz w:val="28"/>
          <w:szCs w:val="28"/>
        </w:rPr>
        <w:t>, into an object, into a thing.’</w:t>
      </w:r>
      <w:r w:rsidR="00E71AEB">
        <w:rPr>
          <w:rStyle w:val="FootnoteReference"/>
          <w:sz w:val="28"/>
          <w:szCs w:val="28"/>
        </w:rPr>
        <w:footnoteReference w:id="5"/>
      </w:r>
      <w:r w:rsidR="00E71AEB">
        <w:rPr>
          <w:sz w:val="28"/>
          <w:szCs w:val="28"/>
        </w:rPr>
        <w:t xml:space="preserve"> But it is at the price of bad faith that ‘we are anguish-in-order-to-flee-anguish within the unity of a single consciousness.’</w:t>
      </w:r>
      <w:r w:rsidR="00E71AEB">
        <w:rPr>
          <w:rStyle w:val="FootnoteReference"/>
          <w:sz w:val="28"/>
          <w:szCs w:val="28"/>
        </w:rPr>
        <w:footnoteReference w:id="6"/>
      </w:r>
      <w:r w:rsidR="00E71AEB">
        <w:rPr>
          <w:sz w:val="28"/>
          <w:szCs w:val="28"/>
        </w:rPr>
        <w:t xml:space="preserve"> </w:t>
      </w:r>
    </w:p>
    <w:p w:rsidR="00E71AEB" w:rsidRPr="00E71AEB" w:rsidRDefault="00E71AEB" w:rsidP="0084680F">
      <w:pPr>
        <w:rPr>
          <w:sz w:val="28"/>
          <w:szCs w:val="28"/>
        </w:rPr>
      </w:pPr>
      <w:r>
        <w:rPr>
          <w:sz w:val="28"/>
          <w:szCs w:val="28"/>
        </w:rPr>
        <w:t xml:space="preserve">     ‘Although bad faith may be regarded as a lie to oneself, and although it does share in appearance the structure of falsehood, it cannot maintain the ontological duality of </w:t>
      </w:r>
      <w:r>
        <w:rPr>
          <w:i/>
          <w:sz w:val="28"/>
          <w:szCs w:val="28"/>
        </w:rPr>
        <w:t>deceiver</w:t>
      </w:r>
      <w:r>
        <w:rPr>
          <w:sz w:val="28"/>
          <w:szCs w:val="28"/>
        </w:rPr>
        <w:t xml:space="preserve"> and </w:t>
      </w:r>
      <w:r>
        <w:rPr>
          <w:i/>
          <w:sz w:val="28"/>
          <w:szCs w:val="28"/>
        </w:rPr>
        <w:t>deceived</w:t>
      </w:r>
      <w:r>
        <w:rPr>
          <w:sz w:val="28"/>
          <w:szCs w:val="28"/>
        </w:rPr>
        <w:t>. For bad faith differs essentially from “lying in general”</w:t>
      </w:r>
      <w:r w:rsidR="00773DDD">
        <w:rPr>
          <w:sz w:val="28"/>
          <w:szCs w:val="28"/>
        </w:rPr>
        <w:t xml:space="preserve"> or falsehood in that it involves one’s hiding the truth from oneself.’</w:t>
      </w:r>
      <w:r w:rsidR="00773DDD">
        <w:rPr>
          <w:rStyle w:val="FootnoteReference"/>
          <w:sz w:val="28"/>
          <w:szCs w:val="28"/>
        </w:rPr>
        <w:footnoteReference w:id="7"/>
      </w:r>
    </w:p>
    <w:p w:rsidR="00A4219A" w:rsidRDefault="00A4219A" w:rsidP="0084680F">
      <w:pPr>
        <w:rPr>
          <w:sz w:val="28"/>
          <w:szCs w:val="28"/>
        </w:rPr>
      </w:pPr>
      <w:r>
        <w:rPr>
          <w:sz w:val="28"/>
          <w:szCs w:val="28"/>
        </w:rPr>
        <w:t xml:space="preserve">     For Sartre, ‘I can become involved in </w:t>
      </w:r>
      <w:r w:rsidRPr="00A4219A">
        <w:rPr>
          <w:i/>
          <w:sz w:val="28"/>
          <w:szCs w:val="28"/>
        </w:rPr>
        <w:t>bad faith</w:t>
      </w:r>
      <w:r>
        <w:rPr>
          <w:sz w:val="28"/>
          <w:szCs w:val="28"/>
        </w:rPr>
        <w:t xml:space="preserve"> while in</w:t>
      </w:r>
      <w:bookmarkStart w:id="0" w:name="_GoBack"/>
      <w:bookmarkEnd w:id="0"/>
      <w:r>
        <w:rPr>
          <w:sz w:val="28"/>
          <w:szCs w:val="28"/>
        </w:rPr>
        <w:t xml:space="preserve"> the very process of apprehending myself as anguish. For I attempt to flee anguish in order not to know, but, because</w:t>
      </w:r>
      <w:r w:rsidR="00220FA8">
        <w:rPr>
          <w:sz w:val="28"/>
          <w:szCs w:val="28"/>
        </w:rPr>
        <w:t xml:space="preserve"> of the </w:t>
      </w:r>
      <w:r w:rsidR="00220FA8">
        <w:rPr>
          <w:i/>
          <w:sz w:val="28"/>
          <w:szCs w:val="28"/>
        </w:rPr>
        <w:t>pre-reflective cogito</w:t>
      </w:r>
      <w:r w:rsidR="00220FA8">
        <w:rPr>
          <w:sz w:val="28"/>
          <w:szCs w:val="28"/>
        </w:rPr>
        <w:t>, I am not able to avoid knowing that I am fleeing.’</w:t>
      </w:r>
      <w:r w:rsidR="00220FA8">
        <w:rPr>
          <w:rStyle w:val="FootnoteReference"/>
          <w:sz w:val="28"/>
          <w:szCs w:val="28"/>
        </w:rPr>
        <w:footnoteReference w:id="8"/>
      </w:r>
      <w:r w:rsidR="00220FA8">
        <w:rPr>
          <w:sz w:val="28"/>
          <w:szCs w:val="28"/>
        </w:rPr>
        <w:t xml:space="preserve"> </w:t>
      </w:r>
    </w:p>
    <w:p w:rsidR="00220FA8" w:rsidRPr="00220FA8" w:rsidRDefault="00220FA8" w:rsidP="0084680F">
      <w:pPr>
        <w:rPr>
          <w:sz w:val="28"/>
          <w:szCs w:val="28"/>
        </w:rPr>
      </w:pPr>
      <w:r>
        <w:rPr>
          <w:sz w:val="28"/>
          <w:szCs w:val="28"/>
        </w:rPr>
        <w:t xml:space="preserve">     Sartre thought that sincerity was a ‘phenomenon of bad faith.’ </w:t>
      </w:r>
    </w:p>
    <w:p w:rsidR="001313D5" w:rsidRDefault="00EF5FB6" w:rsidP="0084680F">
      <w:pPr>
        <w:rPr>
          <w:sz w:val="28"/>
          <w:szCs w:val="28"/>
        </w:rPr>
      </w:pPr>
      <w:r>
        <w:rPr>
          <w:sz w:val="28"/>
          <w:szCs w:val="28"/>
        </w:rPr>
        <w:t xml:space="preserve">     </w:t>
      </w:r>
      <w:r w:rsidR="00BB76D3">
        <w:rPr>
          <w:sz w:val="28"/>
          <w:szCs w:val="28"/>
        </w:rPr>
        <w:t xml:space="preserve">               </w:t>
      </w:r>
      <w:r w:rsidR="001313D5">
        <w:rPr>
          <w:sz w:val="28"/>
          <w:szCs w:val="28"/>
        </w:rPr>
        <w:t xml:space="preserve">                              </w:t>
      </w:r>
    </w:p>
    <w:p w:rsidR="001313D5" w:rsidRDefault="001313D5" w:rsidP="0084680F">
      <w:pPr>
        <w:rPr>
          <w:sz w:val="28"/>
          <w:szCs w:val="28"/>
        </w:rPr>
      </w:pPr>
    </w:p>
    <w:p w:rsidR="0084680F" w:rsidRPr="0084680F" w:rsidRDefault="0084680F" w:rsidP="0084680F">
      <w:pPr>
        <w:rPr>
          <w:sz w:val="28"/>
          <w:szCs w:val="28"/>
        </w:rPr>
      </w:pPr>
      <w:r>
        <w:rPr>
          <w:sz w:val="28"/>
          <w:szCs w:val="28"/>
        </w:rPr>
        <w:t xml:space="preserve">     </w:t>
      </w:r>
    </w:p>
    <w:sectPr w:rsidR="0084680F" w:rsidRPr="008468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01B80" w:rsidRDefault="00401B80" w:rsidP="009A063C">
      <w:pPr>
        <w:spacing w:after="0" w:line="240" w:lineRule="auto"/>
      </w:pPr>
      <w:r>
        <w:separator/>
      </w:r>
    </w:p>
  </w:endnote>
  <w:endnote w:type="continuationSeparator" w:id="0">
    <w:p w:rsidR="00401B80" w:rsidRDefault="00401B80" w:rsidP="009A06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3"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01B80" w:rsidRDefault="00401B80" w:rsidP="009A063C">
      <w:pPr>
        <w:spacing w:after="0" w:line="240" w:lineRule="auto"/>
      </w:pPr>
      <w:r>
        <w:separator/>
      </w:r>
    </w:p>
  </w:footnote>
  <w:footnote w:type="continuationSeparator" w:id="0">
    <w:p w:rsidR="00401B80" w:rsidRDefault="00401B80" w:rsidP="009A063C">
      <w:pPr>
        <w:spacing w:after="0" w:line="240" w:lineRule="auto"/>
      </w:pPr>
      <w:r>
        <w:continuationSeparator/>
      </w:r>
    </w:p>
  </w:footnote>
  <w:footnote w:id="1">
    <w:p w:rsidR="00BB76D3" w:rsidRDefault="00BB76D3">
      <w:pPr>
        <w:pStyle w:val="FootnoteText"/>
      </w:pPr>
      <w:r>
        <w:rPr>
          <w:rStyle w:val="FootnoteReference"/>
        </w:rPr>
        <w:footnoteRef/>
      </w:r>
      <w:r>
        <w:t xml:space="preserve"> Ronald E. </w:t>
      </w:r>
      <w:proofErr w:type="spellStart"/>
      <w:r>
        <w:t>Santoni</w:t>
      </w:r>
      <w:proofErr w:type="spellEnd"/>
      <w:r>
        <w:t xml:space="preserve">, </w:t>
      </w:r>
      <w:r w:rsidRPr="00BB76D3">
        <w:rPr>
          <w:i/>
        </w:rPr>
        <w:t>Bad Faith, Good Faith, and Authenticity in Sartre’s Early Philosophy</w:t>
      </w:r>
      <w:r>
        <w:t>, (Philadelphia: Temple University Press, 1995) p.29.</w:t>
      </w:r>
    </w:p>
  </w:footnote>
  <w:footnote w:id="2">
    <w:p w:rsidR="00AA6C7A" w:rsidRDefault="00AA6C7A">
      <w:pPr>
        <w:pStyle w:val="FootnoteText"/>
      </w:pPr>
      <w:r>
        <w:rPr>
          <w:rStyle w:val="FootnoteReference"/>
        </w:rPr>
        <w:footnoteRef/>
      </w:r>
      <w:r>
        <w:t xml:space="preserve"> Ibid. p. 34</w:t>
      </w:r>
    </w:p>
  </w:footnote>
  <w:footnote w:id="3">
    <w:p w:rsidR="00CB2548" w:rsidRDefault="00CB2548">
      <w:pPr>
        <w:pStyle w:val="FootnoteText"/>
      </w:pPr>
      <w:r>
        <w:rPr>
          <w:rStyle w:val="FootnoteReference"/>
        </w:rPr>
        <w:footnoteRef/>
      </w:r>
      <w:r>
        <w:t xml:space="preserve"> Ibid. pp. 29-30.</w:t>
      </w:r>
    </w:p>
  </w:footnote>
  <w:footnote w:id="4">
    <w:p w:rsidR="00DA720D" w:rsidRDefault="00DA720D">
      <w:pPr>
        <w:pStyle w:val="FootnoteText"/>
      </w:pPr>
      <w:r>
        <w:rPr>
          <w:rStyle w:val="FootnoteReference"/>
        </w:rPr>
        <w:footnoteRef/>
      </w:r>
      <w:r>
        <w:t xml:space="preserve"> Ibid. pp. 29-30.</w:t>
      </w:r>
    </w:p>
  </w:footnote>
  <w:footnote w:id="5">
    <w:p w:rsidR="00E71AEB" w:rsidRDefault="00E71AEB">
      <w:pPr>
        <w:pStyle w:val="FootnoteText"/>
      </w:pPr>
      <w:r>
        <w:rPr>
          <w:rStyle w:val="FootnoteReference"/>
        </w:rPr>
        <w:footnoteRef/>
      </w:r>
      <w:r>
        <w:t xml:space="preserve"> Ibid. p.5.</w:t>
      </w:r>
    </w:p>
  </w:footnote>
  <w:footnote w:id="6">
    <w:p w:rsidR="00E71AEB" w:rsidRPr="00E71AEB" w:rsidRDefault="00E71AEB">
      <w:pPr>
        <w:pStyle w:val="FootnoteText"/>
        <w:rPr>
          <w:i/>
        </w:rPr>
      </w:pPr>
      <w:r>
        <w:rPr>
          <w:rStyle w:val="FootnoteReference"/>
        </w:rPr>
        <w:footnoteRef/>
      </w:r>
      <w:r>
        <w:t xml:space="preserve"> Jean-Paul Sartre, </w:t>
      </w:r>
      <w:r>
        <w:rPr>
          <w:i/>
        </w:rPr>
        <w:t xml:space="preserve">Being and Nothingness, Translated by Hazel </w:t>
      </w:r>
      <w:proofErr w:type="spellStart"/>
      <w:r>
        <w:rPr>
          <w:i/>
        </w:rPr>
        <w:t>E.Barnes</w:t>
      </w:r>
      <w:proofErr w:type="spellEnd"/>
      <w:r>
        <w:rPr>
          <w:i/>
        </w:rPr>
        <w:t>, (London: Routledge</w:t>
      </w:r>
      <w:proofErr w:type="gramStart"/>
      <w:r>
        <w:rPr>
          <w:i/>
        </w:rPr>
        <w:t>,1989</w:t>
      </w:r>
      <w:proofErr w:type="gramEnd"/>
      <w:r>
        <w:rPr>
          <w:i/>
        </w:rPr>
        <w:t>) p. 48.</w:t>
      </w:r>
    </w:p>
  </w:footnote>
  <w:footnote w:id="7">
    <w:p w:rsidR="00773DDD" w:rsidRDefault="00773DDD">
      <w:pPr>
        <w:pStyle w:val="FootnoteText"/>
      </w:pPr>
      <w:r>
        <w:rPr>
          <w:rStyle w:val="FootnoteReference"/>
        </w:rPr>
        <w:footnoteRef/>
      </w:r>
      <w:r>
        <w:t xml:space="preserve"> Ibid. p. 48</w:t>
      </w:r>
    </w:p>
  </w:footnote>
  <w:footnote w:id="8">
    <w:p w:rsidR="00220FA8" w:rsidRDefault="00220FA8">
      <w:pPr>
        <w:pStyle w:val="FootnoteText"/>
      </w:pPr>
      <w:r>
        <w:rPr>
          <w:rStyle w:val="FootnoteReference"/>
        </w:rPr>
        <w:footnoteRef/>
      </w:r>
      <w:r>
        <w:t xml:space="preserve"> Ibid. p. 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680F"/>
    <w:rsid w:val="00012786"/>
    <w:rsid w:val="001313D5"/>
    <w:rsid w:val="00220FA8"/>
    <w:rsid w:val="00401B80"/>
    <w:rsid w:val="00546BD2"/>
    <w:rsid w:val="0068119D"/>
    <w:rsid w:val="00773DDD"/>
    <w:rsid w:val="0084680F"/>
    <w:rsid w:val="009535D9"/>
    <w:rsid w:val="00956D34"/>
    <w:rsid w:val="009A063C"/>
    <w:rsid w:val="009F27DC"/>
    <w:rsid w:val="00A03319"/>
    <w:rsid w:val="00A4219A"/>
    <w:rsid w:val="00A676E0"/>
    <w:rsid w:val="00AA6C7A"/>
    <w:rsid w:val="00AE2F16"/>
    <w:rsid w:val="00AE6C33"/>
    <w:rsid w:val="00BB76D3"/>
    <w:rsid w:val="00CB2548"/>
    <w:rsid w:val="00DA720D"/>
    <w:rsid w:val="00DB3A3E"/>
    <w:rsid w:val="00E71AEB"/>
    <w:rsid w:val="00EF5FB6"/>
    <w:rsid w:val="00FC02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AA40F98-9E9D-44B2-8F49-FA530F242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84680F"/>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84680F"/>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4680F"/>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84680F"/>
    <w:rPr>
      <w:rFonts w:ascii="Tahoma" w:eastAsia="SimSun" w:hAnsi="Tahoma" w:cs="Tahoma"/>
      <w:b/>
      <w:bCs/>
      <w:sz w:val="20"/>
      <w:szCs w:val="20"/>
      <w:lang w:eastAsia="zh-CN"/>
    </w:rPr>
  </w:style>
  <w:style w:type="paragraph" w:styleId="NormalWeb">
    <w:name w:val="Normal (Web)"/>
    <w:basedOn w:val="Normal"/>
    <w:rsid w:val="0084680F"/>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FootnoteText">
    <w:name w:val="footnote text"/>
    <w:basedOn w:val="Normal"/>
    <w:link w:val="FootnoteTextChar"/>
    <w:uiPriority w:val="99"/>
    <w:semiHidden/>
    <w:unhideWhenUsed/>
    <w:rsid w:val="009A063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A063C"/>
    <w:rPr>
      <w:sz w:val="20"/>
      <w:szCs w:val="20"/>
    </w:rPr>
  </w:style>
  <w:style w:type="character" w:styleId="FootnoteReference">
    <w:name w:val="footnote reference"/>
    <w:basedOn w:val="DefaultParagraphFont"/>
    <w:uiPriority w:val="99"/>
    <w:semiHidden/>
    <w:unhideWhenUsed/>
    <w:rsid w:val="009A063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82AABD-F711-4F3F-90B4-D2D250C085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969</Words>
  <Characters>5526</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Invate</dc:creator>
  <cp:keywords/>
  <dc:description/>
  <cp:lastModifiedBy>Invate</cp:lastModifiedBy>
  <cp:revision>2</cp:revision>
  <dcterms:created xsi:type="dcterms:W3CDTF">2018-01-19T23:59:00Z</dcterms:created>
  <dcterms:modified xsi:type="dcterms:W3CDTF">2018-01-19T23:59:00Z</dcterms:modified>
</cp:coreProperties>
</file>