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8A1037" w14:textId="77777777" w:rsidR="00310244" w:rsidRPr="00965079" w:rsidRDefault="00E66695" w:rsidP="00965079">
      <w:pPr>
        <w:spacing w:before="120" w:after="120" w:line="360" w:lineRule="auto"/>
        <w:jc w:val="center"/>
        <w:rPr>
          <w:rFonts w:cs="Arial"/>
          <w:color w:val="000000" w:themeColor="text1"/>
        </w:rPr>
      </w:pPr>
      <w:r w:rsidRPr="00965079">
        <w:rPr>
          <w:rFonts w:cs="Arial"/>
          <w:b/>
          <w:color w:val="000000" w:themeColor="text1"/>
          <w:sz w:val="32"/>
        </w:rPr>
        <w:t>BMHP5019_BIRM</w:t>
      </w:r>
    </w:p>
    <w:p w14:paraId="089CF529" w14:textId="77777777" w:rsidR="00310244" w:rsidRPr="00965079" w:rsidRDefault="00E66695" w:rsidP="00965079">
      <w:pPr>
        <w:spacing w:before="120" w:after="120" w:line="360" w:lineRule="auto"/>
        <w:jc w:val="center"/>
        <w:rPr>
          <w:rFonts w:cs="Arial"/>
          <w:color w:val="000000" w:themeColor="text1"/>
        </w:rPr>
      </w:pPr>
      <w:r w:rsidRPr="00965079">
        <w:rPr>
          <w:rFonts w:cs="Arial"/>
          <w:color w:val="000000" w:themeColor="text1"/>
          <w:sz w:val="26"/>
        </w:rPr>
        <w:t>Introduction to Independent Research Skills</w:t>
      </w:r>
    </w:p>
    <w:p w14:paraId="0875DDF2" w14:textId="77777777" w:rsidR="00310244" w:rsidRPr="00965079" w:rsidRDefault="00310244" w:rsidP="00965079">
      <w:pPr>
        <w:spacing w:before="120" w:after="120" w:line="360" w:lineRule="auto"/>
        <w:jc w:val="center"/>
        <w:rPr>
          <w:rFonts w:cs="Arial"/>
          <w:color w:val="000000" w:themeColor="text1"/>
        </w:rPr>
      </w:pPr>
    </w:p>
    <w:p w14:paraId="2CD03B4C" w14:textId="77777777" w:rsidR="00310244" w:rsidRPr="00965079" w:rsidRDefault="00E66695" w:rsidP="00965079">
      <w:pPr>
        <w:spacing w:before="120" w:after="120" w:line="360" w:lineRule="auto"/>
        <w:jc w:val="center"/>
        <w:rPr>
          <w:rFonts w:cs="Arial"/>
          <w:color w:val="000000" w:themeColor="text1"/>
        </w:rPr>
      </w:pPr>
      <w:r w:rsidRPr="00965079">
        <w:rPr>
          <w:rFonts w:cs="Arial"/>
          <w:b/>
          <w:color w:val="000000" w:themeColor="text1"/>
          <w:sz w:val="24"/>
        </w:rPr>
        <w:t>SCOPING REVIEW REPORT</w:t>
      </w:r>
    </w:p>
    <w:p w14:paraId="4B7F96CB" w14:textId="77777777" w:rsidR="00310244" w:rsidRPr="00965079" w:rsidRDefault="00E66695" w:rsidP="00965079">
      <w:pPr>
        <w:pStyle w:val="Title"/>
        <w:spacing w:before="120" w:after="120" w:line="360" w:lineRule="auto"/>
        <w:jc w:val="center"/>
        <w:rPr>
          <w:rFonts w:ascii="Arial" w:hAnsi="Arial" w:cs="Arial"/>
          <w:color w:val="000000" w:themeColor="text1"/>
        </w:rPr>
      </w:pPr>
      <w:r w:rsidRPr="00965079">
        <w:rPr>
          <w:rFonts w:ascii="Arial" w:hAnsi="Arial" w:cs="Arial"/>
          <w:color w:val="000000" w:themeColor="text1"/>
        </w:rPr>
        <w:t>The Impact of Remote Learning on Mental Health Among University Students in the UK: A Scoping Review</w:t>
      </w:r>
    </w:p>
    <w:p w14:paraId="78C8CED2" w14:textId="77777777" w:rsidR="00310244" w:rsidRPr="00965079" w:rsidRDefault="00310244" w:rsidP="00965079">
      <w:pPr>
        <w:spacing w:before="120" w:after="120" w:line="360" w:lineRule="auto"/>
        <w:jc w:val="center"/>
        <w:rPr>
          <w:rFonts w:cs="Arial"/>
        </w:rPr>
      </w:pPr>
    </w:p>
    <w:p w14:paraId="4AB34FC4" w14:textId="77777777" w:rsidR="00310244" w:rsidRPr="00965079" w:rsidRDefault="00310244" w:rsidP="00965079">
      <w:pPr>
        <w:spacing w:before="120" w:after="120" w:line="360" w:lineRule="auto"/>
        <w:jc w:val="center"/>
        <w:rPr>
          <w:rFonts w:cs="Arial"/>
        </w:rPr>
      </w:pPr>
    </w:p>
    <w:p w14:paraId="5C07E73F" w14:textId="77777777" w:rsidR="00310244" w:rsidRPr="00965079" w:rsidRDefault="00310244" w:rsidP="00965079">
      <w:pPr>
        <w:spacing w:before="120" w:after="120" w:line="360" w:lineRule="auto"/>
        <w:jc w:val="center"/>
        <w:rPr>
          <w:rFonts w:cs="Arial"/>
        </w:rPr>
      </w:pPr>
    </w:p>
    <w:p w14:paraId="363F3BF2" w14:textId="77777777" w:rsidR="00310244" w:rsidRPr="00965079" w:rsidRDefault="00310244" w:rsidP="00965079">
      <w:pPr>
        <w:spacing w:before="120" w:after="120" w:line="360" w:lineRule="auto"/>
        <w:jc w:val="center"/>
        <w:rPr>
          <w:rFonts w:cs="Arial"/>
        </w:rPr>
      </w:pPr>
    </w:p>
    <w:p w14:paraId="32EB8782" w14:textId="6A6CCA56" w:rsidR="00310244" w:rsidRPr="00965079" w:rsidRDefault="00E66695" w:rsidP="00965079">
      <w:pPr>
        <w:spacing w:before="120" w:after="120" w:line="360" w:lineRule="auto"/>
        <w:jc w:val="center"/>
        <w:rPr>
          <w:rFonts w:cs="Arial"/>
        </w:rPr>
      </w:pPr>
      <w:r w:rsidRPr="00965079">
        <w:rPr>
          <w:rFonts w:cs="Arial"/>
        </w:rPr>
        <w:t xml:space="preserve">Student </w:t>
      </w:r>
      <w:r w:rsidR="00F812A9" w:rsidRPr="00965079">
        <w:rPr>
          <w:rFonts w:cs="Arial"/>
        </w:rPr>
        <w:t>Name:</w:t>
      </w:r>
      <w:r w:rsidR="00F812A9">
        <w:rPr>
          <w:rFonts w:cs="Arial"/>
        </w:rPr>
        <w:t xml:space="preserve"> Sumaira shah</w:t>
      </w:r>
    </w:p>
    <w:p w14:paraId="6CD3196E" w14:textId="47A2C236" w:rsidR="001E404F" w:rsidRPr="00965079" w:rsidRDefault="00E66695" w:rsidP="001E404F">
      <w:pPr>
        <w:spacing w:before="120" w:after="120" w:line="360" w:lineRule="auto"/>
        <w:jc w:val="center"/>
        <w:rPr>
          <w:rFonts w:cs="Arial"/>
        </w:rPr>
      </w:pPr>
      <w:r w:rsidRPr="00965079">
        <w:rPr>
          <w:rFonts w:cs="Arial"/>
        </w:rPr>
        <w:t xml:space="preserve">Student Number: </w:t>
      </w:r>
      <w:r w:rsidR="00232B55">
        <w:rPr>
          <w:rFonts w:cs="Arial"/>
        </w:rPr>
        <w:t>241402</w:t>
      </w:r>
      <w:r w:rsidR="001E404F">
        <w:rPr>
          <w:rFonts w:cs="Arial"/>
        </w:rPr>
        <w:t>1</w:t>
      </w:r>
    </w:p>
    <w:p w14:paraId="02F2D52E" w14:textId="5878B50C" w:rsidR="00310244" w:rsidRPr="00965079" w:rsidRDefault="00B5356E" w:rsidP="00965079">
      <w:pPr>
        <w:spacing w:before="120" w:after="120" w:line="360" w:lineRule="auto"/>
        <w:jc w:val="center"/>
        <w:rPr>
          <w:rFonts w:cs="Arial"/>
        </w:rPr>
      </w:pPr>
      <w:r>
        <w:rPr>
          <w:rFonts w:cs="Arial"/>
        </w:rPr>
        <w:t xml:space="preserve">Lecturer </w:t>
      </w:r>
      <w:r w:rsidR="00091688">
        <w:rPr>
          <w:rFonts w:cs="Arial"/>
        </w:rPr>
        <w:t>name: Raheela</w:t>
      </w:r>
      <w:r w:rsidR="001650A9">
        <w:rPr>
          <w:rFonts w:cs="Arial"/>
        </w:rPr>
        <w:t xml:space="preserve"> </w:t>
      </w:r>
      <w:r w:rsidR="0045183A">
        <w:rPr>
          <w:rFonts w:cs="Arial"/>
        </w:rPr>
        <w:t>shaikh</w:t>
      </w:r>
    </w:p>
    <w:p w14:paraId="38E8FB6F" w14:textId="3D5A8998" w:rsidR="00310244" w:rsidRPr="00965079" w:rsidRDefault="00A1159F" w:rsidP="00965079">
      <w:pPr>
        <w:spacing w:before="120" w:after="120" w:line="360" w:lineRule="auto"/>
        <w:jc w:val="center"/>
        <w:rPr>
          <w:rFonts w:cs="Arial"/>
        </w:rPr>
      </w:pPr>
      <w:r>
        <w:rPr>
          <w:rFonts w:cs="Arial"/>
        </w:rPr>
        <w:t>M</w:t>
      </w:r>
      <w:r w:rsidR="0022401F">
        <w:rPr>
          <w:rFonts w:cs="Arial"/>
        </w:rPr>
        <w:t>odule</w:t>
      </w:r>
      <w:r w:rsidR="00FC0013">
        <w:rPr>
          <w:rFonts w:cs="Arial"/>
        </w:rPr>
        <w:t xml:space="preserve"> </w:t>
      </w:r>
      <w:r w:rsidR="00FB1FEF">
        <w:rPr>
          <w:rFonts w:cs="Arial"/>
        </w:rPr>
        <w:t>code: BMHP</w:t>
      </w:r>
      <w:r w:rsidR="00AB2716">
        <w:rPr>
          <w:rFonts w:cs="Arial"/>
        </w:rPr>
        <w:t>5019-</w:t>
      </w:r>
      <w:r w:rsidR="009F0581">
        <w:rPr>
          <w:rFonts w:cs="Arial"/>
        </w:rPr>
        <w:t>BIRM</w:t>
      </w:r>
    </w:p>
    <w:p w14:paraId="5D02B43B" w14:textId="77777777" w:rsidR="00310244" w:rsidRPr="00965079" w:rsidRDefault="00310244" w:rsidP="00965079">
      <w:pPr>
        <w:spacing w:before="120" w:after="120" w:line="360" w:lineRule="auto"/>
        <w:jc w:val="center"/>
        <w:rPr>
          <w:rFonts w:cs="Arial"/>
        </w:rPr>
      </w:pPr>
    </w:p>
    <w:p w14:paraId="4BC92349" w14:textId="24E680B8" w:rsidR="00310244" w:rsidRPr="00965079" w:rsidRDefault="00310244" w:rsidP="00965079">
      <w:pPr>
        <w:spacing w:before="120" w:after="120" w:line="360" w:lineRule="auto"/>
        <w:jc w:val="center"/>
        <w:rPr>
          <w:rFonts w:cs="Arial"/>
        </w:rPr>
      </w:pPr>
    </w:p>
    <w:p w14:paraId="7E5B77EA" w14:textId="77777777" w:rsidR="00310244" w:rsidRPr="00965079" w:rsidRDefault="00E66695" w:rsidP="00965079">
      <w:pPr>
        <w:spacing w:before="120" w:after="120" w:line="360" w:lineRule="auto"/>
        <w:jc w:val="both"/>
        <w:rPr>
          <w:rFonts w:cs="Arial"/>
        </w:rPr>
      </w:pPr>
      <w:r w:rsidRPr="00965079">
        <w:rPr>
          <w:rFonts w:cs="Arial"/>
        </w:rPr>
        <w:br w:type="page"/>
      </w:r>
    </w:p>
    <w:p w14:paraId="16144864" w14:textId="77777777" w:rsidR="004B204B" w:rsidRPr="00965079" w:rsidRDefault="006321FB" w:rsidP="00965079">
      <w:pPr>
        <w:spacing w:before="120" w:after="120" w:line="360" w:lineRule="auto"/>
        <w:jc w:val="both"/>
        <w:rPr>
          <w:rFonts w:cs="Arial"/>
          <w:b/>
          <w:sz w:val="32"/>
        </w:rPr>
      </w:pPr>
      <w:r w:rsidRPr="00965079">
        <w:rPr>
          <w:rFonts w:cs="Arial"/>
          <w:b/>
          <w:sz w:val="32"/>
        </w:rPr>
        <w:lastRenderedPageBreak/>
        <w:t>Table of Contents</w:t>
      </w:r>
    </w:p>
    <w:p w14:paraId="2329EBE3" w14:textId="77777777" w:rsidR="007B1744" w:rsidRPr="00965079" w:rsidRDefault="008E4311" w:rsidP="00965079">
      <w:pPr>
        <w:pStyle w:val="TOC1"/>
        <w:tabs>
          <w:tab w:val="right" w:leader="dot" w:pos="9350"/>
        </w:tabs>
        <w:spacing w:before="120" w:after="120" w:line="360" w:lineRule="auto"/>
        <w:rPr>
          <w:rFonts w:eastAsiaTheme="minorEastAsia" w:cs="Arial"/>
          <w:noProof/>
        </w:rPr>
      </w:pPr>
      <w:r w:rsidRPr="00965079">
        <w:rPr>
          <w:rFonts w:cs="Arial"/>
          <w:b/>
        </w:rPr>
        <w:fldChar w:fldCharType="begin"/>
      </w:r>
      <w:r w:rsidRPr="00965079">
        <w:rPr>
          <w:rFonts w:cs="Arial"/>
          <w:b/>
        </w:rPr>
        <w:instrText xml:space="preserve"> TOC \o "1-3" \h \z \u </w:instrText>
      </w:r>
      <w:r w:rsidRPr="00965079">
        <w:rPr>
          <w:rFonts w:cs="Arial"/>
          <w:b/>
        </w:rPr>
        <w:fldChar w:fldCharType="separate"/>
      </w:r>
      <w:hyperlink w:anchor="_Toc235032272" w:history="1">
        <w:r w:rsidR="007B1744" w:rsidRPr="00965079">
          <w:rPr>
            <w:rStyle w:val="Hyperlink"/>
            <w:rFonts w:cs="Arial"/>
            <w:noProof/>
          </w:rPr>
          <w:t>1. Introduction</w:t>
        </w:r>
        <w:r w:rsidR="007B1744" w:rsidRPr="00965079">
          <w:rPr>
            <w:rFonts w:cs="Arial"/>
            <w:noProof/>
            <w:webHidden/>
          </w:rPr>
          <w:tab/>
        </w:r>
        <w:r w:rsidR="007B1744" w:rsidRPr="00965079">
          <w:rPr>
            <w:rFonts w:cs="Arial"/>
            <w:noProof/>
            <w:webHidden/>
          </w:rPr>
          <w:fldChar w:fldCharType="begin"/>
        </w:r>
        <w:r w:rsidR="007B1744" w:rsidRPr="00965079">
          <w:rPr>
            <w:rFonts w:cs="Arial"/>
            <w:noProof/>
            <w:webHidden/>
          </w:rPr>
          <w:instrText xml:space="preserve"> PAGEREF _Toc235032272 \h </w:instrText>
        </w:r>
        <w:r w:rsidR="007B1744" w:rsidRPr="00965079">
          <w:rPr>
            <w:rFonts w:cs="Arial"/>
            <w:noProof/>
            <w:webHidden/>
          </w:rPr>
        </w:r>
        <w:r w:rsidR="007B1744" w:rsidRPr="00965079">
          <w:rPr>
            <w:rFonts w:cs="Arial"/>
            <w:noProof/>
            <w:webHidden/>
          </w:rPr>
          <w:fldChar w:fldCharType="separate"/>
        </w:r>
        <w:r w:rsidR="007B1744" w:rsidRPr="00965079">
          <w:rPr>
            <w:rFonts w:cs="Arial"/>
            <w:noProof/>
            <w:webHidden/>
          </w:rPr>
          <w:t>3</w:t>
        </w:r>
        <w:r w:rsidR="007B1744" w:rsidRPr="00965079">
          <w:rPr>
            <w:rFonts w:cs="Arial"/>
            <w:noProof/>
            <w:webHidden/>
          </w:rPr>
          <w:fldChar w:fldCharType="end"/>
        </w:r>
      </w:hyperlink>
    </w:p>
    <w:p w14:paraId="1A4B28DA" w14:textId="77777777" w:rsidR="007B1744" w:rsidRPr="00965079" w:rsidRDefault="007B1744" w:rsidP="00965079">
      <w:pPr>
        <w:pStyle w:val="TOC1"/>
        <w:tabs>
          <w:tab w:val="right" w:leader="dot" w:pos="9350"/>
        </w:tabs>
        <w:spacing w:before="120" w:after="120" w:line="360" w:lineRule="auto"/>
        <w:rPr>
          <w:rFonts w:eastAsiaTheme="minorEastAsia" w:cs="Arial"/>
          <w:noProof/>
        </w:rPr>
      </w:pPr>
      <w:hyperlink w:anchor="_Toc235032273" w:history="1">
        <w:r w:rsidRPr="00965079">
          <w:rPr>
            <w:rStyle w:val="Hyperlink"/>
            <w:rFonts w:cs="Arial"/>
            <w:noProof/>
          </w:rPr>
          <w:t>2. Background</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_Toc235032273 \h </w:instrText>
        </w:r>
        <w:r w:rsidRPr="00965079">
          <w:rPr>
            <w:rFonts w:cs="Arial"/>
            <w:noProof/>
            <w:webHidden/>
          </w:rPr>
        </w:r>
        <w:r w:rsidRPr="00965079">
          <w:rPr>
            <w:rFonts w:cs="Arial"/>
            <w:noProof/>
            <w:webHidden/>
          </w:rPr>
          <w:fldChar w:fldCharType="separate"/>
        </w:r>
        <w:r w:rsidRPr="00965079">
          <w:rPr>
            <w:rFonts w:cs="Arial"/>
            <w:noProof/>
            <w:webHidden/>
          </w:rPr>
          <w:t>4</w:t>
        </w:r>
        <w:r w:rsidRPr="00965079">
          <w:rPr>
            <w:rFonts w:cs="Arial"/>
            <w:noProof/>
            <w:webHidden/>
          </w:rPr>
          <w:fldChar w:fldCharType="end"/>
        </w:r>
      </w:hyperlink>
    </w:p>
    <w:p w14:paraId="506AEE50" w14:textId="77777777" w:rsidR="007B1744" w:rsidRPr="00965079" w:rsidRDefault="007B1744" w:rsidP="00965079">
      <w:pPr>
        <w:pStyle w:val="TOC1"/>
        <w:tabs>
          <w:tab w:val="right" w:leader="dot" w:pos="9350"/>
        </w:tabs>
        <w:spacing w:before="120" w:after="120" w:line="360" w:lineRule="auto"/>
        <w:rPr>
          <w:rFonts w:eastAsiaTheme="minorEastAsia" w:cs="Arial"/>
          <w:noProof/>
        </w:rPr>
      </w:pPr>
      <w:hyperlink w:anchor="_Toc235032274" w:history="1">
        <w:r w:rsidRPr="00965079">
          <w:rPr>
            <w:rStyle w:val="Hyperlink"/>
            <w:rFonts w:cs="Arial"/>
            <w:noProof/>
          </w:rPr>
          <w:t>3. Methods</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_Toc235032274 \h </w:instrText>
        </w:r>
        <w:r w:rsidRPr="00965079">
          <w:rPr>
            <w:rFonts w:cs="Arial"/>
            <w:noProof/>
            <w:webHidden/>
          </w:rPr>
        </w:r>
        <w:r w:rsidRPr="00965079">
          <w:rPr>
            <w:rFonts w:cs="Arial"/>
            <w:noProof/>
            <w:webHidden/>
          </w:rPr>
          <w:fldChar w:fldCharType="separate"/>
        </w:r>
        <w:r w:rsidRPr="00965079">
          <w:rPr>
            <w:rFonts w:cs="Arial"/>
            <w:noProof/>
            <w:webHidden/>
          </w:rPr>
          <w:t>5</w:t>
        </w:r>
        <w:r w:rsidRPr="00965079">
          <w:rPr>
            <w:rFonts w:cs="Arial"/>
            <w:noProof/>
            <w:webHidden/>
          </w:rPr>
          <w:fldChar w:fldCharType="end"/>
        </w:r>
      </w:hyperlink>
    </w:p>
    <w:p w14:paraId="314558F7"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75" w:history="1">
        <w:r w:rsidRPr="00965079">
          <w:rPr>
            <w:rStyle w:val="Hyperlink"/>
            <w:rFonts w:cs="Arial"/>
            <w:noProof/>
          </w:rPr>
          <w:t>3.1 Scoping Review Design and Framework</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_Toc235032275 \h </w:instrText>
        </w:r>
        <w:r w:rsidRPr="00965079">
          <w:rPr>
            <w:rFonts w:cs="Arial"/>
            <w:noProof/>
            <w:webHidden/>
          </w:rPr>
        </w:r>
        <w:r w:rsidRPr="00965079">
          <w:rPr>
            <w:rFonts w:cs="Arial"/>
            <w:noProof/>
            <w:webHidden/>
          </w:rPr>
          <w:fldChar w:fldCharType="separate"/>
        </w:r>
        <w:r w:rsidRPr="00965079">
          <w:rPr>
            <w:rFonts w:cs="Arial"/>
            <w:noProof/>
            <w:webHidden/>
          </w:rPr>
          <w:t>5</w:t>
        </w:r>
        <w:r w:rsidRPr="00965079">
          <w:rPr>
            <w:rFonts w:cs="Arial"/>
            <w:noProof/>
            <w:webHidden/>
          </w:rPr>
          <w:fldChar w:fldCharType="end"/>
        </w:r>
      </w:hyperlink>
    </w:p>
    <w:p w14:paraId="4C72D6C5"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76" w:history="1">
        <w:r w:rsidRPr="00965079">
          <w:rPr>
            <w:rStyle w:val="Hyperlink"/>
            <w:rFonts w:cs="Arial"/>
            <w:noProof/>
          </w:rPr>
          <w:t>3.2 Databases Selection</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_Toc235032276 \h </w:instrText>
        </w:r>
        <w:r w:rsidRPr="00965079">
          <w:rPr>
            <w:rFonts w:cs="Arial"/>
            <w:noProof/>
            <w:webHidden/>
          </w:rPr>
        </w:r>
        <w:r w:rsidRPr="00965079">
          <w:rPr>
            <w:rFonts w:cs="Arial"/>
            <w:noProof/>
            <w:webHidden/>
          </w:rPr>
          <w:fldChar w:fldCharType="separate"/>
        </w:r>
        <w:r w:rsidRPr="00965079">
          <w:rPr>
            <w:rFonts w:cs="Arial"/>
            <w:noProof/>
            <w:webHidden/>
          </w:rPr>
          <w:t>5</w:t>
        </w:r>
        <w:r w:rsidRPr="00965079">
          <w:rPr>
            <w:rFonts w:cs="Arial"/>
            <w:noProof/>
            <w:webHidden/>
          </w:rPr>
          <w:fldChar w:fldCharType="end"/>
        </w:r>
      </w:hyperlink>
    </w:p>
    <w:p w14:paraId="6CA611A4"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77" w:history="1">
        <w:r w:rsidRPr="00965079">
          <w:rPr>
            <w:rStyle w:val="Hyperlink"/>
            <w:rFonts w:cs="Arial"/>
            <w:noProof/>
          </w:rPr>
          <w:t>3.3 Terms and Strategy; Search Period</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_Toc235032277 \h </w:instrText>
        </w:r>
        <w:r w:rsidRPr="00965079">
          <w:rPr>
            <w:rFonts w:cs="Arial"/>
            <w:noProof/>
            <w:webHidden/>
          </w:rPr>
        </w:r>
        <w:r w:rsidRPr="00965079">
          <w:rPr>
            <w:rFonts w:cs="Arial"/>
            <w:noProof/>
            <w:webHidden/>
          </w:rPr>
          <w:fldChar w:fldCharType="separate"/>
        </w:r>
        <w:r w:rsidRPr="00965079">
          <w:rPr>
            <w:rFonts w:cs="Arial"/>
            <w:noProof/>
            <w:webHidden/>
          </w:rPr>
          <w:t>5</w:t>
        </w:r>
        <w:r w:rsidRPr="00965079">
          <w:rPr>
            <w:rFonts w:cs="Arial"/>
            <w:noProof/>
            <w:webHidden/>
          </w:rPr>
          <w:fldChar w:fldCharType="end"/>
        </w:r>
      </w:hyperlink>
    </w:p>
    <w:p w14:paraId="39FFA4C2"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78" w:history="1">
        <w:r w:rsidRPr="00965079">
          <w:rPr>
            <w:rStyle w:val="Hyperlink"/>
            <w:rFonts w:cs="Arial"/>
            <w:noProof/>
          </w:rPr>
          <w:t>3.4 Inclusion and Exclusion Criteria</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_Toc235032278 \h </w:instrText>
        </w:r>
        <w:r w:rsidRPr="00965079">
          <w:rPr>
            <w:rFonts w:cs="Arial"/>
            <w:noProof/>
            <w:webHidden/>
          </w:rPr>
        </w:r>
        <w:r w:rsidRPr="00965079">
          <w:rPr>
            <w:rFonts w:cs="Arial"/>
            <w:noProof/>
            <w:webHidden/>
          </w:rPr>
          <w:fldChar w:fldCharType="separate"/>
        </w:r>
        <w:r w:rsidRPr="00965079">
          <w:rPr>
            <w:rFonts w:cs="Arial"/>
            <w:noProof/>
            <w:webHidden/>
          </w:rPr>
          <w:t>6</w:t>
        </w:r>
        <w:r w:rsidRPr="00965079">
          <w:rPr>
            <w:rFonts w:cs="Arial"/>
            <w:noProof/>
            <w:webHidden/>
          </w:rPr>
          <w:fldChar w:fldCharType="end"/>
        </w:r>
      </w:hyperlink>
    </w:p>
    <w:p w14:paraId="1F607AC6"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79" w:history="1">
        <w:r w:rsidRPr="00965079">
          <w:rPr>
            <w:rStyle w:val="Hyperlink"/>
            <w:rFonts w:cs="Arial"/>
            <w:noProof/>
          </w:rPr>
          <w:t>3.5 Study Screening and Data Charting</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_Toc235032279 \h </w:instrText>
        </w:r>
        <w:r w:rsidRPr="00965079">
          <w:rPr>
            <w:rFonts w:cs="Arial"/>
            <w:noProof/>
            <w:webHidden/>
          </w:rPr>
        </w:r>
        <w:r w:rsidRPr="00965079">
          <w:rPr>
            <w:rFonts w:cs="Arial"/>
            <w:noProof/>
            <w:webHidden/>
          </w:rPr>
          <w:fldChar w:fldCharType="separate"/>
        </w:r>
        <w:r w:rsidRPr="00965079">
          <w:rPr>
            <w:rFonts w:cs="Arial"/>
            <w:noProof/>
            <w:webHidden/>
          </w:rPr>
          <w:t>6</w:t>
        </w:r>
        <w:r w:rsidRPr="00965079">
          <w:rPr>
            <w:rFonts w:cs="Arial"/>
            <w:noProof/>
            <w:webHidden/>
          </w:rPr>
          <w:fldChar w:fldCharType="end"/>
        </w:r>
      </w:hyperlink>
    </w:p>
    <w:p w14:paraId="5352BEAB"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80" w:history="1">
        <w:r w:rsidRPr="00965079">
          <w:rPr>
            <w:rStyle w:val="Hyperlink"/>
            <w:rFonts w:cs="Arial"/>
            <w:noProof/>
          </w:rPr>
          <w:t>3.6 Thematic Synthesis</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_Toc235032280 \h </w:instrText>
        </w:r>
        <w:r w:rsidRPr="00965079">
          <w:rPr>
            <w:rFonts w:cs="Arial"/>
            <w:noProof/>
            <w:webHidden/>
          </w:rPr>
        </w:r>
        <w:r w:rsidRPr="00965079">
          <w:rPr>
            <w:rFonts w:cs="Arial"/>
            <w:noProof/>
            <w:webHidden/>
          </w:rPr>
          <w:fldChar w:fldCharType="separate"/>
        </w:r>
        <w:r w:rsidRPr="00965079">
          <w:rPr>
            <w:rFonts w:cs="Arial"/>
            <w:noProof/>
            <w:webHidden/>
          </w:rPr>
          <w:t>8</w:t>
        </w:r>
        <w:r w:rsidRPr="00965079">
          <w:rPr>
            <w:rFonts w:cs="Arial"/>
            <w:noProof/>
            <w:webHidden/>
          </w:rPr>
          <w:fldChar w:fldCharType="end"/>
        </w:r>
      </w:hyperlink>
    </w:p>
    <w:p w14:paraId="28697D90"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81" w:history="1">
        <w:r w:rsidRPr="00965079">
          <w:rPr>
            <w:rStyle w:val="Hyperlink"/>
            <w:rFonts w:cs="Arial"/>
            <w:noProof/>
          </w:rPr>
          <w:t>3.7 Theme Frequency and Quality Considerations</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_Toc235032281 \h </w:instrText>
        </w:r>
        <w:r w:rsidRPr="00965079">
          <w:rPr>
            <w:rFonts w:cs="Arial"/>
            <w:noProof/>
            <w:webHidden/>
          </w:rPr>
        </w:r>
        <w:r w:rsidRPr="00965079">
          <w:rPr>
            <w:rFonts w:cs="Arial"/>
            <w:noProof/>
            <w:webHidden/>
          </w:rPr>
          <w:fldChar w:fldCharType="separate"/>
        </w:r>
        <w:r w:rsidRPr="00965079">
          <w:rPr>
            <w:rFonts w:cs="Arial"/>
            <w:noProof/>
            <w:webHidden/>
          </w:rPr>
          <w:t>9</w:t>
        </w:r>
        <w:r w:rsidRPr="00965079">
          <w:rPr>
            <w:rFonts w:cs="Arial"/>
            <w:noProof/>
            <w:webHidden/>
          </w:rPr>
          <w:fldChar w:fldCharType="end"/>
        </w:r>
      </w:hyperlink>
    </w:p>
    <w:p w14:paraId="7202D62D"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82" w:history="1">
        <w:r w:rsidRPr="00965079">
          <w:rPr>
            <w:rStyle w:val="Hyperlink"/>
            <w:rFonts w:cs="Arial"/>
            <w:noProof/>
          </w:rPr>
          <w:t>3.8 Ethical Considerations</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_Toc235032282 \h </w:instrText>
        </w:r>
        <w:r w:rsidRPr="00965079">
          <w:rPr>
            <w:rFonts w:cs="Arial"/>
            <w:noProof/>
            <w:webHidden/>
          </w:rPr>
        </w:r>
        <w:r w:rsidRPr="00965079">
          <w:rPr>
            <w:rFonts w:cs="Arial"/>
            <w:noProof/>
            <w:webHidden/>
          </w:rPr>
          <w:fldChar w:fldCharType="separate"/>
        </w:r>
        <w:r w:rsidRPr="00965079">
          <w:rPr>
            <w:rFonts w:cs="Arial"/>
            <w:noProof/>
            <w:webHidden/>
          </w:rPr>
          <w:t>9</w:t>
        </w:r>
        <w:r w:rsidRPr="00965079">
          <w:rPr>
            <w:rFonts w:cs="Arial"/>
            <w:noProof/>
            <w:webHidden/>
          </w:rPr>
          <w:fldChar w:fldCharType="end"/>
        </w:r>
      </w:hyperlink>
    </w:p>
    <w:p w14:paraId="71DF6685" w14:textId="77777777" w:rsidR="007B1744" w:rsidRPr="00965079" w:rsidRDefault="007B1744" w:rsidP="00965079">
      <w:pPr>
        <w:pStyle w:val="TOC1"/>
        <w:tabs>
          <w:tab w:val="right" w:leader="dot" w:pos="9350"/>
        </w:tabs>
        <w:spacing w:before="120" w:after="120" w:line="360" w:lineRule="auto"/>
        <w:rPr>
          <w:rFonts w:eastAsiaTheme="minorEastAsia" w:cs="Arial"/>
          <w:noProof/>
        </w:rPr>
      </w:pPr>
      <w:hyperlink w:anchor="_Toc235032283" w:history="1">
        <w:r w:rsidRPr="00965079">
          <w:rPr>
            <w:rStyle w:val="Hyperlink"/>
            <w:rFonts w:cs="Arial"/>
            <w:noProof/>
          </w:rPr>
          <w:t>4. Results</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_Toc235032283 \h </w:instrText>
        </w:r>
        <w:r w:rsidRPr="00965079">
          <w:rPr>
            <w:rFonts w:cs="Arial"/>
            <w:noProof/>
            <w:webHidden/>
          </w:rPr>
        </w:r>
        <w:r w:rsidRPr="00965079">
          <w:rPr>
            <w:rFonts w:cs="Arial"/>
            <w:noProof/>
            <w:webHidden/>
          </w:rPr>
          <w:fldChar w:fldCharType="separate"/>
        </w:r>
        <w:r w:rsidRPr="00965079">
          <w:rPr>
            <w:rFonts w:cs="Arial"/>
            <w:noProof/>
            <w:webHidden/>
          </w:rPr>
          <w:t>9</w:t>
        </w:r>
        <w:r w:rsidRPr="00965079">
          <w:rPr>
            <w:rFonts w:cs="Arial"/>
            <w:noProof/>
            <w:webHidden/>
          </w:rPr>
          <w:fldChar w:fldCharType="end"/>
        </w:r>
      </w:hyperlink>
    </w:p>
    <w:p w14:paraId="226CE4FE"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84" w:history="1">
        <w:r w:rsidRPr="00965079">
          <w:rPr>
            <w:rStyle w:val="Hyperlink"/>
            <w:rFonts w:cs="Arial"/>
            <w:noProof/>
          </w:rPr>
          <w:t>4.1 Theme 1: Psychological distress and reduced wellbeing</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_Toc235032284 \h </w:instrText>
        </w:r>
        <w:r w:rsidRPr="00965079">
          <w:rPr>
            <w:rFonts w:cs="Arial"/>
            <w:noProof/>
            <w:webHidden/>
          </w:rPr>
        </w:r>
        <w:r w:rsidRPr="00965079">
          <w:rPr>
            <w:rFonts w:cs="Arial"/>
            <w:noProof/>
            <w:webHidden/>
          </w:rPr>
          <w:fldChar w:fldCharType="separate"/>
        </w:r>
        <w:r w:rsidRPr="00965079">
          <w:rPr>
            <w:rFonts w:cs="Arial"/>
            <w:noProof/>
            <w:webHidden/>
          </w:rPr>
          <w:t>10</w:t>
        </w:r>
        <w:r w:rsidRPr="00965079">
          <w:rPr>
            <w:rFonts w:cs="Arial"/>
            <w:noProof/>
            <w:webHidden/>
          </w:rPr>
          <w:fldChar w:fldCharType="end"/>
        </w:r>
      </w:hyperlink>
    </w:p>
    <w:p w14:paraId="4699B4AC"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85" w:history="1">
        <w:r w:rsidRPr="00965079">
          <w:rPr>
            <w:rStyle w:val="Hyperlink"/>
            <w:rFonts w:cs="Arial"/>
            <w:noProof/>
          </w:rPr>
          <w:t>4.2 Theme 2: Social isolation and loss of belonging</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_Toc235032285 \h </w:instrText>
        </w:r>
        <w:r w:rsidRPr="00965079">
          <w:rPr>
            <w:rFonts w:cs="Arial"/>
            <w:noProof/>
            <w:webHidden/>
          </w:rPr>
        </w:r>
        <w:r w:rsidRPr="00965079">
          <w:rPr>
            <w:rFonts w:cs="Arial"/>
            <w:noProof/>
            <w:webHidden/>
          </w:rPr>
          <w:fldChar w:fldCharType="separate"/>
        </w:r>
        <w:r w:rsidRPr="00965079">
          <w:rPr>
            <w:rFonts w:cs="Arial"/>
            <w:noProof/>
            <w:webHidden/>
          </w:rPr>
          <w:t>10</w:t>
        </w:r>
        <w:r w:rsidRPr="00965079">
          <w:rPr>
            <w:rFonts w:cs="Arial"/>
            <w:noProof/>
            <w:webHidden/>
          </w:rPr>
          <w:fldChar w:fldCharType="end"/>
        </w:r>
      </w:hyperlink>
    </w:p>
    <w:p w14:paraId="11B50081"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86" w:history="1">
        <w:r w:rsidRPr="00965079">
          <w:rPr>
            <w:rStyle w:val="Hyperlink"/>
            <w:rFonts w:cs="Arial"/>
            <w:noProof/>
          </w:rPr>
          <w:t>4.3 Theme 3: Academic and digital pressures</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_Toc235032286 \h </w:instrText>
        </w:r>
        <w:r w:rsidRPr="00965079">
          <w:rPr>
            <w:rFonts w:cs="Arial"/>
            <w:noProof/>
            <w:webHidden/>
          </w:rPr>
        </w:r>
        <w:r w:rsidRPr="00965079">
          <w:rPr>
            <w:rFonts w:cs="Arial"/>
            <w:noProof/>
            <w:webHidden/>
          </w:rPr>
          <w:fldChar w:fldCharType="separate"/>
        </w:r>
        <w:r w:rsidRPr="00965079">
          <w:rPr>
            <w:rFonts w:cs="Arial"/>
            <w:noProof/>
            <w:webHidden/>
          </w:rPr>
          <w:t>10</w:t>
        </w:r>
        <w:r w:rsidRPr="00965079">
          <w:rPr>
            <w:rFonts w:cs="Arial"/>
            <w:noProof/>
            <w:webHidden/>
          </w:rPr>
          <w:fldChar w:fldCharType="end"/>
        </w:r>
      </w:hyperlink>
    </w:p>
    <w:p w14:paraId="67E11C6B"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87" w:history="1">
        <w:r w:rsidRPr="00965079">
          <w:rPr>
            <w:rStyle w:val="Hyperlink"/>
            <w:rFonts w:cs="Arial"/>
            <w:noProof/>
          </w:rPr>
          <w:t>4.4 Theme 4: Unequal effects and vulnerability</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_Toc235032287 \h </w:instrText>
        </w:r>
        <w:r w:rsidRPr="00965079">
          <w:rPr>
            <w:rFonts w:cs="Arial"/>
            <w:noProof/>
            <w:webHidden/>
          </w:rPr>
        </w:r>
        <w:r w:rsidRPr="00965079">
          <w:rPr>
            <w:rFonts w:cs="Arial"/>
            <w:noProof/>
            <w:webHidden/>
          </w:rPr>
          <w:fldChar w:fldCharType="separate"/>
        </w:r>
        <w:r w:rsidRPr="00965079">
          <w:rPr>
            <w:rFonts w:cs="Arial"/>
            <w:noProof/>
            <w:webHidden/>
          </w:rPr>
          <w:t>11</w:t>
        </w:r>
        <w:r w:rsidRPr="00965079">
          <w:rPr>
            <w:rFonts w:cs="Arial"/>
            <w:noProof/>
            <w:webHidden/>
          </w:rPr>
          <w:fldChar w:fldCharType="end"/>
        </w:r>
      </w:hyperlink>
    </w:p>
    <w:p w14:paraId="420C209E"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88" w:history="1">
        <w:r w:rsidRPr="00965079">
          <w:rPr>
            <w:rStyle w:val="Hyperlink"/>
            <w:rFonts w:cs="Arial"/>
            <w:noProof/>
          </w:rPr>
          <w:t>4.5 Theme 5: Protective factors, flexibility and support</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_Toc235032288 \h </w:instrText>
        </w:r>
        <w:r w:rsidRPr="00965079">
          <w:rPr>
            <w:rFonts w:cs="Arial"/>
            <w:noProof/>
            <w:webHidden/>
          </w:rPr>
        </w:r>
        <w:r w:rsidRPr="00965079">
          <w:rPr>
            <w:rFonts w:cs="Arial"/>
            <w:noProof/>
            <w:webHidden/>
          </w:rPr>
          <w:fldChar w:fldCharType="separate"/>
        </w:r>
        <w:r w:rsidRPr="00965079">
          <w:rPr>
            <w:rFonts w:cs="Arial"/>
            <w:noProof/>
            <w:webHidden/>
          </w:rPr>
          <w:t>11</w:t>
        </w:r>
        <w:r w:rsidRPr="00965079">
          <w:rPr>
            <w:rFonts w:cs="Arial"/>
            <w:noProof/>
            <w:webHidden/>
          </w:rPr>
          <w:fldChar w:fldCharType="end"/>
        </w:r>
      </w:hyperlink>
    </w:p>
    <w:p w14:paraId="664C2EE1" w14:textId="77777777" w:rsidR="007B1744" w:rsidRPr="00965079" w:rsidRDefault="007B1744" w:rsidP="00965079">
      <w:pPr>
        <w:pStyle w:val="TOC1"/>
        <w:tabs>
          <w:tab w:val="right" w:leader="dot" w:pos="9350"/>
        </w:tabs>
        <w:spacing w:before="120" w:after="120" w:line="360" w:lineRule="auto"/>
        <w:rPr>
          <w:rFonts w:eastAsiaTheme="minorEastAsia" w:cs="Arial"/>
          <w:noProof/>
        </w:rPr>
      </w:pPr>
      <w:hyperlink w:anchor="_Toc235032289" w:history="1">
        <w:r w:rsidRPr="00965079">
          <w:rPr>
            <w:rStyle w:val="Hyperlink"/>
            <w:rFonts w:cs="Arial"/>
            <w:noProof/>
          </w:rPr>
          <w:t>5. Discussion</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_Toc235032289 \h </w:instrText>
        </w:r>
        <w:r w:rsidRPr="00965079">
          <w:rPr>
            <w:rFonts w:cs="Arial"/>
            <w:noProof/>
            <w:webHidden/>
          </w:rPr>
        </w:r>
        <w:r w:rsidRPr="00965079">
          <w:rPr>
            <w:rFonts w:cs="Arial"/>
            <w:noProof/>
            <w:webHidden/>
          </w:rPr>
          <w:fldChar w:fldCharType="separate"/>
        </w:r>
        <w:r w:rsidRPr="00965079">
          <w:rPr>
            <w:rFonts w:cs="Arial"/>
            <w:noProof/>
            <w:webHidden/>
          </w:rPr>
          <w:t>18</w:t>
        </w:r>
        <w:r w:rsidRPr="00965079">
          <w:rPr>
            <w:rFonts w:cs="Arial"/>
            <w:noProof/>
            <w:webHidden/>
          </w:rPr>
          <w:fldChar w:fldCharType="end"/>
        </w:r>
      </w:hyperlink>
    </w:p>
    <w:p w14:paraId="13AF53A5"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90" w:history="1">
        <w:r w:rsidRPr="00965079">
          <w:rPr>
            <w:rStyle w:val="Hyperlink"/>
            <w:rFonts w:cs="Arial"/>
            <w:noProof/>
          </w:rPr>
          <w:t>5.1 Findings in Relation to Research Objectives</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_Toc235032290 \h </w:instrText>
        </w:r>
        <w:r w:rsidRPr="00965079">
          <w:rPr>
            <w:rFonts w:cs="Arial"/>
            <w:noProof/>
            <w:webHidden/>
          </w:rPr>
        </w:r>
        <w:r w:rsidRPr="00965079">
          <w:rPr>
            <w:rFonts w:cs="Arial"/>
            <w:noProof/>
            <w:webHidden/>
          </w:rPr>
          <w:fldChar w:fldCharType="separate"/>
        </w:r>
        <w:r w:rsidRPr="00965079">
          <w:rPr>
            <w:rFonts w:cs="Arial"/>
            <w:noProof/>
            <w:webHidden/>
          </w:rPr>
          <w:t>18</w:t>
        </w:r>
        <w:r w:rsidRPr="00965079">
          <w:rPr>
            <w:rFonts w:cs="Arial"/>
            <w:noProof/>
            <w:webHidden/>
          </w:rPr>
          <w:fldChar w:fldCharType="end"/>
        </w:r>
      </w:hyperlink>
    </w:p>
    <w:p w14:paraId="4828959E"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91" w:history="1">
        <w:r w:rsidRPr="00965079">
          <w:rPr>
            <w:rStyle w:val="Hyperlink"/>
            <w:rFonts w:cs="Arial"/>
            <w:noProof/>
          </w:rPr>
          <w:t>5.2 Patterns</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_Toc235032291 \h </w:instrText>
        </w:r>
        <w:r w:rsidRPr="00965079">
          <w:rPr>
            <w:rFonts w:cs="Arial"/>
            <w:noProof/>
            <w:webHidden/>
          </w:rPr>
        </w:r>
        <w:r w:rsidRPr="00965079">
          <w:rPr>
            <w:rFonts w:cs="Arial"/>
            <w:noProof/>
            <w:webHidden/>
          </w:rPr>
          <w:fldChar w:fldCharType="separate"/>
        </w:r>
        <w:r w:rsidRPr="00965079">
          <w:rPr>
            <w:rFonts w:cs="Arial"/>
            <w:noProof/>
            <w:webHidden/>
          </w:rPr>
          <w:t>19</w:t>
        </w:r>
        <w:r w:rsidRPr="00965079">
          <w:rPr>
            <w:rFonts w:cs="Arial"/>
            <w:noProof/>
            <w:webHidden/>
          </w:rPr>
          <w:fldChar w:fldCharType="end"/>
        </w:r>
      </w:hyperlink>
    </w:p>
    <w:p w14:paraId="58009C79"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92" w:history="1">
        <w:r w:rsidRPr="00965079">
          <w:rPr>
            <w:rStyle w:val="Hyperlink"/>
            <w:rFonts w:cs="Arial"/>
            <w:noProof/>
          </w:rPr>
          <w:t>5.3 Strengths and weaknesses of the reviewed studies</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_Toc235032292 \h </w:instrText>
        </w:r>
        <w:r w:rsidRPr="00965079">
          <w:rPr>
            <w:rFonts w:cs="Arial"/>
            <w:noProof/>
            <w:webHidden/>
          </w:rPr>
        </w:r>
        <w:r w:rsidRPr="00965079">
          <w:rPr>
            <w:rFonts w:cs="Arial"/>
            <w:noProof/>
            <w:webHidden/>
          </w:rPr>
          <w:fldChar w:fldCharType="separate"/>
        </w:r>
        <w:r w:rsidRPr="00965079">
          <w:rPr>
            <w:rFonts w:cs="Arial"/>
            <w:noProof/>
            <w:webHidden/>
          </w:rPr>
          <w:t>19</w:t>
        </w:r>
        <w:r w:rsidRPr="00965079">
          <w:rPr>
            <w:rFonts w:cs="Arial"/>
            <w:noProof/>
            <w:webHidden/>
          </w:rPr>
          <w:fldChar w:fldCharType="end"/>
        </w:r>
      </w:hyperlink>
    </w:p>
    <w:p w14:paraId="2A7FB223"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93" w:history="1">
        <w:r w:rsidRPr="00965079">
          <w:rPr>
            <w:rStyle w:val="Hyperlink"/>
            <w:rFonts w:cs="Arial"/>
            <w:noProof/>
          </w:rPr>
          <w:t>5.3 Gaps</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_Toc235032293 \h </w:instrText>
        </w:r>
        <w:r w:rsidRPr="00965079">
          <w:rPr>
            <w:rFonts w:cs="Arial"/>
            <w:noProof/>
            <w:webHidden/>
          </w:rPr>
        </w:r>
        <w:r w:rsidRPr="00965079">
          <w:rPr>
            <w:rFonts w:cs="Arial"/>
            <w:noProof/>
            <w:webHidden/>
          </w:rPr>
          <w:fldChar w:fldCharType="separate"/>
        </w:r>
        <w:r w:rsidRPr="00965079">
          <w:rPr>
            <w:rFonts w:cs="Arial"/>
            <w:noProof/>
            <w:webHidden/>
          </w:rPr>
          <w:t>20</w:t>
        </w:r>
        <w:r w:rsidRPr="00965079">
          <w:rPr>
            <w:rFonts w:cs="Arial"/>
            <w:noProof/>
            <w:webHidden/>
          </w:rPr>
          <w:fldChar w:fldCharType="end"/>
        </w:r>
      </w:hyperlink>
    </w:p>
    <w:p w14:paraId="7FE1BCEE" w14:textId="77777777" w:rsidR="007B1744" w:rsidRPr="00965079" w:rsidRDefault="007B1744" w:rsidP="00965079">
      <w:pPr>
        <w:pStyle w:val="TOC1"/>
        <w:tabs>
          <w:tab w:val="right" w:leader="dot" w:pos="9350"/>
        </w:tabs>
        <w:spacing w:before="120" w:after="120" w:line="360" w:lineRule="auto"/>
        <w:rPr>
          <w:rFonts w:eastAsiaTheme="minorEastAsia" w:cs="Arial"/>
          <w:noProof/>
        </w:rPr>
      </w:pPr>
      <w:hyperlink w:anchor="_Toc235032294" w:history="1">
        <w:r w:rsidRPr="00965079">
          <w:rPr>
            <w:rStyle w:val="Hyperlink"/>
            <w:rFonts w:cs="Arial"/>
            <w:noProof/>
          </w:rPr>
          <w:t>6. Conclusion and recommendations</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_Toc235032294 \h </w:instrText>
        </w:r>
        <w:r w:rsidRPr="00965079">
          <w:rPr>
            <w:rFonts w:cs="Arial"/>
            <w:noProof/>
            <w:webHidden/>
          </w:rPr>
        </w:r>
        <w:r w:rsidRPr="00965079">
          <w:rPr>
            <w:rFonts w:cs="Arial"/>
            <w:noProof/>
            <w:webHidden/>
          </w:rPr>
          <w:fldChar w:fldCharType="separate"/>
        </w:r>
        <w:r w:rsidRPr="00965079">
          <w:rPr>
            <w:rFonts w:cs="Arial"/>
            <w:noProof/>
            <w:webHidden/>
          </w:rPr>
          <w:t>20</w:t>
        </w:r>
        <w:r w:rsidRPr="00965079">
          <w:rPr>
            <w:rFonts w:cs="Arial"/>
            <w:noProof/>
            <w:webHidden/>
          </w:rPr>
          <w:fldChar w:fldCharType="end"/>
        </w:r>
      </w:hyperlink>
    </w:p>
    <w:p w14:paraId="1219FCF6"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95" w:history="1">
        <w:r w:rsidRPr="00965079">
          <w:rPr>
            <w:rStyle w:val="Hyperlink"/>
            <w:rFonts w:cs="Arial"/>
            <w:noProof/>
          </w:rPr>
          <w:t>6.1 Conclusion</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_Toc235032295 \h </w:instrText>
        </w:r>
        <w:r w:rsidRPr="00965079">
          <w:rPr>
            <w:rFonts w:cs="Arial"/>
            <w:noProof/>
            <w:webHidden/>
          </w:rPr>
        </w:r>
        <w:r w:rsidRPr="00965079">
          <w:rPr>
            <w:rFonts w:cs="Arial"/>
            <w:noProof/>
            <w:webHidden/>
          </w:rPr>
          <w:fldChar w:fldCharType="separate"/>
        </w:r>
        <w:r w:rsidRPr="00965079">
          <w:rPr>
            <w:rFonts w:cs="Arial"/>
            <w:noProof/>
            <w:webHidden/>
          </w:rPr>
          <w:t>20</w:t>
        </w:r>
        <w:r w:rsidRPr="00965079">
          <w:rPr>
            <w:rFonts w:cs="Arial"/>
            <w:noProof/>
            <w:webHidden/>
          </w:rPr>
          <w:fldChar w:fldCharType="end"/>
        </w:r>
      </w:hyperlink>
    </w:p>
    <w:p w14:paraId="0A0A1EA5" w14:textId="77777777" w:rsidR="007B1744" w:rsidRPr="00965079" w:rsidRDefault="007B1744" w:rsidP="00965079">
      <w:pPr>
        <w:pStyle w:val="TOC2"/>
        <w:tabs>
          <w:tab w:val="right" w:leader="dot" w:pos="9350"/>
        </w:tabs>
        <w:spacing w:before="120" w:after="120" w:line="360" w:lineRule="auto"/>
        <w:rPr>
          <w:rFonts w:eastAsiaTheme="minorEastAsia" w:cs="Arial"/>
          <w:noProof/>
        </w:rPr>
      </w:pPr>
      <w:hyperlink w:anchor="_Toc235032296" w:history="1">
        <w:r w:rsidRPr="00965079">
          <w:rPr>
            <w:rStyle w:val="Hyperlink"/>
            <w:rFonts w:cs="Arial"/>
            <w:noProof/>
          </w:rPr>
          <w:t>6.2 Recommendations</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_Toc235032296 \h </w:instrText>
        </w:r>
        <w:r w:rsidRPr="00965079">
          <w:rPr>
            <w:rFonts w:cs="Arial"/>
            <w:noProof/>
            <w:webHidden/>
          </w:rPr>
        </w:r>
        <w:r w:rsidRPr="00965079">
          <w:rPr>
            <w:rFonts w:cs="Arial"/>
            <w:noProof/>
            <w:webHidden/>
          </w:rPr>
          <w:fldChar w:fldCharType="separate"/>
        </w:r>
        <w:r w:rsidRPr="00965079">
          <w:rPr>
            <w:rFonts w:cs="Arial"/>
            <w:noProof/>
            <w:webHidden/>
          </w:rPr>
          <w:t>20</w:t>
        </w:r>
        <w:r w:rsidRPr="00965079">
          <w:rPr>
            <w:rFonts w:cs="Arial"/>
            <w:noProof/>
            <w:webHidden/>
          </w:rPr>
          <w:fldChar w:fldCharType="end"/>
        </w:r>
      </w:hyperlink>
    </w:p>
    <w:p w14:paraId="41465909" w14:textId="77777777" w:rsidR="007B1744" w:rsidRPr="00965079" w:rsidRDefault="007B1744" w:rsidP="00965079">
      <w:pPr>
        <w:pStyle w:val="TOC1"/>
        <w:tabs>
          <w:tab w:val="right" w:leader="dot" w:pos="9350"/>
        </w:tabs>
        <w:spacing w:before="120" w:after="120" w:line="360" w:lineRule="auto"/>
        <w:rPr>
          <w:rFonts w:eastAsiaTheme="minorEastAsia" w:cs="Arial"/>
          <w:noProof/>
        </w:rPr>
      </w:pPr>
      <w:hyperlink w:anchor="_Toc235032297" w:history="1">
        <w:r w:rsidRPr="00965079">
          <w:rPr>
            <w:rStyle w:val="Hyperlink"/>
            <w:rFonts w:cs="Arial"/>
            <w:noProof/>
          </w:rPr>
          <w:t>References</w:t>
        </w:r>
        <w:r w:rsidRPr="00965079">
          <w:rPr>
            <w:rFonts w:cs="Arial"/>
            <w:noProof/>
            <w:webHidden/>
          </w:rPr>
          <w:tab/>
        </w:r>
        <w:r w:rsidRPr="00965079">
          <w:rPr>
            <w:rFonts w:cs="Arial"/>
            <w:noProof/>
            <w:webHidden/>
          </w:rPr>
          <w:fldChar w:fldCharType="begin"/>
        </w:r>
        <w:r w:rsidRPr="00965079">
          <w:rPr>
            <w:rFonts w:cs="Arial"/>
            <w:noProof/>
            <w:webHidden/>
          </w:rPr>
          <w:instrText xml:space="preserve"> PAGEREF _Toc235032297 \h </w:instrText>
        </w:r>
        <w:r w:rsidRPr="00965079">
          <w:rPr>
            <w:rFonts w:cs="Arial"/>
            <w:noProof/>
            <w:webHidden/>
          </w:rPr>
        </w:r>
        <w:r w:rsidRPr="00965079">
          <w:rPr>
            <w:rFonts w:cs="Arial"/>
            <w:noProof/>
            <w:webHidden/>
          </w:rPr>
          <w:fldChar w:fldCharType="separate"/>
        </w:r>
        <w:r w:rsidRPr="00965079">
          <w:rPr>
            <w:rFonts w:cs="Arial"/>
            <w:noProof/>
            <w:webHidden/>
          </w:rPr>
          <w:t>21</w:t>
        </w:r>
        <w:r w:rsidRPr="00965079">
          <w:rPr>
            <w:rFonts w:cs="Arial"/>
            <w:noProof/>
            <w:webHidden/>
          </w:rPr>
          <w:fldChar w:fldCharType="end"/>
        </w:r>
      </w:hyperlink>
    </w:p>
    <w:p w14:paraId="42D297D8" w14:textId="77777777" w:rsidR="004B204B" w:rsidRPr="00965079" w:rsidRDefault="008E4311" w:rsidP="00965079">
      <w:pPr>
        <w:spacing w:before="120" w:after="120" w:line="360" w:lineRule="auto"/>
        <w:contextualSpacing/>
        <w:jc w:val="both"/>
        <w:rPr>
          <w:rFonts w:cs="Arial"/>
          <w:b/>
        </w:rPr>
      </w:pPr>
      <w:r w:rsidRPr="00965079">
        <w:rPr>
          <w:rFonts w:cs="Arial"/>
          <w:b/>
        </w:rPr>
        <w:fldChar w:fldCharType="end"/>
      </w:r>
      <w:r w:rsidR="004B204B" w:rsidRPr="00965079">
        <w:rPr>
          <w:rFonts w:cs="Arial"/>
          <w:b/>
        </w:rPr>
        <w:br w:type="page"/>
      </w:r>
    </w:p>
    <w:p w14:paraId="241810B0" w14:textId="77777777" w:rsidR="00310244" w:rsidRPr="00965079" w:rsidRDefault="00E66695" w:rsidP="00296631">
      <w:pPr>
        <w:pStyle w:val="Heading1"/>
      </w:pPr>
      <w:bookmarkStart w:id="0" w:name="_Toc235032272"/>
      <w:r w:rsidRPr="00965079">
        <w:lastRenderedPageBreak/>
        <w:t>1. Introduction</w:t>
      </w:r>
      <w:bookmarkEnd w:id="0"/>
    </w:p>
    <w:p w14:paraId="4A44F3E6" w14:textId="77777777" w:rsidR="00B1288D" w:rsidRPr="00965079" w:rsidRDefault="00B1288D" w:rsidP="00965079">
      <w:pPr>
        <w:pStyle w:val="BodyText"/>
        <w:spacing w:before="120"/>
        <w:ind w:firstLine="425"/>
        <w:jc w:val="both"/>
        <w:rPr>
          <w:rFonts w:cs="Arial"/>
        </w:rPr>
      </w:pPr>
      <w:r w:rsidRPr="00965079">
        <w:rPr>
          <w:rFonts w:cs="Arial"/>
        </w:rPr>
        <w:t xml:space="preserve">Courses in which teaching, learning and assessment are done off campus by means of digital systems are called remote learning. </w:t>
      </w:r>
      <w:r w:rsidR="00AF7465" w:rsidRPr="00965079">
        <w:rPr>
          <w:rFonts w:cs="Arial"/>
        </w:rPr>
        <w:t>It c</w:t>
      </w:r>
      <w:r w:rsidRPr="00965079">
        <w:rPr>
          <w:rFonts w:cs="Arial"/>
        </w:rPr>
        <w:t xml:space="preserve">an be live or recorded or self-directed. Planned online education is different from emergency remote teaching (Bennett et al., 2022). Ferri, </w:t>
      </w:r>
      <w:proofErr w:type="spellStart"/>
      <w:r w:rsidRPr="00965079">
        <w:rPr>
          <w:rFonts w:cs="Arial"/>
        </w:rPr>
        <w:t>Grifoni</w:t>
      </w:r>
      <w:proofErr w:type="spellEnd"/>
      <w:r w:rsidRPr="00965079">
        <w:rPr>
          <w:rFonts w:cs="Arial"/>
        </w:rPr>
        <w:t xml:space="preserve"> and Guzzo (2020) argue that planned courses are courses that are designed to be delivered online, and emergency remote teaching is a quick response in the face of disruption. For the purposes of this review, both forms are considered when impacting UK University students during or as a result of the COVID-19 period.</w:t>
      </w:r>
    </w:p>
    <w:p w14:paraId="524D8EBA" w14:textId="77777777" w:rsidR="00B1288D" w:rsidRPr="00965079" w:rsidRDefault="00B1288D" w:rsidP="00965079">
      <w:pPr>
        <w:pStyle w:val="BodyText"/>
        <w:spacing w:before="120"/>
        <w:ind w:firstLine="425"/>
        <w:jc w:val="both"/>
        <w:rPr>
          <w:rFonts w:cs="Arial"/>
        </w:rPr>
      </w:pPr>
      <w:r w:rsidRPr="00965079">
        <w:rPr>
          <w:rFonts w:cs="Arial"/>
        </w:rPr>
        <w:t>Mental health is seen as more than a state of being free from mental illness. It encompasses emotional wellbeing, coping, social connection, and the presence or absence of anxiety, depression, stress, loneliness and sleep difficulties. Keyes (2002) clarifies that mental illness and positive mental health are connected yet unique. This distinction can be helpful as students can feel low, isolated or are not functioning well without a diagnosis.</w:t>
      </w:r>
    </w:p>
    <w:p w14:paraId="04695D0D" w14:textId="77777777" w:rsidR="00310244" w:rsidRPr="00965079" w:rsidRDefault="00B1288D" w:rsidP="00965079">
      <w:pPr>
        <w:pStyle w:val="BodyText"/>
        <w:spacing w:before="120"/>
        <w:ind w:firstLine="425"/>
        <w:jc w:val="both"/>
        <w:rPr>
          <w:rFonts w:cs="Arial"/>
        </w:rPr>
      </w:pPr>
      <w:r w:rsidRPr="00965079">
        <w:rPr>
          <w:rFonts w:cs="Arial"/>
        </w:rPr>
        <w:t>Teaching, assessment, staff contact and peer relationships and access to support were all dramatically altered by the switch to remote learning. It also occurred in the midst of lockdown, health and economic concerns. Thus, it is not always possible to isolate remote learning from the broader pandemic. This review plots the relationship between UK studies. It does not presume that the mental health outcomes were solely related to remote learning</w:t>
      </w:r>
      <w:r w:rsidR="00E66695" w:rsidRPr="00965079">
        <w:rPr>
          <w:rFonts w:cs="Arial"/>
        </w:rPr>
        <w:t>.</w:t>
      </w:r>
    </w:p>
    <w:p w14:paraId="59236947" w14:textId="77777777" w:rsidR="007169A4" w:rsidRPr="00965079" w:rsidRDefault="007169A4" w:rsidP="00965079">
      <w:pPr>
        <w:pStyle w:val="BodyText"/>
        <w:spacing w:before="120"/>
        <w:jc w:val="both"/>
        <w:rPr>
          <w:rFonts w:cs="Arial"/>
          <w:b/>
        </w:rPr>
      </w:pPr>
      <w:r w:rsidRPr="00965079">
        <w:rPr>
          <w:rFonts w:cs="Arial"/>
          <w:b/>
        </w:rPr>
        <w:t>Research Question</w:t>
      </w:r>
    </w:p>
    <w:p w14:paraId="3E8AB36B" w14:textId="77777777" w:rsidR="007169A4" w:rsidRPr="00965079" w:rsidRDefault="00E66695" w:rsidP="00965079">
      <w:pPr>
        <w:pStyle w:val="BodyText"/>
        <w:spacing w:before="120"/>
        <w:ind w:firstLine="425"/>
        <w:jc w:val="both"/>
        <w:rPr>
          <w:rFonts w:cs="Arial"/>
        </w:rPr>
      </w:pPr>
      <w:r w:rsidRPr="00965079">
        <w:rPr>
          <w:rFonts w:cs="Arial"/>
        </w:rPr>
        <w:t xml:space="preserve">The review question is: What does the existing UK literature show about the impact of remote learning on the mental health of university students? </w:t>
      </w:r>
    </w:p>
    <w:p w14:paraId="6A11D58D" w14:textId="77777777" w:rsidR="007169A4" w:rsidRPr="00965079" w:rsidRDefault="007169A4" w:rsidP="00965079">
      <w:pPr>
        <w:pStyle w:val="BodyText"/>
        <w:spacing w:before="120"/>
        <w:jc w:val="both"/>
        <w:rPr>
          <w:rFonts w:cs="Arial"/>
          <w:b/>
        </w:rPr>
      </w:pPr>
      <w:r w:rsidRPr="00965079">
        <w:rPr>
          <w:rFonts w:cs="Arial"/>
          <w:b/>
        </w:rPr>
        <w:t>Research Aim and Objectives</w:t>
      </w:r>
    </w:p>
    <w:p w14:paraId="493A7F94" w14:textId="77777777" w:rsidR="007169A4" w:rsidRPr="00965079" w:rsidRDefault="009869CB" w:rsidP="00965079">
      <w:pPr>
        <w:spacing w:before="120" w:after="120" w:line="360" w:lineRule="auto"/>
        <w:jc w:val="both"/>
        <w:rPr>
          <w:rFonts w:eastAsia="Times New Roman" w:cs="Arial"/>
          <w:szCs w:val="24"/>
        </w:rPr>
      </w:pPr>
      <w:r w:rsidRPr="00965079">
        <w:rPr>
          <w:rFonts w:eastAsia="Times New Roman" w:cs="Arial"/>
          <w:bCs/>
          <w:szCs w:val="24"/>
        </w:rPr>
        <w:t>The aim is to</w:t>
      </w:r>
      <w:r w:rsidRPr="00965079">
        <w:rPr>
          <w:rFonts w:eastAsia="Times New Roman" w:cs="Arial"/>
          <w:b/>
          <w:bCs/>
          <w:szCs w:val="24"/>
        </w:rPr>
        <w:t xml:space="preserve"> </w:t>
      </w:r>
      <w:r w:rsidR="007169A4" w:rsidRPr="00965079">
        <w:rPr>
          <w:rFonts w:eastAsia="Times New Roman" w:cs="Arial"/>
          <w:szCs w:val="24"/>
        </w:rPr>
        <w:t>explore the impact of remote learning on the mental health of university students in the UK.</w:t>
      </w:r>
    </w:p>
    <w:p w14:paraId="643D262F" w14:textId="77777777" w:rsidR="007169A4" w:rsidRPr="00965079" w:rsidRDefault="007169A4" w:rsidP="00965079">
      <w:pPr>
        <w:spacing w:before="120" w:after="120" w:line="360" w:lineRule="auto"/>
        <w:jc w:val="both"/>
        <w:rPr>
          <w:rFonts w:eastAsia="Times New Roman" w:cs="Arial"/>
          <w:sz w:val="24"/>
          <w:szCs w:val="24"/>
        </w:rPr>
      </w:pPr>
      <w:r w:rsidRPr="00965079">
        <w:rPr>
          <w:rFonts w:eastAsia="Times New Roman" w:cs="Arial"/>
          <w:b/>
          <w:bCs/>
          <w:sz w:val="24"/>
          <w:szCs w:val="24"/>
        </w:rPr>
        <w:t>Objectives:</w:t>
      </w:r>
    </w:p>
    <w:p w14:paraId="18EEB59D" w14:textId="5E4B4B10" w:rsidR="007169A4" w:rsidRPr="00965079" w:rsidRDefault="007169A4" w:rsidP="00965079">
      <w:pPr>
        <w:numPr>
          <w:ilvl w:val="0"/>
          <w:numId w:val="10"/>
        </w:numPr>
        <w:spacing w:before="120" w:after="120" w:line="360" w:lineRule="auto"/>
        <w:jc w:val="both"/>
        <w:rPr>
          <w:rFonts w:eastAsia="Times New Roman" w:cs="Arial"/>
          <w:szCs w:val="24"/>
        </w:rPr>
      </w:pPr>
      <w:r w:rsidRPr="00965079">
        <w:rPr>
          <w:rFonts w:eastAsia="Times New Roman" w:cs="Arial"/>
          <w:szCs w:val="24"/>
        </w:rPr>
        <w:t xml:space="preserve">To identify the main mental health effects reported in UK </w:t>
      </w:r>
      <w:r w:rsidR="00371060" w:rsidRPr="00965079">
        <w:rPr>
          <w:rFonts w:eastAsia="Times New Roman" w:cs="Arial"/>
          <w:szCs w:val="24"/>
        </w:rPr>
        <w:t>University</w:t>
      </w:r>
      <w:r w:rsidRPr="00965079">
        <w:rPr>
          <w:rFonts w:eastAsia="Times New Roman" w:cs="Arial"/>
          <w:szCs w:val="24"/>
        </w:rPr>
        <w:t xml:space="preserve"> students. </w:t>
      </w:r>
    </w:p>
    <w:p w14:paraId="18BA0807" w14:textId="77777777" w:rsidR="007169A4" w:rsidRPr="00965079" w:rsidRDefault="007169A4" w:rsidP="00965079">
      <w:pPr>
        <w:numPr>
          <w:ilvl w:val="0"/>
          <w:numId w:val="10"/>
        </w:numPr>
        <w:spacing w:before="120" w:after="120" w:line="360" w:lineRule="auto"/>
        <w:jc w:val="both"/>
        <w:rPr>
          <w:rFonts w:eastAsia="Times New Roman" w:cs="Arial"/>
          <w:szCs w:val="24"/>
        </w:rPr>
      </w:pPr>
      <w:r w:rsidRPr="00965079">
        <w:rPr>
          <w:rFonts w:eastAsia="Times New Roman" w:cs="Arial"/>
          <w:szCs w:val="24"/>
        </w:rPr>
        <w:t xml:space="preserve">To examine factors that worsen or protect student mental health during remote learning. </w:t>
      </w:r>
    </w:p>
    <w:p w14:paraId="33D2ACAA" w14:textId="4BCAED32" w:rsidR="00DA0146" w:rsidRDefault="007169A4" w:rsidP="00965079">
      <w:pPr>
        <w:numPr>
          <w:ilvl w:val="0"/>
          <w:numId w:val="10"/>
        </w:numPr>
        <w:spacing w:before="120" w:after="120" w:line="360" w:lineRule="auto"/>
        <w:jc w:val="both"/>
        <w:rPr>
          <w:rFonts w:eastAsia="Times New Roman" w:cs="Arial"/>
          <w:szCs w:val="24"/>
        </w:rPr>
      </w:pPr>
      <w:r w:rsidRPr="00965079">
        <w:rPr>
          <w:rFonts w:eastAsia="Times New Roman" w:cs="Arial"/>
          <w:szCs w:val="24"/>
        </w:rPr>
        <w:t xml:space="preserve">To </w:t>
      </w:r>
      <w:r w:rsidR="00371060" w:rsidRPr="00965079">
        <w:rPr>
          <w:rFonts w:eastAsia="Times New Roman" w:cs="Arial"/>
          <w:szCs w:val="24"/>
        </w:rPr>
        <w:t>summaries</w:t>
      </w:r>
      <w:r w:rsidRPr="00965079">
        <w:rPr>
          <w:rFonts w:eastAsia="Times New Roman" w:cs="Arial"/>
          <w:szCs w:val="24"/>
        </w:rPr>
        <w:t xml:space="preserve"> implications for university support services and digital learning practice. </w:t>
      </w:r>
    </w:p>
    <w:p w14:paraId="3436D179" w14:textId="77777777" w:rsidR="007169A4" w:rsidRPr="00965079" w:rsidRDefault="00DA0146" w:rsidP="00DA0146">
      <w:pPr>
        <w:rPr>
          <w:rFonts w:eastAsia="Times New Roman" w:cs="Arial"/>
          <w:szCs w:val="24"/>
        </w:rPr>
      </w:pPr>
      <w:r>
        <w:rPr>
          <w:rFonts w:eastAsia="Times New Roman" w:cs="Arial"/>
          <w:szCs w:val="24"/>
        </w:rPr>
        <w:br w:type="page"/>
      </w:r>
    </w:p>
    <w:p w14:paraId="360ECF06" w14:textId="77777777" w:rsidR="00310244" w:rsidRPr="00965079" w:rsidRDefault="00E66695" w:rsidP="00296631">
      <w:pPr>
        <w:pStyle w:val="Heading1"/>
      </w:pPr>
      <w:bookmarkStart w:id="1" w:name="_Toc235032273"/>
      <w:r w:rsidRPr="00965079">
        <w:lastRenderedPageBreak/>
        <w:t>2. Background</w:t>
      </w:r>
      <w:bookmarkEnd w:id="1"/>
    </w:p>
    <w:p w14:paraId="7128D844" w14:textId="77777777" w:rsidR="00FE38F3" w:rsidRPr="00965079" w:rsidRDefault="00FE38F3" w:rsidP="00965079">
      <w:pPr>
        <w:pStyle w:val="BodyText"/>
        <w:spacing w:before="120"/>
        <w:ind w:firstLine="425"/>
        <w:jc w:val="both"/>
        <w:rPr>
          <w:rFonts w:cs="Arial"/>
        </w:rPr>
      </w:pPr>
      <w:r w:rsidRPr="00965079">
        <w:rPr>
          <w:rFonts w:cs="Arial"/>
        </w:rPr>
        <w:t>The mental health of students had been an issue prior to COVID. As a university student, there may be academic stress, financial changes, changes in living conditions, and loss of familiar support. Depression and anxiety were prevalent in all undergraduate research, as reported by Sheldon and others (2021). The pandemic brought unexpected educational and social disruptions. Later, Evans et al. (2021) and Bennett et al. (2022) found worse mental health and wellbeing for students in the UK during this time.</w:t>
      </w:r>
    </w:p>
    <w:p w14:paraId="46FDA6A8" w14:textId="77777777" w:rsidR="00FE38F3" w:rsidRPr="00965079" w:rsidRDefault="00F2530E" w:rsidP="00965079">
      <w:pPr>
        <w:pStyle w:val="BodyText"/>
        <w:spacing w:before="120"/>
        <w:ind w:firstLine="425"/>
        <w:jc w:val="both"/>
        <w:rPr>
          <w:rFonts w:cs="Arial"/>
        </w:rPr>
      </w:pPr>
      <w:r w:rsidRPr="00965079">
        <w:rPr>
          <w:rFonts w:cs="Arial"/>
        </w:rPr>
        <w:t>Remote learning affected more than access to lectures</w:t>
      </w:r>
      <w:r w:rsidR="00FE38F3" w:rsidRPr="00965079">
        <w:rPr>
          <w:rFonts w:cs="Arial"/>
        </w:rPr>
        <w:t xml:space="preserve"> It altered the way of life, social relations and the separation of school and home. Brown et al. (2023) discovered that flexibility and recording content was important for a lot of students. But numerous also mentioned anxiety, isolation, lack of motivation, heavy workload and issues with devices or access to the Internet. Dinu et al. (2022) demonstrated that digital confidence and connectedness and an appropriate learning environment were associated with wellbeing. These findings make remote learning a health, education and digital inclusion problem.</w:t>
      </w:r>
    </w:p>
    <w:p w14:paraId="0BEF61E9" w14:textId="3474B537" w:rsidR="00310244" w:rsidRPr="00965079" w:rsidRDefault="00FE38F3" w:rsidP="00965079">
      <w:pPr>
        <w:pStyle w:val="BodyText"/>
        <w:spacing w:before="120"/>
        <w:ind w:firstLine="425"/>
        <w:jc w:val="both"/>
        <w:rPr>
          <w:rFonts w:cs="Arial"/>
        </w:rPr>
      </w:pPr>
      <w:r w:rsidRPr="00965079">
        <w:rPr>
          <w:rFonts w:cs="Arial"/>
        </w:rPr>
        <w:t xml:space="preserve">Services are provided within the service context of university counselling, </w:t>
      </w:r>
      <w:r w:rsidR="00A02F5C" w:rsidRPr="00965079">
        <w:rPr>
          <w:rFonts w:cs="Arial"/>
        </w:rPr>
        <w:t>well-being</w:t>
      </w:r>
      <w:r w:rsidRPr="00965079">
        <w:rPr>
          <w:rFonts w:cs="Arial"/>
        </w:rPr>
        <w:t xml:space="preserve"> teams, disability support, academic tutors, peer schemes and referral to external health services. These services typically transitioned to virtual format during remote learning. Blake et al. (2021) identified a need for healthcare trainees for a digital wellbeing package, but they also required the presence and trust of human support. Barnwell and Patton (2025) further noted that digital mental health packages were convenient and discreet, but at times, seemed impersonal, and put a heavy burden on the student</w:t>
      </w:r>
      <w:r w:rsidR="00E66695" w:rsidRPr="00965079">
        <w:rPr>
          <w:rFonts w:cs="Arial"/>
        </w:rPr>
        <w:t>.</w:t>
      </w:r>
    </w:p>
    <w:p w14:paraId="798BEA2D" w14:textId="36974FB8" w:rsidR="00310244" w:rsidRPr="00965079" w:rsidRDefault="00E66695" w:rsidP="00965079">
      <w:pPr>
        <w:pStyle w:val="BodyText"/>
        <w:spacing w:before="120"/>
        <w:ind w:firstLine="425"/>
        <w:jc w:val="both"/>
        <w:rPr>
          <w:rFonts w:cs="Arial"/>
        </w:rPr>
      </w:pPr>
      <w:r w:rsidRPr="00965079">
        <w:rPr>
          <w:rFonts w:cs="Arial"/>
        </w:rPr>
        <w:t>The evidence supports three practice principles. First, digital learning should be inclusive. Students need suitable devices, internet access, accessible platforms and quiet study space</w:t>
      </w:r>
      <w:r w:rsidR="00DF07AB" w:rsidRPr="00965079">
        <w:rPr>
          <w:rFonts w:cs="Arial"/>
        </w:rPr>
        <w:t xml:space="preserve"> </w:t>
      </w:r>
      <w:r w:rsidR="00D353EF" w:rsidRPr="00965079">
        <w:rPr>
          <w:rFonts w:cs="Arial"/>
        </w:rPr>
        <w:t>(</w:t>
      </w:r>
      <w:r w:rsidR="00DF07AB" w:rsidRPr="00965079">
        <w:rPr>
          <w:rFonts w:cs="Arial"/>
        </w:rPr>
        <w:t>Sheldon et al.</w:t>
      </w:r>
      <w:r w:rsidR="00D353EF" w:rsidRPr="00965079">
        <w:rPr>
          <w:rFonts w:cs="Arial"/>
        </w:rPr>
        <w:t xml:space="preserve">, </w:t>
      </w:r>
      <w:r w:rsidR="00DF07AB" w:rsidRPr="00965079">
        <w:rPr>
          <w:rFonts w:cs="Arial"/>
        </w:rPr>
        <w:t>2021)</w:t>
      </w:r>
      <w:r w:rsidRPr="00965079">
        <w:rPr>
          <w:rFonts w:cs="Arial"/>
        </w:rPr>
        <w:t>. Second, universities should protect belonging through regular contact and interactive teaching</w:t>
      </w:r>
      <w:r w:rsidR="006D0977" w:rsidRPr="00965079">
        <w:rPr>
          <w:rFonts w:cs="Arial"/>
        </w:rPr>
        <w:t xml:space="preserve"> (Evans et al.</w:t>
      </w:r>
      <w:r w:rsidR="00066545" w:rsidRPr="00965079">
        <w:rPr>
          <w:rFonts w:cs="Arial"/>
        </w:rPr>
        <w:t xml:space="preserve">, </w:t>
      </w:r>
      <w:r w:rsidR="006D0977" w:rsidRPr="00965079">
        <w:rPr>
          <w:rFonts w:cs="Arial"/>
        </w:rPr>
        <w:t>2021)</w:t>
      </w:r>
      <w:r w:rsidRPr="00965079">
        <w:rPr>
          <w:rFonts w:cs="Arial"/>
        </w:rPr>
        <w:t xml:space="preserve">. Third, digital mental health support should </w:t>
      </w:r>
      <w:r w:rsidR="009371C7" w:rsidRPr="00965079">
        <w:rPr>
          <w:rFonts w:cs="Arial"/>
        </w:rPr>
        <w:t>be added</w:t>
      </w:r>
      <w:r w:rsidRPr="00965079">
        <w:rPr>
          <w:rFonts w:cs="Arial"/>
        </w:rPr>
        <w:t xml:space="preserve"> to, rather than replace, contact with trained staff. These principles are consistent with peer-reviewed evidence on remote learning, student wellbeing and digital support</w:t>
      </w:r>
      <w:r w:rsidR="0004280B" w:rsidRPr="00965079">
        <w:rPr>
          <w:rFonts w:cs="Arial"/>
        </w:rPr>
        <w:t xml:space="preserve"> </w:t>
      </w:r>
      <w:r w:rsidR="00081BE5" w:rsidRPr="00965079">
        <w:rPr>
          <w:rFonts w:cs="Arial"/>
        </w:rPr>
        <w:t>(</w:t>
      </w:r>
      <w:r w:rsidR="0004280B" w:rsidRPr="00965079">
        <w:rPr>
          <w:rFonts w:cs="Arial"/>
        </w:rPr>
        <w:t>Dinu et al.</w:t>
      </w:r>
      <w:r w:rsidR="00081BE5" w:rsidRPr="00965079">
        <w:rPr>
          <w:rFonts w:cs="Arial"/>
        </w:rPr>
        <w:t xml:space="preserve">, </w:t>
      </w:r>
      <w:r w:rsidR="0004280B" w:rsidRPr="00965079">
        <w:rPr>
          <w:rFonts w:cs="Arial"/>
        </w:rPr>
        <w:t>2022)</w:t>
      </w:r>
      <w:r w:rsidRPr="00965079">
        <w:rPr>
          <w:rFonts w:cs="Arial"/>
        </w:rPr>
        <w:t>. They also fit wider duties to provide reasonable and fair access, although legislation and policy documents were not used as review evidence because the assignment required peer-reviewed sources</w:t>
      </w:r>
      <w:r w:rsidR="00BB74E5" w:rsidRPr="00965079">
        <w:rPr>
          <w:rFonts w:cs="Arial"/>
        </w:rPr>
        <w:t xml:space="preserve"> (Ferri, </w:t>
      </w:r>
      <w:proofErr w:type="spellStart"/>
      <w:r w:rsidR="00BB74E5" w:rsidRPr="00965079">
        <w:rPr>
          <w:rFonts w:cs="Arial"/>
        </w:rPr>
        <w:t>Grifoni</w:t>
      </w:r>
      <w:proofErr w:type="spellEnd"/>
      <w:r w:rsidR="00BB74E5" w:rsidRPr="00965079">
        <w:rPr>
          <w:rFonts w:cs="Arial"/>
        </w:rPr>
        <w:t xml:space="preserve"> and Guzzo, 2020).</w:t>
      </w:r>
    </w:p>
    <w:p w14:paraId="07A3CBF1" w14:textId="77777777" w:rsidR="00310244" w:rsidRPr="00965079" w:rsidRDefault="00E66695" w:rsidP="00296631">
      <w:pPr>
        <w:pStyle w:val="Heading1"/>
      </w:pPr>
      <w:bookmarkStart w:id="2" w:name="_Toc235032274"/>
      <w:r w:rsidRPr="00965079">
        <w:lastRenderedPageBreak/>
        <w:t>3. Methods</w:t>
      </w:r>
      <w:bookmarkEnd w:id="2"/>
    </w:p>
    <w:p w14:paraId="31D39F50" w14:textId="77777777" w:rsidR="00F20A3D" w:rsidRPr="00965079" w:rsidRDefault="00741740" w:rsidP="00965079">
      <w:pPr>
        <w:pStyle w:val="Heading2"/>
        <w:spacing w:before="120" w:after="120" w:line="360" w:lineRule="auto"/>
        <w:jc w:val="both"/>
        <w:rPr>
          <w:rFonts w:cs="Arial"/>
        </w:rPr>
      </w:pPr>
      <w:bookmarkStart w:id="3" w:name="_Toc235032275"/>
      <w:r w:rsidRPr="00965079">
        <w:rPr>
          <w:rFonts w:cs="Arial"/>
        </w:rPr>
        <w:t xml:space="preserve">3.1 </w:t>
      </w:r>
      <w:r w:rsidR="00F20A3D" w:rsidRPr="00965079">
        <w:rPr>
          <w:rFonts w:cs="Arial"/>
        </w:rPr>
        <w:t>Scoping Review Design and Framework</w:t>
      </w:r>
      <w:bookmarkEnd w:id="3"/>
    </w:p>
    <w:p w14:paraId="1E9393D6" w14:textId="77777777" w:rsidR="00310244" w:rsidRPr="00965079" w:rsidRDefault="00E66695" w:rsidP="00965079">
      <w:pPr>
        <w:pStyle w:val="BodyText"/>
        <w:spacing w:before="120"/>
        <w:ind w:firstLine="425"/>
        <w:jc w:val="both"/>
        <w:rPr>
          <w:rFonts w:cs="Arial"/>
        </w:rPr>
      </w:pPr>
      <w:r w:rsidRPr="00965079">
        <w:rPr>
          <w:rFonts w:cs="Arial"/>
        </w:rPr>
        <w:t xml:space="preserve">A scoping review was selected because the question is broad and the evidence is diverse. The included papers use surveys, interviews, longitudinal designs, mixed methods and evidence synthesis. Munn et al. (2018) state that scoping reviews are suitable for mapping concepts, evidence types and knowledge gaps. Peters et al. (2020) </w:t>
      </w:r>
      <w:r w:rsidR="00356B03" w:rsidRPr="00965079">
        <w:rPr>
          <w:rFonts w:cs="Arial"/>
        </w:rPr>
        <w:t xml:space="preserve">and </w:t>
      </w:r>
      <w:proofErr w:type="spellStart"/>
      <w:r w:rsidR="00356B03" w:rsidRPr="00965079">
        <w:rPr>
          <w:rFonts w:cs="Arial"/>
        </w:rPr>
        <w:t>Aromataris</w:t>
      </w:r>
      <w:proofErr w:type="spellEnd"/>
      <w:r w:rsidR="00356B03" w:rsidRPr="00965079">
        <w:rPr>
          <w:rFonts w:cs="Arial"/>
          <w:sz w:val="28"/>
        </w:rPr>
        <w:t xml:space="preserve"> </w:t>
      </w:r>
      <w:r w:rsidR="00356B03" w:rsidRPr="00965079">
        <w:rPr>
          <w:rFonts w:cs="Arial"/>
        </w:rPr>
        <w:t xml:space="preserve">(2020) </w:t>
      </w:r>
      <w:r w:rsidRPr="00965079">
        <w:rPr>
          <w:rFonts w:cs="Arial"/>
        </w:rPr>
        <w:t>also recommend this approach when the aim is to describe the range and nature of evidence rather than estimate one pooled effect.</w:t>
      </w:r>
    </w:p>
    <w:p w14:paraId="1E9B2F11" w14:textId="6019E9F0" w:rsidR="00776C9F" w:rsidRPr="00965079" w:rsidRDefault="00E66695" w:rsidP="00965079">
      <w:pPr>
        <w:pStyle w:val="BodyText"/>
        <w:spacing w:before="120"/>
        <w:ind w:firstLine="425"/>
        <w:jc w:val="both"/>
        <w:rPr>
          <w:rFonts w:cs="Arial"/>
        </w:rPr>
      </w:pPr>
      <w:r w:rsidRPr="00965079">
        <w:rPr>
          <w:rFonts w:cs="Arial"/>
        </w:rPr>
        <w:t xml:space="preserve">The review followed the stages proposed by Arksey and O'Malley (2005), with the clarifications made by Levac, Colquhoun and O'Brien (2010). The stages were to define the question, identify studies, select studies, chart data and </w:t>
      </w:r>
      <w:r w:rsidR="009371C7" w:rsidRPr="00965079">
        <w:rPr>
          <w:rFonts w:cs="Arial"/>
        </w:rPr>
        <w:t>summaries</w:t>
      </w:r>
      <w:r w:rsidRPr="00965079">
        <w:rPr>
          <w:rFonts w:cs="Arial"/>
        </w:rPr>
        <w:t xml:space="preserve"> findings. PRISMA-</w:t>
      </w:r>
      <w:r w:rsidR="009371C7" w:rsidRPr="00965079">
        <w:rPr>
          <w:rFonts w:cs="Arial"/>
        </w:rPr>
        <w:t>SCRA</w:t>
      </w:r>
      <w:r w:rsidRPr="00965079">
        <w:rPr>
          <w:rFonts w:cs="Arial"/>
        </w:rPr>
        <w:t xml:space="preserve"> guided transparent reporting (</w:t>
      </w:r>
      <w:proofErr w:type="spellStart"/>
      <w:r w:rsidRPr="00965079">
        <w:rPr>
          <w:rFonts w:cs="Arial"/>
        </w:rPr>
        <w:t>Tricco</w:t>
      </w:r>
      <w:proofErr w:type="spellEnd"/>
      <w:r w:rsidRPr="00965079">
        <w:rPr>
          <w:rFonts w:cs="Arial"/>
        </w:rPr>
        <w:t xml:space="preserve"> et al., 2018). </w:t>
      </w:r>
      <w:r w:rsidR="00776C9F" w:rsidRPr="00965079">
        <w:rPr>
          <w:rFonts w:cs="Arial"/>
        </w:rPr>
        <w:t>The Population-Concept-Context structure was used. The target group consisted of students of the university. The idea was mental health and remote/online/hybrid learning. The context was that of UK higher education.</w:t>
      </w:r>
    </w:p>
    <w:p w14:paraId="42696D1A" w14:textId="77777777" w:rsidR="00776C9F" w:rsidRPr="00965079" w:rsidRDefault="00776C9F" w:rsidP="00965079">
      <w:pPr>
        <w:pStyle w:val="Heading2"/>
        <w:spacing w:before="120" w:after="120" w:line="360" w:lineRule="auto"/>
        <w:rPr>
          <w:rFonts w:cs="Arial"/>
        </w:rPr>
      </w:pPr>
      <w:bookmarkStart w:id="4" w:name="_Toc235032276"/>
      <w:r w:rsidRPr="00965079">
        <w:rPr>
          <w:rFonts w:cs="Arial"/>
        </w:rPr>
        <w:t>3.2 Databases Selection</w:t>
      </w:r>
      <w:bookmarkEnd w:id="4"/>
    </w:p>
    <w:p w14:paraId="618B54B0" w14:textId="28045284" w:rsidR="00776C9F" w:rsidRPr="00965079" w:rsidRDefault="00776C9F" w:rsidP="00965079">
      <w:pPr>
        <w:pStyle w:val="BodyText"/>
        <w:spacing w:before="120"/>
        <w:ind w:firstLine="425"/>
        <w:jc w:val="both"/>
        <w:rPr>
          <w:rFonts w:cs="Arial"/>
        </w:rPr>
      </w:pPr>
      <w:r w:rsidRPr="00965079">
        <w:rPr>
          <w:rFonts w:cs="Arial"/>
        </w:rPr>
        <w:t xml:space="preserve">Five databases were chosen. MEDLINE is a database of research articles on health and mental health. CINAHL includes literature related to nursing, allied health and student support. PsycINFO covers psychology and wellbeing in great detail. ERIC's area is education and digital learning. Scopus provides comprehensive multidisciplinary and citation coverage. The use of all five reduced risk of viewing the topic as only a health issue and only an education issue. </w:t>
      </w:r>
      <w:r w:rsidR="009371C7" w:rsidRPr="00965079">
        <w:rPr>
          <w:rFonts w:cs="Arial"/>
        </w:rPr>
        <w:t>Both</w:t>
      </w:r>
      <w:r w:rsidRPr="00965079">
        <w:rPr>
          <w:rFonts w:cs="Arial"/>
        </w:rPr>
        <w:t xml:space="preserve"> Sutton and Papaioannou (2016) recommend that databases are aligned with the components of a multidisciplinary question.</w:t>
      </w:r>
    </w:p>
    <w:p w14:paraId="393CC066" w14:textId="77777777" w:rsidR="00776C9F" w:rsidRPr="00965079" w:rsidRDefault="00776C9F" w:rsidP="00965079">
      <w:pPr>
        <w:pStyle w:val="Heading2"/>
        <w:spacing w:before="120" w:after="120" w:line="360" w:lineRule="auto"/>
        <w:rPr>
          <w:rFonts w:cs="Arial"/>
        </w:rPr>
      </w:pPr>
      <w:bookmarkStart w:id="5" w:name="_Toc235032277"/>
      <w:r w:rsidRPr="00965079">
        <w:rPr>
          <w:rFonts w:cs="Arial"/>
        </w:rPr>
        <w:t xml:space="preserve">3.3 </w:t>
      </w:r>
      <w:r w:rsidR="00FA4F50">
        <w:rPr>
          <w:rFonts w:cs="Arial"/>
        </w:rPr>
        <w:t>Searc</w:t>
      </w:r>
      <w:r w:rsidR="00252CB9">
        <w:rPr>
          <w:rFonts w:cs="Arial"/>
        </w:rPr>
        <w:t xml:space="preserve">h </w:t>
      </w:r>
      <w:r w:rsidRPr="00965079">
        <w:rPr>
          <w:rFonts w:cs="Arial"/>
        </w:rPr>
        <w:t>Terms</w:t>
      </w:r>
      <w:r w:rsidR="00FA4F50">
        <w:rPr>
          <w:rFonts w:cs="Arial"/>
        </w:rPr>
        <w:t xml:space="preserve">, </w:t>
      </w:r>
      <w:r w:rsidRPr="00965079">
        <w:rPr>
          <w:rFonts w:cs="Arial"/>
        </w:rPr>
        <w:t>Strategy</w:t>
      </w:r>
      <w:r w:rsidR="00252CB9">
        <w:rPr>
          <w:rFonts w:cs="Arial"/>
        </w:rPr>
        <w:t xml:space="preserve"> and </w:t>
      </w:r>
      <w:r w:rsidRPr="00965079">
        <w:rPr>
          <w:rFonts w:cs="Arial"/>
        </w:rPr>
        <w:t>Period</w:t>
      </w:r>
      <w:bookmarkEnd w:id="5"/>
    </w:p>
    <w:p w14:paraId="6AADE870" w14:textId="1A2B8A84" w:rsidR="00310244" w:rsidRPr="00965079" w:rsidRDefault="00776C9F" w:rsidP="00965079">
      <w:pPr>
        <w:pStyle w:val="BodyText"/>
        <w:spacing w:before="120"/>
        <w:ind w:firstLine="425"/>
        <w:jc w:val="both"/>
        <w:rPr>
          <w:rFonts w:cs="Arial"/>
        </w:rPr>
      </w:pPr>
      <w:r w:rsidRPr="00965079">
        <w:rPr>
          <w:rFonts w:cs="Arial"/>
        </w:rPr>
        <w:t xml:space="preserve">The search period </w:t>
      </w:r>
      <w:r w:rsidR="009371C7" w:rsidRPr="00965079">
        <w:rPr>
          <w:rFonts w:cs="Arial"/>
        </w:rPr>
        <w:t>was from</w:t>
      </w:r>
      <w:r w:rsidRPr="00965079">
        <w:rPr>
          <w:rFonts w:cs="Arial"/>
        </w:rPr>
        <w:t xml:space="preserve"> 1 January 2021 to 15 July 2026. This spectrum adhered to the approved </w:t>
      </w:r>
      <w:r w:rsidR="009371C7" w:rsidRPr="00965079">
        <w:rPr>
          <w:rFonts w:cs="Arial"/>
        </w:rPr>
        <w:t>proposal and</w:t>
      </w:r>
      <w:r w:rsidRPr="00965079">
        <w:rPr>
          <w:rFonts w:cs="Arial"/>
        </w:rPr>
        <w:t xml:space="preserve"> brought in studies after the initial rapid move online. Data gathered in 2020 could be utilized in studies, which often were published later. Search terms were tailored for each database</w:t>
      </w:r>
      <w:r w:rsidR="00E66695" w:rsidRPr="00965079">
        <w:rPr>
          <w:rFonts w:cs="Arial"/>
        </w:rPr>
        <w:t xml:space="preserve">. A core example was: (remote learning OR online learning OR distance learning OR hybrid learning OR digital learning OR emergency remote teaching) AND (university student* OR higher education student* OR undergraduate* OR postgraduate*) AND (mental health OR wellbeing OR anxiety OR depression OR stress OR loneliness) AND (UK OR United Kingdom OR England OR Scotland OR Wales OR Northern Ireland). Phrase searching, truncation and subject headings were used where available. </w:t>
      </w:r>
      <w:proofErr w:type="spellStart"/>
      <w:r w:rsidR="00E66695" w:rsidRPr="00965079">
        <w:rPr>
          <w:rFonts w:cs="Arial"/>
        </w:rPr>
        <w:t>Rethlefsen</w:t>
      </w:r>
      <w:proofErr w:type="spellEnd"/>
      <w:r w:rsidR="00E66695" w:rsidRPr="00965079">
        <w:rPr>
          <w:rFonts w:cs="Arial"/>
        </w:rPr>
        <w:t xml:space="preserve"> et al. </w:t>
      </w:r>
      <w:r w:rsidR="00E66695" w:rsidRPr="00965079">
        <w:rPr>
          <w:rFonts w:cs="Arial"/>
        </w:rPr>
        <w:lastRenderedPageBreak/>
        <w:t>(2021) recommend reporting search terms clearly so that searches can be checked and updated.</w:t>
      </w:r>
    </w:p>
    <w:p w14:paraId="2CBAF34B" w14:textId="77777777" w:rsidR="008729B5" w:rsidRPr="00965079" w:rsidRDefault="00741740" w:rsidP="00965079">
      <w:pPr>
        <w:pStyle w:val="Heading2"/>
        <w:spacing w:before="120" w:after="120" w:line="360" w:lineRule="auto"/>
        <w:jc w:val="both"/>
        <w:rPr>
          <w:rFonts w:cs="Arial"/>
        </w:rPr>
      </w:pPr>
      <w:bookmarkStart w:id="6" w:name="_Toc235032278"/>
      <w:r w:rsidRPr="00965079">
        <w:rPr>
          <w:rFonts w:cs="Arial"/>
        </w:rPr>
        <w:t xml:space="preserve">3.4 </w:t>
      </w:r>
      <w:r w:rsidR="008729B5" w:rsidRPr="00965079">
        <w:rPr>
          <w:rFonts w:cs="Arial"/>
        </w:rPr>
        <w:t>Inclusion and Exclusion Criteria</w:t>
      </w:r>
      <w:bookmarkEnd w:id="6"/>
    </w:p>
    <w:p w14:paraId="1B145F96" w14:textId="18A86A08" w:rsidR="00310244" w:rsidRPr="00965079" w:rsidRDefault="00E66695" w:rsidP="00965079">
      <w:pPr>
        <w:pStyle w:val="BodyText"/>
        <w:spacing w:before="120"/>
        <w:ind w:firstLine="425"/>
        <w:jc w:val="both"/>
        <w:rPr>
          <w:rFonts w:cs="Arial"/>
        </w:rPr>
      </w:pPr>
      <w:r w:rsidRPr="00965079">
        <w:rPr>
          <w:rFonts w:cs="Arial"/>
        </w:rPr>
        <w:t xml:space="preserve">Studies were included when they were peer-reviewed, in English, published in 2021-2026, and focused on UK </w:t>
      </w:r>
      <w:r w:rsidR="009371C7" w:rsidRPr="00965079">
        <w:rPr>
          <w:rFonts w:cs="Arial"/>
        </w:rPr>
        <w:t>University</w:t>
      </w:r>
      <w:r w:rsidRPr="00965079">
        <w:rPr>
          <w:rFonts w:cs="Arial"/>
        </w:rPr>
        <w:t xml:space="preserve"> students or reported a separate UK subgroup. They also had to report </w:t>
      </w:r>
      <w:r w:rsidR="009371C7" w:rsidRPr="00965079">
        <w:rPr>
          <w:rFonts w:cs="Arial"/>
        </w:rPr>
        <w:t>on mental</w:t>
      </w:r>
      <w:r w:rsidRPr="00965079">
        <w:rPr>
          <w:rFonts w:cs="Arial"/>
        </w:rPr>
        <w:t xml:space="preserve"> health or wellbeing outcome, or a clear risk or protective factor linked to remote, online or pandemic-era digital learning. Primary and secondary studies were eligible because a scoping review maps different evidence types. Studies were excluded when they focused only on school pupils, staff, non-UK samples without separate UK results, academic performance without wellbeing, or face-to-face learning with no relevant digital context. Grey literature, editorials, opinion papers and policy reports were excluded to match the assessment brief.</w:t>
      </w:r>
    </w:p>
    <w:p w14:paraId="77A3C113" w14:textId="77777777" w:rsidR="00994C1B" w:rsidRPr="00965079" w:rsidRDefault="00741740" w:rsidP="00965079">
      <w:pPr>
        <w:pStyle w:val="Heading2"/>
        <w:spacing w:before="120" w:after="120" w:line="360" w:lineRule="auto"/>
        <w:jc w:val="both"/>
        <w:rPr>
          <w:rFonts w:cs="Arial"/>
        </w:rPr>
      </w:pPr>
      <w:bookmarkStart w:id="7" w:name="_Toc235032279"/>
      <w:r w:rsidRPr="00965079">
        <w:rPr>
          <w:rFonts w:cs="Arial"/>
        </w:rPr>
        <w:t xml:space="preserve">3.5 </w:t>
      </w:r>
      <w:r w:rsidR="00994C1B" w:rsidRPr="00965079">
        <w:rPr>
          <w:rFonts w:cs="Arial"/>
        </w:rPr>
        <w:t>Study Screening and Data Charting</w:t>
      </w:r>
      <w:bookmarkEnd w:id="7"/>
    </w:p>
    <w:p w14:paraId="6032EFF5" w14:textId="77777777" w:rsidR="00310244" w:rsidRPr="00965079" w:rsidRDefault="00E66695" w:rsidP="00965079">
      <w:pPr>
        <w:pStyle w:val="BodyText"/>
        <w:spacing w:before="120"/>
        <w:ind w:firstLine="425"/>
        <w:jc w:val="both"/>
        <w:rPr>
          <w:rFonts w:cs="Arial"/>
        </w:rPr>
      </w:pPr>
      <w:r w:rsidRPr="00965079">
        <w:rPr>
          <w:rFonts w:cs="Arial"/>
        </w:rPr>
        <w:t xml:space="preserve">Titles and abstracts were checked first. Potential papers were then read against the criteria. Data were charted in a standard table containing author, year, objective, design, sample, country, main findings and relevance. Thirty papers met the final criteria. Exact database retrieval, duplicate and exclusion counts were not available from an exported search log, so these numbers were not invented. A final PRISMA flow diagram </w:t>
      </w:r>
      <w:r w:rsidR="00374CDF" w:rsidRPr="00965079">
        <w:rPr>
          <w:rFonts w:cs="Arial"/>
        </w:rPr>
        <w:t xml:space="preserve">with selected 30 </w:t>
      </w:r>
      <w:r w:rsidR="004E6143" w:rsidRPr="00965079">
        <w:rPr>
          <w:rFonts w:cs="Arial"/>
        </w:rPr>
        <w:t>papers is shown in figure 1</w:t>
      </w:r>
      <w:r w:rsidRPr="00965079">
        <w:rPr>
          <w:rFonts w:cs="Arial"/>
        </w:rPr>
        <w:t>.</w:t>
      </w:r>
    </w:p>
    <w:p w14:paraId="1D2C862A" w14:textId="77777777" w:rsidR="00250C2B" w:rsidRPr="00935E60" w:rsidRDefault="00CC0D1D" w:rsidP="00935E60">
      <w:pPr>
        <w:pStyle w:val="BodyText"/>
        <w:keepNext/>
        <w:spacing w:before="120"/>
        <w:jc w:val="center"/>
        <w:rPr>
          <w:rFonts w:cs="Arial"/>
          <w:color w:val="000000" w:themeColor="text1"/>
        </w:rPr>
      </w:pPr>
      <w:r>
        <w:rPr>
          <w:noProof/>
        </w:rPr>
        <w:lastRenderedPageBreak/>
        <w:drawing>
          <wp:inline distT="0" distB="0" distL="0" distR="0" wp14:anchorId="3A719105" wp14:editId="31D537F8">
            <wp:extent cx="5943600" cy="712712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7127129"/>
                    </a:xfrm>
                    <a:prstGeom prst="rect">
                      <a:avLst/>
                    </a:prstGeom>
                    <a:noFill/>
                    <a:ln>
                      <a:noFill/>
                    </a:ln>
                  </pic:spPr>
                </pic:pic>
              </a:graphicData>
            </a:graphic>
          </wp:inline>
        </w:drawing>
      </w:r>
    </w:p>
    <w:p w14:paraId="5023ABE9" w14:textId="77777777" w:rsidR="004E6143" w:rsidRPr="00935E60" w:rsidRDefault="00250C2B" w:rsidP="00935E60">
      <w:pPr>
        <w:pStyle w:val="Caption"/>
        <w:spacing w:before="120" w:after="120" w:line="360" w:lineRule="auto"/>
        <w:jc w:val="center"/>
        <w:rPr>
          <w:rFonts w:cs="Arial"/>
          <w:color w:val="000000" w:themeColor="text1"/>
        </w:rPr>
      </w:pPr>
      <w:r w:rsidRPr="00935E60">
        <w:rPr>
          <w:rFonts w:cs="Arial"/>
          <w:color w:val="000000" w:themeColor="text1"/>
        </w:rPr>
        <w:t xml:space="preserve">Figure </w:t>
      </w:r>
      <w:r w:rsidRPr="00935E60">
        <w:rPr>
          <w:rFonts w:cs="Arial"/>
          <w:color w:val="000000" w:themeColor="text1"/>
        </w:rPr>
        <w:fldChar w:fldCharType="begin"/>
      </w:r>
      <w:r w:rsidRPr="00935E60">
        <w:rPr>
          <w:rFonts w:cs="Arial"/>
          <w:color w:val="000000" w:themeColor="text1"/>
        </w:rPr>
        <w:instrText xml:space="preserve"> SEQ Figure \* ARABIC </w:instrText>
      </w:r>
      <w:r w:rsidRPr="00935E60">
        <w:rPr>
          <w:rFonts w:cs="Arial"/>
          <w:color w:val="000000" w:themeColor="text1"/>
        </w:rPr>
        <w:fldChar w:fldCharType="separate"/>
      </w:r>
      <w:r w:rsidR="00315CE6" w:rsidRPr="00935E60">
        <w:rPr>
          <w:rFonts w:cs="Arial"/>
          <w:noProof/>
          <w:color w:val="000000" w:themeColor="text1"/>
        </w:rPr>
        <w:t>1</w:t>
      </w:r>
      <w:r w:rsidRPr="00935E60">
        <w:rPr>
          <w:rFonts w:cs="Arial"/>
          <w:color w:val="000000" w:themeColor="text1"/>
        </w:rPr>
        <w:fldChar w:fldCharType="end"/>
      </w:r>
      <w:r w:rsidRPr="00935E60">
        <w:rPr>
          <w:rFonts w:cs="Arial"/>
          <w:color w:val="000000" w:themeColor="text1"/>
        </w:rPr>
        <w:t>: PRISMA Flow Diagram for Studies Selection (Made by using MS Word)</w:t>
      </w:r>
    </w:p>
    <w:p w14:paraId="0386DB65" w14:textId="77777777" w:rsidR="00D96E05" w:rsidRPr="00965079" w:rsidRDefault="00741740" w:rsidP="00965079">
      <w:pPr>
        <w:pStyle w:val="Heading2"/>
        <w:spacing w:before="120" w:after="120" w:line="360" w:lineRule="auto"/>
        <w:jc w:val="both"/>
        <w:rPr>
          <w:rFonts w:cs="Arial"/>
        </w:rPr>
      </w:pPr>
      <w:bookmarkStart w:id="8" w:name="_Toc235032280"/>
      <w:r w:rsidRPr="00965079">
        <w:rPr>
          <w:rFonts w:cs="Arial"/>
        </w:rPr>
        <w:t xml:space="preserve">3.6 </w:t>
      </w:r>
      <w:r w:rsidR="00D96E05" w:rsidRPr="00965079">
        <w:rPr>
          <w:rFonts w:cs="Arial"/>
        </w:rPr>
        <w:t>Thematic Synthesis</w:t>
      </w:r>
      <w:bookmarkEnd w:id="8"/>
    </w:p>
    <w:p w14:paraId="679B6BAF" w14:textId="117C8843" w:rsidR="00310244" w:rsidRPr="00965079" w:rsidRDefault="00E66695" w:rsidP="00965079">
      <w:pPr>
        <w:pStyle w:val="BodyText"/>
        <w:spacing w:before="120"/>
        <w:ind w:firstLine="425"/>
        <w:jc w:val="both"/>
        <w:rPr>
          <w:rFonts w:cs="Arial"/>
        </w:rPr>
      </w:pPr>
      <w:r w:rsidRPr="00965079">
        <w:rPr>
          <w:rFonts w:cs="Arial"/>
        </w:rPr>
        <w:t xml:space="preserve">The findings were </w:t>
      </w:r>
      <w:r w:rsidR="00903254" w:rsidRPr="00965079">
        <w:rPr>
          <w:rFonts w:cs="Arial"/>
        </w:rPr>
        <w:t>analyses</w:t>
      </w:r>
      <w:r w:rsidRPr="00965079">
        <w:rPr>
          <w:rFonts w:cs="Arial"/>
        </w:rPr>
        <w:t xml:space="preserve"> using a structured thematic synthesis informed by Braun and Clarke (2006). First, the findings sections were read several times. Second, short descriptive codes were applied, such as anxiety, isolation, workload, poor internet, flexibility and peer support. Third, similar codes were grouped into categories. Fourth, categories were developed </w:t>
      </w:r>
      <w:r w:rsidRPr="00965079">
        <w:rPr>
          <w:rFonts w:cs="Arial"/>
        </w:rPr>
        <w:lastRenderedPageBreak/>
        <w:t xml:space="preserve">into themes. Fifth, themes were checked against the review question and all included studies. Sixth, the themes were named and written as a connected account. </w:t>
      </w:r>
      <w:r w:rsidR="00F07334" w:rsidRPr="00965079">
        <w:rPr>
          <w:rFonts w:cs="Arial"/>
        </w:rPr>
        <w:t xml:space="preserve">Braun and Clarke (2021) point to the fact that themes should identify meaningful patterns and not merely repeat topic labels. Published findings, instead of raw interview transcripts, were </w:t>
      </w:r>
      <w:r w:rsidR="004D01FB" w:rsidRPr="00965079">
        <w:rPr>
          <w:rFonts w:cs="Arial"/>
        </w:rPr>
        <w:t>analyzed</w:t>
      </w:r>
      <w:r w:rsidR="00F07334" w:rsidRPr="00965079">
        <w:rPr>
          <w:rFonts w:cs="Arial"/>
        </w:rPr>
        <w:t>, so the process is one of thematic synthesis, rather than a reflexive analysis of the participants' original data</w:t>
      </w:r>
      <w:r w:rsidRPr="00965079">
        <w:rPr>
          <w:rFonts w:cs="Arial"/>
        </w:rPr>
        <w:t>.</w:t>
      </w:r>
    </w:p>
    <w:p w14:paraId="507F090A" w14:textId="77777777" w:rsidR="00315CE6" w:rsidRPr="0061267B" w:rsidRDefault="005A6ADA" w:rsidP="0061267B">
      <w:pPr>
        <w:pStyle w:val="BodyText"/>
        <w:keepNext/>
        <w:spacing w:before="120"/>
        <w:ind w:firstLine="425"/>
        <w:jc w:val="center"/>
        <w:rPr>
          <w:rFonts w:cs="Arial"/>
          <w:color w:val="000000" w:themeColor="text1"/>
        </w:rPr>
      </w:pPr>
      <w:r w:rsidRPr="0061267B">
        <w:rPr>
          <w:rFonts w:cs="Arial"/>
          <w:noProof/>
          <w:color w:val="000000" w:themeColor="text1"/>
        </w:rPr>
        <w:drawing>
          <wp:inline distT="0" distB="0" distL="0" distR="0" wp14:anchorId="5BD1060D" wp14:editId="7CE1FC35">
            <wp:extent cx="4769234" cy="4953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t="7568" b="9320"/>
                    <a:stretch/>
                  </pic:blipFill>
                  <pic:spPr bwMode="auto">
                    <a:xfrm>
                      <a:off x="0" y="0"/>
                      <a:ext cx="4814753" cy="5000273"/>
                    </a:xfrm>
                    <a:prstGeom prst="rect">
                      <a:avLst/>
                    </a:prstGeom>
                    <a:noFill/>
                    <a:ln>
                      <a:noFill/>
                    </a:ln>
                    <a:extLst>
                      <a:ext uri="{53640926-AAD7-44D8-BBD7-CCE9431645EC}">
                        <a14:shadowObscured xmlns:a14="http://schemas.microsoft.com/office/drawing/2010/main"/>
                      </a:ext>
                    </a:extLst>
                  </pic:spPr>
                </pic:pic>
              </a:graphicData>
            </a:graphic>
          </wp:inline>
        </w:drawing>
      </w:r>
    </w:p>
    <w:p w14:paraId="348AB720" w14:textId="77777777" w:rsidR="005A6ADA" w:rsidRPr="0061267B" w:rsidRDefault="00315CE6" w:rsidP="0061267B">
      <w:pPr>
        <w:pStyle w:val="Caption"/>
        <w:spacing w:before="120" w:after="120" w:line="360" w:lineRule="auto"/>
        <w:jc w:val="center"/>
        <w:rPr>
          <w:rFonts w:cs="Arial"/>
          <w:b w:val="0"/>
          <w:color w:val="000000" w:themeColor="text1"/>
        </w:rPr>
      </w:pPr>
      <w:r w:rsidRPr="0061267B">
        <w:rPr>
          <w:rFonts w:cs="Arial"/>
          <w:b w:val="0"/>
          <w:color w:val="000000" w:themeColor="text1"/>
        </w:rPr>
        <w:t xml:space="preserve">Figure </w:t>
      </w:r>
      <w:r w:rsidRPr="0061267B">
        <w:rPr>
          <w:rFonts w:cs="Arial"/>
          <w:b w:val="0"/>
          <w:color w:val="000000" w:themeColor="text1"/>
        </w:rPr>
        <w:fldChar w:fldCharType="begin"/>
      </w:r>
      <w:r w:rsidRPr="0061267B">
        <w:rPr>
          <w:rFonts w:cs="Arial"/>
          <w:b w:val="0"/>
          <w:color w:val="000000" w:themeColor="text1"/>
        </w:rPr>
        <w:instrText xml:space="preserve"> SEQ Figure \* ARABIC </w:instrText>
      </w:r>
      <w:r w:rsidRPr="0061267B">
        <w:rPr>
          <w:rFonts w:cs="Arial"/>
          <w:b w:val="0"/>
          <w:color w:val="000000" w:themeColor="text1"/>
        </w:rPr>
        <w:fldChar w:fldCharType="separate"/>
      </w:r>
      <w:r w:rsidRPr="0061267B">
        <w:rPr>
          <w:rFonts w:cs="Arial"/>
          <w:b w:val="0"/>
          <w:noProof/>
          <w:color w:val="000000" w:themeColor="text1"/>
        </w:rPr>
        <w:t>2</w:t>
      </w:r>
      <w:r w:rsidRPr="0061267B">
        <w:rPr>
          <w:rFonts w:cs="Arial"/>
          <w:b w:val="0"/>
          <w:color w:val="000000" w:themeColor="text1"/>
        </w:rPr>
        <w:fldChar w:fldCharType="end"/>
      </w:r>
      <w:r w:rsidRPr="0061267B">
        <w:rPr>
          <w:rFonts w:cs="Arial"/>
          <w:b w:val="0"/>
          <w:color w:val="000000" w:themeColor="text1"/>
        </w:rPr>
        <w:t>: Steps for thematic analysis</w:t>
      </w:r>
      <w:r w:rsidR="00B64A83" w:rsidRPr="0061267B">
        <w:rPr>
          <w:rFonts w:cs="Arial"/>
          <w:b w:val="0"/>
          <w:color w:val="000000" w:themeColor="text1"/>
        </w:rPr>
        <w:t xml:space="preserve"> (Made by using MS Word)</w:t>
      </w:r>
    </w:p>
    <w:p w14:paraId="48A00F15" w14:textId="77777777" w:rsidR="00AE051E" w:rsidRPr="00965079" w:rsidRDefault="00741740" w:rsidP="00965079">
      <w:pPr>
        <w:pStyle w:val="Heading2"/>
        <w:spacing w:before="120" w:after="120" w:line="360" w:lineRule="auto"/>
        <w:jc w:val="both"/>
        <w:rPr>
          <w:rFonts w:cs="Arial"/>
        </w:rPr>
      </w:pPr>
      <w:bookmarkStart w:id="9" w:name="_Toc235032281"/>
      <w:r w:rsidRPr="00965079">
        <w:rPr>
          <w:rFonts w:cs="Arial"/>
        </w:rPr>
        <w:t xml:space="preserve">3.7 </w:t>
      </w:r>
      <w:r w:rsidR="00AE051E" w:rsidRPr="00965079">
        <w:rPr>
          <w:rFonts w:cs="Arial"/>
        </w:rPr>
        <w:t>Theme Frequency and Quality Considerations</w:t>
      </w:r>
      <w:bookmarkEnd w:id="9"/>
    </w:p>
    <w:p w14:paraId="3F6F64E8" w14:textId="77777777" w:rsidR="00310244" w:rsidRPr="00965079" w:rsidRDefault="004F6250" w:rsidP="00965079">
      <w:pPr>
        <w:pStyle w:val="BodyText"/>
        <w:spacing w:before="120"/>
        <w:ind w:firstLine="425"/>
        <w:jc w:val="both"/>
        <w:rPr>
          <w:rFonts w:cs="Arial"/>
        </w:rPr>
      </w:pPr>
      <w:r w:rsidRPr="00965079">
        <w:rPr>
          <w:rFonts w:cs="Arial"/>
        </w:rPr>
        <w:t xml:space="preserve">The level of study was used for the calculation of theme frequency. If a study reported the same issue more than once, this was counted only once in a theme. Percentages do not add up to 100% since one study can be included in more than one theme. Frequency represents the extent to which a theme occurred and not the magnitude of an effect or the quality of evidence. No study was excluded due to a quality score. This aligns with the purpose of a scoping review, to map. Design strengths and weaknesses were, however, mapped out and </w:t>
      </w:r>
      <w:r w:rsidR="008A424C" w:rsidRPr="00965079">
        <w:rPr>
          <w:rFonts w:cs="Arial"/>
        </w:rPr>
        <w:t>considered</w:t>
      </w:r>
      <w:r w:rsidRPr="00965079">
        <w:rPr>
          <w:rFonts w:cs="Arial"/>
        </w:rPr>
        <w:t xml:space="preserve"> during discussion</w:t>
      </w:r>
      <w:r w:rsidR="00E66695" w:rsidRPr="00965079">
        <w:rPr>
          <w:rFonts w:cs="Arial"/>
        </w:rPr>
        <w:t>.</w:t>
      </w:r>
    </w:p>
    <w:p w14:paraId="2F7EEEAD" w14:textId="77777777" w:rsidR="00480ADF" w:rsidRPr="00965079" w:rsidRDefault="00741740" w:rsidP="00965079">
      <w:pPr>
        <w:pStyle w:val="Heading2"/>
        <w:spacing w:before="120" w:after="120" w:line="360" w:lineRule="auto"/>
        <w:jc w:val="both"/>
        <w:rPr>
          <w:rFonts w:eastAsia="Times New Roman" w:cs="Arial"/>
        </w:rPr>
      </w:pPr>
      <w:bookmarkStart w:id="10" w:name="_Toc235032282"/>
      <w:r w:rsidRPr="00965079">
        <w:rPr>
          <w:rFonts w:cs="Arial"/>
        </w:rPr>
        <w:lastRenderedPageBreak/>
        <w:t xml:space="preserve">3.8 </w:t>
      </w:r>
      <w:r w:rsidR="00480ADF" w:rsidRPr="00965079">
        <w:rPr>
          <w:rFonts w:cs="Arial"/>
        </w:rPr>
        <w:t>Ethical Considerations</w:t>
      </w:r>
      <w:bookmarkEnd w:id="10"/>
    </w:p>
    <w:p w14:paraId="339726E2" w14:textId="77777777" w:rsidR="00F805BD" w:rsidRDefault="009A262F" w:rsidP="00965079">
      <w:pPr>
        <w:pStyle w:val="BodyText"/>
        <w:spacing w:before="120"/>
        <w:ind w:firstLine="425"/>
        <w:jc w:val="both"/>
        <w:rPr>
          <w:rFonts w:cs="Arial"/>
        </w:rPr>
      </w:pPr>
      <w:r w:rsidRPr="00965079">
        <w:rPr>
          <w:rFonts w:cs="Arial"/>
        </w:rPr>
        <w:t>It was a review of published material and not directly done with participants. Formal research ethics approval was thus not necessary. There was still an interest in ethics. The selection of the studies had to be clear. Findings had to be fairly represented. Citations were required to be correct. Such stigma-free reporting of sensitive information as suicidal risk and inequality was a requirement. Care was taken in linked cohorts to not provide repeated sample data as independent evidence</w:t>
      </w:r>
      <w:r w:rsidR="00E66695" w:rsidRPr="00965079">
        <w:rPr>
          <w:rFonts w:cs="Arial"/>
        </w:rPr>
        <w:t>.</w:t>
      </w:r>
    </w:p>
    <w:p w14:paraId="48BB833E" w14:textId="77777777" w:rsidR="00310244" w:rsidRPr="00965079" w:rsidRDefault="00F805BD" w:rsidP="001B3741">
      <w:pPr>
        <w:rPr>
          <w:rFonts w:cs="Arial"/>
        </w:rPr>
      </w:pPr>
      <w:r>
        <w:rPr>
          <w:rFonts w:cs="Arial"/>
        </w:rPr>
        <w:br w:type="page"/>
      </w:r>
    </w:p>
    <w:p w14:paraId="5CA6C4E0" w14:textId="77777777" w:rsidR="00310244" w:rsidRPr="00965079" w:rsidRDefault="00E66695" w:rsidP="00296631">
      <w:pPr>
        <w:pStyle w:val="Heading1"/>
      </w:pPr>
      <w:bookmarkStart w:id="11" w:name="_Toc235032283"/>
      <w:r w:rsidRPr="00965079">
        <w:lastRenderedPageBreak/>
        <w:t>4. Results</w:t>
      </w:r>
      <w:bookmarkEnd w:id="11"/>
    </w:p>
    <w:p w14:paraId="04DBC009" w14:textId="1ECB030D" w:rsidR="00310244" w:rsidRPr="00965079" w:rsidRDefault="00E66695" w:rsidP="00965079">
      <w:pPr>
        <w:pStyle w:val="BodyText"/>
        <w:spacing w:before="120"/>
        <w:ind w:firstLine="425"/>
        <w:jc w:val="both"/>
        <w:rPr>
          <w:rFonts w:cs="Arial"/>
        </w:rPr>
      </w:pPr>
      <w:r w:rsidRPr="00965079">
        <w:rPr>
          <w:rFonts w:cs="Arial"/>
        </w:rPr>
        <w:t xml:space="preserve">Thirty studies were included. Six were published in 2021, thirteen in 2022, eight in 2023, one in 2024, one in 2025 and one in 2026. The evidence included large cross-sectional surveys, longitudinal cohorts, qualitative interviews and focus groups, mixed-methods studies and one thematic review. Sample sizes ranged from 11 participants in Barnwell and Patton (2025) to 9,102 survey responses across three years in Bennett et al. (2022). Table 1 </w:t>
      </w:r>
      <w:r w:rsidR="006F50D6" w:rsidRPr="00965079">
        <w:rPr>
          <w:rFonts w:cs="Arial"/>
        </w:rPr>
        <w:t>summaries</w:t>
      </w:r>
      <w:r w:rsidRPr="00965079">
        <w:rPr>
          <w:rFonts w:cs="Arial"/>
        </w:rPr>
        <w:t xml:space="preserve"> all included studies.</w:t>
      </w:r>
    </w:p>
    <w:p w14:paraId="7D62DA01" w14:textId="77777777" w:rsidR="00310244" w:rsidRPr="00965079" w:rsidRDefault="00E66695" w:rsidP="00965079">
      <w:pPr>
        <w:pStyle w:val="BodyText"/>
        <w:spacing w:before="120"/>
        <w:ind w:firstLine="425"/>
        <w:jc w:val="both"/>
        <w:rPr>
          <w:rFonts w:cs="Arial"/>
        </w:rPr>
      </w:pPr>
      <w:r w:rsidRPr="00965079">
        <w:rPr>
          <w:rFonts w:cs="Arial"/>
        </w:rPr>
        <w:t>Five themes were generated: psychological distress and reduced wellbeing; social isolation and loss of belonging; academic and digital pressures; unequal effects and vulnerability; and protective factors, flexibility and support. Table 2 shows how initial codes were grouped. Table 3 shows the number and percentage of studies contributing to each theme.</w:t>
      </w:r>
    </w:p>
    <w:p w14:paraId="5452562B" w14:textId="77777777" w:rsidR="00310244" w:rsidRPr="00965079" w:rsidRDefault="00741740" w:rsidP="00965079">
      <w:pPr>
        <w:pStyle w:val="Heading2"/>
        <w:spacing w:before="120" w:after="120" w:line="360" w:lineRule="auto"/>
        <w:jc w:val="both"/>
        <w:rPr>
          <w:rFonts w:cs="Arial"/>
        </w:rPr>
      </w:pPr>
      <w:bookmarkStart w:id="12" w:name="_Toc235032284"/>
      <w:r w:rsidRPr="00965079">
        <w:rPr>
          <w:rFonts w:cs="Arial"/>
        </w:rPr>
        <w:t xml:space="preserve">4.1 </w:t>
      </w:r>
      <w:r w:rsidR="00E66695" w:rsidRPr="00965079">
        <w:rPr>
          <w:rFonts w:cs="Arial"/>
        </w:rPr>
        <w:t>Theme 1: Psychological distress and reduced wellbeing</w:t>
      </w:r>
      <w:bookmarkEnd w:id="12"/>
    </w:p>
    <w:p w14:paraId="75C0888F" w14:textId="77777777" w:rsidR="00310244" w:rsidRPr="00965079" w:rsidRDefault="00E66695" w:rsidP="00965079">
      <w:pPr>
        <w:pStyle w:val="BodyText"/>
        <w:keepLines/>
        <w:spacing w:before="120"/>
        <w:ind w:firstLine="425"/>
        <w:jc w:val="both"/>
        <w:rPr>
          <w:rFonts w:cs="Arial"/>
        </w:rPr>
      </w:pPr>
      <w:r w:rsidRPr="00965079">
        <w:rPr>
          <w:rFonts w:cs="Arial"/>
        </w:rPr>
        <w:t>This was the most common theme. Evans et al. (2021), Savage et al. (2021), Chen and Lucock (2022), Catling et al. (2022) and Tang et al. (2022) reported higher anxiety, depression, stress, sleep problems or lower wellbeing during pandemic learning. Bennett et al. (2022) found poorer outcomes across repeated university surveys. Allen, Kannangara and Carson (2023) and Paton et al. (2023) showed that distress continued for a substantial group over time. Worsley et al. (2024) linked negative views of online teaching with higher depression and anxiety after controlling for other factors. Owens et al. (2022) also found that stricter restrictions were linked with later depressive symptoms. These studies show a consistent burden, but they do not prove that remote learning was the only cause.</w:t>
      </w:r>
    </w:p>
    <w:p w14:paraId="7643C717" w14:textId="77777777" w:rsidR="00310244" w:rsidRPr="00965079" w:rsidRDefault="00741740" w:rsidP="00965079">
      <w:pPr>
        <w:pStyle w:val="Heading2"/>
        <w:spacing w:before="120" w:after="120" w:line="360" w:lineRule="auto"/>
        <w:jc w:val="both"/>
        <w:rPr>
          <w:rFonts w:cs="Arial"/>
        </w:rPr>
      </w:pPr>
      <w:bookmarkStart w:id="13" w:name="_Toc235032285"/>
      <w:r w:rsidRPr="00965079">
        <w:rPr>
          <w:rFonts w:cs="Arial"/>
        </w:rPr>
        <w:t xml:space="preserve">4.2 </w:t>
      </w:r>
      <w:r w:rsidR="00E66695" w:rsidRPr="00965079">
        <w:rPr>
          <w:rFonts w:cs="Arial"/>
        </w:rPr>
        <w:t>Theme 2: Social isolation and loss of belonging</w:t>
      </w:r>
      <w:bookmarkEnd w:id="13"/>
    </w:p>
    <w:p w14:paraId="2139A1FD" w14:textId="77777777" w:rsidR="00310244" w:rsidRPr="00965079" w:rsidRDefault="00E66695" w:rsidP="00965079">
      <w:pPr>
        <w:pStyle w:val="BodyText"/>
        <w:keepLines/>
        <w:spacing w:before="120"/>
        <w:ind w:firstLine="425"/>
        <w:jc w:val="both"/>
        <w:rPr>
          <w:rFonts w:cs="Arial"/>
        </w:rPr>
      </w:pPr>
      <w:r w:rsidRPr="00965079">
        <w:rPr>
          <w:rFonts w:cs="Arial"/>
        </w:rPr>
        <w:t xml:space="preserve">Loss of contact was a central pathway. Knight et al. (2021) described loneliness, uncertainty and social disruption during self-isolation. Di Malta et al. (2022) linked connectedness with mental health and academic performance among distance learners. Gogoi et al. (2022), </w:t>
      </w:r>
      <w:proofErr w:type="spellStart"/>
      <w:r w:rsidRPr="00965079">
        <w:rPr>
          <w:rFonts w:cs="Arial"/>
        </w:rPr>
        <w:t>Marchlinska</w:t>
      </w:r>
      <w:proofErr w:type="spellEnd"/>
      <w:r w:rsidRPr="00965079">
        <w:rPr>
          <w:rFonts w:cs="Arial"/>
        </w:rPr>
        <w:t xml:space="preserve"> et al. (2023) and Hitch and Zaman (2023) described weak peer contact and a reduced sense of university community. Brown et al. (2023) found high levels of isolation in both survey and focus-group data. </w:t>
      </w:r>
      <w:proofErr w:type="spellStart"/>
      <w:r w:rsidRPr="00965079">
        <w:rPr>
          <w:rFonts w:cs="Arial"/>
        </w:rPr>
        <w:t>Misca</w:t>
      </w:r>
      <w:proofErr w:type="spellEnd"/>
      <w:r w:rsidRPr="00965079">
        <w:rPr>
          <w:rFonts w:cs="Arial"/>
        </w:rPr>
        <w:t xml:space="preserve"> and Thornton (2021), Al-Oraibi et al. (2022) and Horner et al. (2026) showed that isolation was more harmful when students were also managing caring duties, international status, low income or previous mental ill health.</w:t>
      </w:r>
    </w:p>
    <w:p w14:paraId="3B08184A" w14:textId="77777777" w:rsidR="00310244" w:rsidRPr="00965079" w:rsidRDefault="00741740" w:rsidP="00965079">
      <w:pPr>
        <w:pStyle w:val="Heading2"/>
        <w:spacing w:before="120" w:after="120" w:line="360" w:lineRule="auto"/>
        <w:jc w:val="both"/>
        <w:rPr>
          <w:rFonts w:cs="Arial"/>
        </w:rPr>
      </w:pPr>
      <w:bookmarkStart w:id="14" w:name="_Toc235032286"/>
      <w:r w:rsidRPr="00965079">
        <w:rPr>
          <w:rFonts w:cs="Arial"/>
        </w:rPr>
        <w:lastRenderedPageBreak/>
        <w:t xml:space="preserve">4.3 </w:t>
      </w:r>
      <w:r w:rsidR="00E66695" w:rsidRPr="00965079">
        <w:rPr>
          <w:rFonts w:cs="Arial"/>
        </w:rPr>
        <w:t>Theme 3: Academic and digital pressures</w:t>
      </w:r>
      <w:bookmarkEnd w:id="14"/>
    </w:p>
    <w:p w14:paraId="40989D42" w14:textId="77777777" w:rsidR="00310244" w:rsidRPr="00965079" w:rsidRDefault="00E66695" w:rsidP="00965079">
      <w:pPr>
        <w:pStyle w:val="BodyText"/>
        <w:keepLines/>
        <w:spacing w:before="120"/>
        <w:ind w:firstLine="425"/>
        <w:jc w:val="both"/>
        <w:rPr>
          <w:rFonts w:cs="Arial"/>
        </w:rPr>
      </w:pPr>
      <w:r w:rsidRPr="00965079">
        <w:rPr>
          <w:rFonts w:cs="Arial"/>
        </w:rPr>
        <w:t>Remote learning created practical and emotional strain. Gadi et al. (2022) reported disruption to healthcare education and practical learning. Appleby et al. (2022) found that many UK students viewed online learning negatively and worried about missed opportunities. McCullogh et al. (2022) showed that sports students and staff struggled to replace practical teaching. Slack and Priestley (2023) identified workload, assessment design and unclear communication as wellbeing risks. Rich et al. (2023) found that disrupted placements and missed learning reduced medical students' confidence. Dinu et al. (2022) showed that digital confidence and suitable study space mattered, while Brown et al. (2023) identified internet and device barriers. These findings show that digital access includes skills, space and teaching design, not only ownership of a computer.</w:t>
      </w:r>
    </w:p>
    <w:p w14:paraId="39D5C6AB" w14:textId="77777777" w:rsidR="00310244" w:rsidRPr="00965079" w:rsidRDefault="00741740" w:rsidP="00965079">
      <w:pPr>
        <w:pStyle w:val="Heading2"/>
        <w:spacing w:before="120" w:after="120" w:line="360" w:lineRule="auto"/>
        <w:jc w:val="both"/>
        <w:rPr>
          <w:rFonts w:cs="Arial"/>
        </w:rPr>
      </w:pPr>
      <w:bookmarkStart w:id="15" w:name="_Toc235032287"/>
      <w:r w:rsidRPr="00965079">
        <w:rPr>
          <w:rFonts w:cs="Arial"/>
        </w:rPr>
        <w:t xml:space="preserve">4.4 </w:t>
      </w:r>
      <w:r w:rsidR="00E66695" w:rsidRPr="00965079">
        <w:rPr>
          <w:rFonts w:cs="Arial"/>
        </w:rPr>
        <w:t>Theme 4: Unequal effects and vulnerability</w:t>
      </w:r>
      <w:bookmarkEnd w:id="15"/>
    </w:p>
    <w:p w14:paraId="593351DB" w14:textId="77777777" w:rsidR="00310244" w:rsidRPr="00965079" w:rsidRDefault="00E66695" w:rsidP="00965079">
      <w:pPr>
        <w:pStyle w:val="BodyText"/>
        <w:keepLines/>
        <w:spacing w:before="120"/>
        <w:ind w:firstLine="425"/>
        <w:jc w:val="both"/>
        <w:rPr>
          <w:rFonts w:cs="Arial"/>
        </w:rPr>
      </w:pPr>
      <w:r w:rsidRPr="00965079">
        <w:rPr>
          <w:rFonts w:cs="Arial"/>
        </w:rPr>
        <w:t xml:space="preserve">The impact was not equal. Defeyter et al. (2021) linked low wellbeing with food insecurity, financial pressure and low trust. </w:t>
      </w:r>
      <w:proofErr w:type="spellStart"/>
      <w:r w:rsidRPr="00965079">
        <w:rPr>
          <w:rFonts w:cs="Arial"/>
        </w:rPr>
        <w:t>Misca</w:t>
      </w:r>
      <w:proofErr w:type="spellEnd"/>
      <w:r w:rsidRPr="00965079">
        <w:rPr>
          <w:rFonts w:cs="Arial"/>
        </w:rPr>
        <w:t xml:space="preserve"> and Thornton (2021) described added burdens for women with caring and work responsibilities. Al-Oraibi et al. (2022) identified isolation, stigma and reduced help-seeking among international students. Stoll et al. (2022) found that Black students faced academic pressure, racism, alienation and cultural barriers across UK evidence. Liverpool et al. (2023) found poorer outcomes among some demographic and additional-needs groups. Rich et al. (2023) showed that students with previous mental health problems were vulnerable to relapse. Horner et al. (2026) demonstrated how first-year status, low income and prior poor mental health could combine. The theme supports an intersectional view rather than a single 'average student' experience.</w:t>
      </w:r>
    </w:p>
    <w:p w14:paraId="20D82031" w14:textId="77777777" w:rsidR="00310244" w:rsidRPr="00965079" w:rsidRDefault="00741740" w:rsidP="00965079">
      <w:pPr>
        <w:pStyle w:val="Heading2"/>
        <w:spacing w:before="120" w:after="120" w:line="360" w:lineRule="auto"/>
        <w:jc w:val="both"/>
        <w:rPr>
          <w:rFonts w:cs="Arial"/>
        </w:rPr>
      </w:pPr>
      <w:bookmarkStart w:id="16" w:name="_Toc235032288"/>
      <w:r w:rsidRPr="00965079">
        <w:rPr>
          <w:rFonts w:cs="Arial"/>
        </w:rPr>
        <w:t xml:space="preserve">4.5 </w:t>
      </w:r>
      <w:r w:rsidR="00E66695" w:rsidRPr="00965079">
        <w:rPr>
          <w:rFonts w:cs="Arial"/>
        </w:rPr>
        <w:t>Theme 5: Protective factors, flexibility and support</w:t>
      </w:r>
      <w:bookmarkEnd w:id="16"/>
    </w:p>
    <w:p w14:paraId="1E57C547" w14:textId="77777777" w:rsidR="00310244" w:rsidRPr="00965079" w:rsidRDefault="00E66695" w:rsidP="00965079">
      <w:pPr>
        <w:pStyle w:val="BodyText"/>
        <w:keepLines/>
        <w:spacing w:before="120"/>
        <w:ind w:firstLine="425"/>
        <w:jc w:val="both"/>
        <w:rPr>
          <w:rFonts w:cs="Arial"/>
        </w:rPr>
      </w:pPr>
      <w:r w:rsidRPr="00965079">
        <w:rPr>
          <w:rFonts w:cs="Arial"/>
        </w:rPr>
        <w:t xml:space="preserve">Remote learning also had benefits for some students. Di Malta et al. (2022), Slack and Priestley (2023) and Brown et al. (2023) found that flexibility, recorded material, reduced travel and learning at one's own pace could reduce pressure. </w:t>
      </w:r>
      <w:proofErr w:type="spellStart"/>
      <w:r w:rsidRPr="00965079">
        <w:rPr>
          <w:rFonts w:cs="Arial"/>
        </w:rPr>
        <w:t>Misca</w:t>
      </w:r>
      <w:proofErr w:type="spellEnd"/>
      <w:r w:rsidRPr="00965079">
        <w:rPr>
          <w:rFonts w:cs="Arial"/>
        </w:rPr>
        <w:t xml:space="preserve"> and Thornton (2021), Gogoi et al. (2022), Tang et al. (2022) and Liverpool et al. (2023) identified social support, routine, physical activity, resilience or coping as protective. Blake et al. (2021) found that trainees valued digital wellbeing support, although it needed clear signposting and human contact. Barnwell and Patton (2025) found that digital packages offered privacy and easy access, but could feel like another course and were easy to leave. The evidence therefore </w:t>
      </w:r>
      <w:proofErr w:type="spellStart"/>
      <w:r w:rsidRPr="00965079">
        <w:rPr>
          <w:rFonts w:cs="Arial"/>
        </w:rPr>
        <w:t>favours</w:t>
      </w:r>
      <w:proofErr w:type="spellEnd"/>
      <w:r w:rsidRPr="00965079">
        <w:rPr>
          <w:rFonts w:cs="Arial"/>
        </w:rPr>
        <w:t xml:space="preserve"> supported blended systems rather than a fully digital replacement for teaching or care.</w:t>
      </w:r>
    </w:p>
    <w:p w14:paraId="680D8388" w14:textId="77777777" w:rsidR="00310244" w:rsidRPr="00965079" w:rsidRDefault="00310244" w:rsidP="00965079">
      <w:pPr>
        <w:spacing w:before="120" w:after="120" w:line="360" w:lineRule="auto"/>
        <w:jc w:val="both"/>
        <w:rPr>
          <w:rFonts w:cs="Arial"/>
        </w:rPr>
        <w:sectPr w:rsidR="00310244" w:rsidRPr="00965079" w:rsidSect="00DA0146">
          <w:footerReference w:type="default" r:id="rId10"/>
          <w:type w:val="continuous"/>
          <w:pgSz w:w="11906" w:h="16838" w:code="9"/>
          <w:pgMar w:top="1440" w:right="1440" w:bottom="1440" w:left="1440" w:header="720" w:footer="720" w:gutter="0"/>
          <w:cols w:space="720"/>
          <w:docGrid w:linePitch="360"/>
        </w:sectPr>
      </w:pPr>
    </w:p>
    <w:p w14:paraId="697BDD7B" w14:textId="77777777" w:rsidR="005E7D69" w:rsidRPr="00664EA2" w:rsidRDefault="005E7D69" w:rsidP="00A05ADC">
      <w:pPr>
        <w:pStyle w:val="Caption"/>
        <w:keepNext/>
        <w:jc w:val="center"/>
        <w:rPr>
          <w:b w:val="0"/>
          <w:color w:val="000000" w:themeColor="text1"/>
        </w:rPr>
      </w:pPr>
      <w:r w:rsidRPr="00664EA2">
        <w:rPr>
          <w:b w:val="0"/>
          <w:color w:val="000000" w:themeColor="text1"/>
        </w:rPr>
        <w:lastRenderedPageBreak/>
        <w:t xml:space="preserve">Table </w:t>
      </w:r>
      <w:r w:rsidRPr="00664EA2">
        <w:rPr>
          <w:b w:val="0"/>
          <w:color w:val="000000" w:themeColor="text1"/>
        </w:rPr>
        <w:fldChar w:fldCharType="begin"/>
      </w:r>
      <w:r w:rsidRPr="00664EA2">
        <w:rPr>
          <w:b w:val="0"/>
          <w:color w:val="000000" w:themeColor="text1"/>
        </w:rPr>
        <w:instrText xml:space="preserve"> SEQ Table \* ARABIC </w:instrText>
      </w:r>
      <w:r w:rsidRPr="00664EA2">
        <w:rPr>
          <w:b w:val="0"/>
          <w:color w:val="000000" w:themeColor="text1"/>
        </w:rPr>
        <w:fldChar w:fldCharType="separate"/>
      </w:r>
      <w:r w:rsidRPr="00664EA2">
        <w:rPr>
          <w:b w:val="0"/>
          <w:noProof/>
          <w:color w:val="000000" w:themeColor="text1"/>
        </w:rPr>
        <w:t>1</w:t>
      </w:r>
      <w:r w:rsidRPr="00664EA2">
        <w:rPr>
          <w:b w:val="0"/>
          <w:color w:val="000000" w:themeColor="text1"/>
        </w:rPr>
        <w:fldChar w:fldCharType="end"/>
      </w:r>
      <w:r w:rsidRPr="00664EA2">
        <w:rPr>
          <w:b w:val="0"/>
          <w:color w:val="000000" w:themeColor="text1"/>
        </w:rPr>
        <w:t>: Summary of the 30 included UK-related studies (2021-2026)</w:t>
      </w:r>
    </w:p>
    <w:tbl>
      <w:tblPr>
        <w:tblStyle w:val="TableGrid"/>
        <w:tblW w:w="0" w:type="auto"/>
        <w:jc w:val="center"/>
        <w:tblLook w:val="04A0" w:firstRow="1" w:lastRow="0" w:firstColumn="1" w:lastColumn="0" w:noHBand="0" w:noVBand="1"/>
      </w:tblPr>
      <w:tblGrid>
        <w:gridCol w:w="1677"/>
        <w:gridCol w:w="1936"/>
        <w:gridCol w:w="2001"/>
        <w:gridCol w:w="2455"/>
        <w:gridCol w:w="2127"/>
      </w:tblGrid>
      <w:tr w:rsidR="00310244" w:rsidRPr="000F3BFA" w14:paraId="20A15792" w14:textId="77777777" w:rsidTr="00645C19">
        <w:trPr>
          <w:cantSplit/>
          <w:tblHeader/>
          <w:jc w:val="center"/>
        </w:trPr>
        <w:tc>
          <w:tcPr>
            <w:tcW w:w="1677" w:type="dxa"/>
            <w:tcMar>
              <w:top w:w="80" w:type="dxa"/>
              <w:left w:w="80" w:type="dxa"/>
              <w:bottom w:w="80" w:type="dxa"/>
              <w:right w:w="80" w:type="dxa"/>
            </w:tcMar>
          </w:tcPr>
          <w:p w14:paraId="4FECB929" w14:textId="77777777" w:rsidR="00310244" w:rsidRPr="000F3BFA" w:rsidRDefault="00E66695" w:rsidP="00905FCD">
            <w:pPr>
              <w:spacing w:after="120"/>
              <w:jc w:val="both"/>
              <w:rPr>
                <w:rFonts w:cs="Arial"/>
                <w:sz w:val="20"/>
                <w:szCs w:val="20"/>
              </w:rPr>
            </w:pPr>
            <w:r w:rsidRPr="000F3BFA">
              <w:rPr>
                <w:rFonts w:cs="Arial"/>
                <w:b/>
                <w:sz w:val="20"/>
                <w:szCs w:val="20"/>
              </w:rPr>
              <w:t>Author(s), year</w:t>
            </w:r>
          </w:p>
        </w:tc>
        <w:tc>
          <w:tcPr>
            <w:tcW w:w="1936" w:type="dxa"/>
            <w:tcMar>
              <w:top w:w="80" w:type="dxa"/>
              <w:left w:w="80" w:type="dxa"/>
              <w:bottom w:w="80" w:type="dxa"/>
              <w:right w:w="80" w:type="dxa"/>
            </w:tcMar>
          </w:tcPr>
          <w:p w14:paraId="47882EF0" w14:textId="77777777" w:rsidR="00310244" w:rsidRPr="000F3BFA" w:rsidRDefault="00E66695" w:rsidP="00905FCD">
            <w:pPr>
              <w:spacing w:after="120"/>
              <w:jc w:val="both"/>
              <w:rPr>
                <w:rFonts w:cs="Arial"/>
                <w:sz w:val="20"/>
                <w:szCs w:val="20"/>
              </w:rPr>
            </w:pPr>
            <w:r w:rsidRPr="000F3BFA">
              <w:rPr>
                <w:rFonts w:cs="Arial"/>
                <w:b/>
                <w:sz w:val="20"/>
                <w:szCs w:val="20"/>
              </w:rPr>
              <w:t>Research objectives</w:t>
            </w:r>
          </w:p>
        </w:tc>
        <w:tc>
          <w:tcPr>
            <w:tcW w:w="2001" w:type="dxa"/>
            <w:tcMar>
              <w:top w:w="80" w:type="dxa"/>
              <w:left w:w="80" w:type="dxa"/>
              <w:bottom w:w="80" w:type="dxa"/>
              <w:right w:w="80" w:type="dxa"/>
            </w:tcMar>
          </w:tcPr>
          <w:p w14:paraId="4E7D8D3F" w14:textId="77777777" w:rsidR="00310244" w:rsidRPr="000F3BFA" w:rsidRDefault="00E66695" w:rsidP="00905FCD">
            <w:pPr>
              <w:spacing w:after="120"/>
              <w:jc w:val="both"/>
              <w:rPr>
                <w:rFonts w:cs="Arial"/>
                <w:sz w:val="20"/>
                <w:szCs w:val="20"/>
              </w:rPr>
            </w:pPr>
            <w:r w:rsidRPr="000F3BFA">
              <w:rPr>
                <w:rFonts w:cs="Arial"/>
                <w:b/>
                <w:sz w:val="20"/>
                <w:szCs w:val="20"/>
              </w:rPr>
              <w:t>Methods (sample size, country)</w:t>
            </w:r>
          </w:p>
        </w:tc>
        <w:tc>
          <w:tcPr>
            <w:tcW w:w="2455" w:type="dxa"/>
            <w:tcMar>
              <w:top w:w="80" w:type="dxa"/>
              <w:left w:w="80" w:type="dxa"/>
              <w:bottom w:w="80" w:type="dxa"/>
              <w:right w:w="80" w:type="dxa"/>
            </w:tcMar>
          </w:tcPr>
          <w:p w14:paraId="41A07E7B" w14:textId="77777777" w:rsidR="00310244" w:rsidRPr="000F3BFA" w:rsidRDefault="00E66695" w:rsidP="00905FCD">
            <w:pPr>
              <w:spacing w:after="120"/>
              <w:jc w:val="both"/>
              <w:rPr>
                <w:rFonts w:cs="Arial"/>
                <w:sz w:val="20"/>
                <w:szCs w:val="20"/>
              </w:rPr>
            </w:pPr>
            <w:r w:rsidRPr="000F3BFA">
              <w:rPr>
                <w:rFonts w:cs="Arial"/>
                <w:b/>
                <w:sz w:val="20"/>
                <w:szCs w:val="20"/>
              </w:rPr>
              <w:t>Key findings</w:t>
            </w:r>
          </w:p>
        </w:tc>
        <w:tc>
          <w:tcPr>
            <w:tcW w:w="2127" w:type="dxa"/>
            <w:tcMar>
              <w:top w:w="80" w:type="dxa"/>
              <w:left w:w="80" w:type="dxa"/>
              <w:bottom w:w="80" w:type="dxa"/>
              <w:right w:w="80" w:type="dxa"/>
            </w:tcMar>
          </w:tcPr>
          <w:p w14:paraId="4521114C" w14:textId="77777777" w:rsidR="00310244" w:rsidRPr="000F3BFA" w:rsidRDefault="00E66695" w:rsidP="00905FCD">
            <w:pPr>
              <w:spacing w:after="120"/>
              <w:jc w:val="both"/>
              <w:rPr>
                <w:rFonts w:cs="Arial"/>
                <w:sz w:val="20"/>
                <w:szCs w:val="20"/>
              </w:rPr>
            </w:pPr>
            <w:r w:rsidRPr="000F3BFA">
              <w:rPr>
                <w:rFonts w:cs="Arial"/>
                <w:b/>
                <w:sz w:val="20"/>
                <w:szCs w:val="20"/>
              </w:rPr>
              <w:t>Relevance to review question</w:t>
            </w:r>
          </w:p>
        </w:tc>
      </w:tr>
      <w:tr w:rsidR="00310244" w:rsidRPr="000F3BFA" w14:paraId="4B689680" w14:textId="77777777" w:rsidTr="00645C19">
        <w:trPr>
          <w:cantSplit/>
          <w:jc w:val="center"/>
        </w:trPr>
        <w:tc>
          <w:tcPr>
            <w:tcW w:w="1677" w:type="dxa"/>
            <w:tcMar>
              <w:top w:w="80" w:type="dxa"/>
              <w:left w:w="80" w:type="dxa"/>
              <w:bottom w:w="80" w:type="dxa"/>
              <w:right w:w="80" w:type="dxa"/>
            </w:tcMar>
          </w:tcPr>
          <w:p w14:paraId="68A9300A" w14:textId="77777777" w:rsidR="00310244" w:rsidRPr="000F3BFA" w:rsidRDefault="00E66695" w:rsidP="00905FCD">
            <w:pPr>
              <w:spacing w:after="120"/>
              <w:jc w:val="both"/>
              <w:rPr>
                <w:rFonts w:cs="Arial"/>
                <w:sz w:val="20"/>
                <w:szCs w:val="20"/>
              </w:rPr>
            </w:pPr>
            <w:r w:rsidRPr="000F3BFA">
              <w:rPr>
                <w:rFonts w:cs="Arial"/>
                <w:b/>
                <w:sz w:val="20"/>
                <w:szCs w:val="20"/>
              </w:rPr>
              <w:t>Blake et al., 2021</w:t>
            </w:r>
          </w:p>
        </w:tc>
        <w:tc>
          <w:tcPr>
            <w:tcW w:w="1936" w:type="dxa"/>
            <w:tcMar>
              <w:top w:w="80" w:type="dxa"/>
              <w:left w:w="80" w:type="dxa"/>
              <w:bottom w:w="80" w:type="dxa"/>
              <w:right w:w="80" w:type="dxa"/>
            </w:tcMar>
          </w:tcPr>
          <w:p w14:paraId="3DA4CBB8" w14:textId="7DA93781" w:rsidR="00310244" w:rsidRPr="000F3BFA" w:rsidRDefault="00E66695" w:rsidP="00905FCD">
            <w:pPr>
              <w:spacing w:after="120"/>
              <w:jc w:val="both"/>
              <w:rPr>
                <w:rFonts w:cs="Arial"/>
                <w:sz w:val="20"/>
                <w:szCs w:val="20"/>
              </w:rPr>
            </w:pPr>
            <w:r w:rsidRPr="000F3BFA">
              <w:rPr>
                <w:rFonts w:cs="Arial"/>
                <w:sz w:val="20"/>
                <w:szCs w:val="20"/>
              </w:rPr>
              <w:t xml:space="preserve">To assess psychological impacts on healthcare trainees and views of a digital </w:t>
            </w:r>
            <w:r w:rsidR="00455357" w:rsidRPr="000F3BFA">
              <w:rPr>
                <w:rFonts w:cs="Arial"/>
                <w:sz w:val="20"/>
                <w:szCs w:val="20"/>
              </w:rPr>
              <w:t>well-being</w:t>
            </w:r>
            <w:r w:rsidRPr="000F3BFA">
              <w:rPr>
                <w:rFonts w:cs="Arial"/>
                <w:sz w:val="20"/>
                <w:szCs w:val="20"/>
              </w:rPr>
              <w:t xml:space="preserve"> package.</w:t>
            </w:r>
          </w:p>
        </w:tc>
        <w:tc>
          <w:tcPr>
            <w:tcW w:w="2001" w:type="dxa"/>
            <w:tcMar>
              <w:top w:w="80" w:type="dxa"/>
              <w:left w:w="80" w:type="dxa"/>
              <w:bottom w:w="80" w:type="dxa"/>
              <w:right w:w="80" w:type="dxa"/>
            </w:tcMar>
          </w:tcPr>
          <w:p w14:paraId="762834BF" w14:textId="77777777" w:rsidR="00310244" w:rsidRPr="000F3BFA" w:rsidRDefault="00E66695" w:rsidP="00905FCD">
            <w:pPr>
              <w:spacing w:after="120"/>
              <w:jc w:val="both"/>
              <w:rPr>
                <w:rFonts w:cs="Arial"/>
                <w:sz w:val="20"/>
                <w:szCs w:val="20"/>
              </w:rPr>
            </w:pPr>
            <w:r w:rsidRPr="000F3BFA">
              <w:rPr>
                <w:rFonts w:cs="Arial"/>
                <w:sz w:val="20"/>
                <w:szCs w:val="20"/>
              </w:rPr>
              <w:t>Mixed-methods survey; 42 healthcare trainees from 13 UK HEIs.</w:t>
            </w:r>
          </w:p>
        </w:tc>
        <w:tc>
          <w:tcPr>
            <w:tcW w:w="2455" w:type="dxa"/>
            <w:tcMar>
              <w:top w:w="80" w:type="dxa"/>
              <w:left w:w="80" w:type="dxa"/>
              <w:bottom w:w="80" w:type="dxa"/>
              <w:right w:w="80" w:type="dxa"/>
            </w:tcMar>
          </w:tcPr>
          <w:p w14:paraId="7F7C7A98" w14:textId="77777777" w:rsidR="00310244" w:rsidRPr="000F3BFA" w:rsidRDefault="00E66695" w:rsidP="00905FCD">
            <w:pPr>
              <w:spacing w:after="120"/>
              <w:jc w:val="both"/>
              <w:rPr>
                <w:rFonts w:cs="Arial"/>
                <w:sz w:val="20"/>
                <w:szCs w:val="20"/>
              </w:rPr>
            </w:pPr>
            <w:r w:rsidRPr="000F3BFA">
              <w:rPr>
                <w:rFonts w:cs="Arial"/>
                <w:sz w:val="20"/>
                <w:szCs w:val="20"/>
              </w:rPr>
              <w:t>Low wellbeing and training stress were common. Digital support was valued but needed clear signposting and human connection.</w:t>
            </w:r>
          </w:p>
        </w:tc>
        <w:tc>
          <w:tcPr>
            <w:tcW w:w="2127" w:type="dxa"/>
            <w:tcMar>
              <w:top w:w="80" w:type="dxa"/>
              <w:left w:w="80" w:type="dxa"/>
              <w:bottom w:w="80" w:type="dxa"/>
              <w:right w:w="80" w:type="dxa"/>
            </w:tcMar>
          </w:tcPr>
          <w:p w14:paraId="6578191F" w14:textId="77777777" w:rsidR="00310244" w:rsidRPr="000F3BFA" w:rsidRDefault="00E66695" w:rsidP="00905FCD">
            <w:pPr>
              <w:spacing w:after="120"/>
              <w:jc w:val="both"/>
              <w:rPr>
                <w:rFonts w:cs="Arial"/>
                <w:sz w:val="20"/>
                <w:szCs w:val="20"/>
              </w:rPr>
            </w:pPr>
            <w:r w:rsidRPr="000F3BFA">
              <w:rPr>
                <w:rFonts w:cs="Arial"/>
                <w:sz w:val="20"/>
                <w:szCs w:val="20"/>
              </w:rPr>
              <w:t>Directly informs digital mental health support during remote learning.</w:t>
            </w:r>
          </w:p>
        </w:tc>
      </w:tr>
      <w:tr w:rsidR="00310244" w:rsidRPr="000F3BFA" w14:paraId="0D78A3BB" w14:textId="77777777" w:rsidTr="00645C19">
        <w:trPr>
          <w:cantSplit/>
          <w:jc w:val="center"/>
        </w:trPr>
        <w:tc>
          <w:tcPr>
            <w:tcW w:w="1677" w:type="dxa"/>
            <w:tcMar>
              <w:top w:w="80" w:type="dxa"/>
              <w:left w:w="80" w:type="dxa"/>
              <w:bottom w:w="80" w:type="dxa"/>
              <w:right w:w="80" w:type="dxa"/>
            </w:tcMar>
          </w:tcPr>
          <w:p w14:paraId="066276FC" w14:textId="77777777" w:rsidR="00310244" w:rsidRPr="000F3BFA" w:rsidRDefault="00E66695" w:rsidP="00905FCD">
            <w:pPr>
              <w:spacing w:after="120"/>
              <w:jc w:val="both"/>
              <w:rPr>
                <w:rFonts w:cs="Arial"/>
                <w:sz w:val="20"/>
                <w:szCs w:val="20"/>
              </w:rPr>
            </w:pPr>
            <w:r w:rsidRPr="000F3BFA">
              <w:rPr>
                <w:rFonts w:cs="Arial"/>
                <w:b/>
                <w:sz w:val="20"/>
                <w:szCs w:val="20"/>
              </w:rPr>
              <w:t>Dinu et al., 2022</w:t>
            </w:r>
          </w:p>
        </w:tc>
        <w:tc>
          <w:tcPr>
            <w:tcW w:w="1936" w:type="dxa"/>
            <w:tcMar>
              <w:top w:w="80" w:type="dxa"/>
              <w:left w:w="80" w:type="dxa"/>
              <w:bottom w:w="80" w:type="dxa"/>
              <w:right w:w="80" w:type="dxa"/>
            </w:tcMar>
          </w:tcPr>
          <w:p w14:paraId="0A7B43CB" w14:textId="77777777" w:rsidR="00310244" w:rsidRPr="000F3BFA" w:rsidRDefault="00E66695" w:rsidP="00905FCD">
            <w:pPr>
              <w:spacing w:after="120"/>
              <w:jc w:val="both"/>
              <w:rPr>
                <w:rFonts w:cs="Arial"/>
                <w:sz w:val="20"/>
                <w:szCs w:val="20"/>
              </w:rPr>
            </w:pPr>
            <w:r w:rsidRPr="000F3BFA">
              <w:rPr>
                <w:rFonts w:cs="Arial"/>
                <w:sz w:val="20"/>
                <w:szCs w:val="20"/>
              </w:rPr>
              <w:t>To test whether digital capability, connectedness and study conditions predicted wellbeing and loneliness.</w:t>
            </w:r>
          </w:p>
        </w:tc>
        <w:tc>
          <w:tcPr>
            <w:tcW w:w="2001" w:type="dxa"/>
            <w:tcMar>
              <w:top w:w="80" w:type="dxa"/>
              <w:left w:w="80" w:type="dxa"/>
              <w:bottom w:w="80" w:type="dxa"/>
              <w:right w:w="80" w:type="dxa"/>
            </w:tcMar>
          </w:tcPr>
          <w:p w14:paraId="35E47699" w14:textId="77777777" w:rsidR="00310244" w:rsidRPr="000F3BFA" w:rsidRDefault="00E66695" w:rsidP="00905FCD">
            <w:pPr>
              <w:spacing w:after="120"/>
              <w:jc w:val="both"/>
              <w:rPr>
                <w:rFonts w:cs="Arial"/>
                <w:sz w:val="20"/>
                <w:szCs w:val="20"/>
              </w:rPr>
            </w:pPr>
            <w:r w:rsidRPr="000F3BFA">
              <w:rPr>
                <w:rFonts w:cs="Arial"/>
                <w:sz w:val="20"/>
                <w:szCs w:val="20"/>
              </w:rPr>
              <w:t>Cross-sectional online survey; 417 students at a UK university.</w:t>
            </w:r>
          </w:p>
        </w:tc>
        <w:tc>
          <w:tcPr>
            <w:tcW w:w="2455" w:type="dxa"/>
            <w:tcMar>
              <w:top w:w="80" w:type="dxa"/>
              <w:left w:w="80" w:type="dxa"/>
              <w:bottom w:w="80" w:type="dxa"/>
              <w:right w:w="80" w:type="dxa"/>
            </w:tcMar>
          </w:tcPr>
          <w:p w14:paraId="18A699BC" w14:textId="77777777" w:rsidR="00310244" w:rsidRPr="000F3BFA" w:rsidRDefault="00E66695" w:rsidP="00905FCD">
            <w:pPr>
              <w:spacing w:after="120"/>
              <w:jc w:val="both"/>
              <w:rPr>
                <w:rFonts w:cs="Arial"/>
                <w:sz w:val="20"/>
                <w:szCs w:val="20"/>
              </w:rPr>
            </w:pPr>
            <w:r w:rsidRPr="000F3BFA">
              <w:rPr>
                <w:rFonts w:cs="Arial"/>
                <w:sz w:val="20"/>
                <w:szCs w:val="20"/>
              </w:rPr>
              <w:t>Loneliness, digital confidence, connectedness, social identity and suitable study space predicted wellbeing.</w:t>
            </w:r>
          </w:p>
        </w:tc>
        <w:tc>
          <w:tcPr>
            <w:tcW w:w="2127" w:type="dxa"/>
            <w:tcMar>
              <w:top w:w="80" w:type="dxa"/>
              <w:left w:w="80" w:type="dxa"/>
              <w:bottom w:w="80" w:type="dxa"/>
              <w:right w:w="80" w:type="dxa"/>
            </w:tcMar>
          </w:tcPr>
          <w:p w14:paraId="4A648615" w14:textId="60066ED3" w:rsidR="00310244" w:rsidRPr="000F3BFA" w:rsidRDefault="00E66695" w:rsidP="00905FCD">
            <w:pPr>
              <w:spacing w:after="120"/>
              <w:jc w:val="both"/>
              <w:rPr>
                <w:rFonts w:cs="Arial"/>
                <w:sz w:val="20"/>
                <w:szCs w:val="20"/>
              </w:rPr>
            </w:pPr>
            <w:r w:rsidRPr="000F3BFA">
              <w:rPr>
                <w:rFonts w:cs="Arial"/>
                <w:sz w:val="20"/>
                <w:szCs w:val="20"/>
              </w:rPr>
              <w:t xml:space="preserve">Directly </w:t>
            </w:r>
            <w:r w:rsidR="00455357" w:rsidRPr="000F3BFA">
              <w:rPr>
                <w:rFonts w:cs="Arial"/>
                <w:sz w:val="20"/>
                <w:szCs w:val="20"/>
              </w:rPr>
              <w:t>identify</w:t>
            </w:r>
            <w:r w:rsidRPr="000F3BFA">
              <w:rPr>
                <w:rFonts w:cs="Arial"/>
                <w:sz w:val="20"/>
                <w:szCs w:val="20"/>
              </w:rPr>
              <w:t xml:space="preserve"> digital and social conditions linked with mental health in online learning.</w:t>
            </w:r>
          </w:p>
        </w:tc>
      </w:tr>
      <w:tr w:rsidR="00310244" w:rsidRPr="000F3BFA" w14:paraId="485BE4E2" w14:textId="77777777" w:rsidTr="00645C19">
        <w:trPr>
          <w:cantSplit/>
          <w:jc w:val="center"/>
        </w:trPr>
        <w:tc>
          <w:tcPr>
            <w:tcW w:w="1677" w:type="dxa"/>
            <w:tcMar>
              <w:top w:w="80" w:type="dxa"/>
              <w:left w:w="80" w:type="dxa"/>
              <w:bottom w:w="80" w:type="dxa"/>
              <w:right w:w="80" w:type="dxa"/>
            </w:tcMar>
          </w:tcPr>
          <w:p w14:paraId="682DF713" w14:textId="77777777" w:rsidR="00310244" w:rsidRPr="000F3BFA" w:rsidRDefault="00E66695" w:rsidP="00905FCD">
            <w:pPr>
              <w:spacing w:after="120"/>
              <w:jc w:val="both"/>
              <w:rPr>
                <w:rFonts w:cs="Arial"/>
                <w:sz w:val="20"/>
                <w:szCs w:val="20"/>
              </w:rPr>
            </w:pPr>
            <w:r w:rsidRPr="000F3BFA">
              <w:rPr>
                <w:rFonts w:cs="Arial"/>
                <w:b/>
                <w:sz w:val="20"/>
                <w:szCs w:val="20"/>
              </w:rPr>
              <w:t>Brown et al., 2023</w:t>
            </w:r>
          </w:p>
        </w:tc>
        <w:tc>
          <w:tcPr>
            <w:tcW w:w="1936" w:type="dxa"/>
            <w:tcMar>
              <w:top w:w="80" w:type="dxa"/>
              <w:left w:w="80" w:type="dxa"/>
              <w:bottom w:w="80" w:type="dxa"/>
              <w:right w:w="80" w:type="dxa"/>
            </w:tcMar>
          </w:tcPr>
          <w:p w14:paraId="466C924E" w14:textId="77777777" w:rsidR="00310244" w:rsidRPr="000F3BFA" w:rsidRDefault="00E66695" w:rsidP="00905FCD">
            <w:pPr>
              <w:spacing w:after="120"/>
              <w:jc w:val="both"/>
              <w:rPr>
                <w:rFonts w:cs="Arial"/>
                <w:sz w:val="20"/>
                <w:szCs w:val="20"/>
              </w:rPr>
            </w:pPr>
            <w:r w:rsidRPr="000F3BFA">
              <w:rPr>
                <w:rFonts w:cs="Arial"/>
                <w:sz w:val="20"/>
                <w:szCs w:val="20"/>
              </w:rPr>
              <w:t>To evaluate student experience of remote digital learning and identify lessons for future practice.</w:t>
            </w:r>
          </w:p>
        </w:tc>
        <w:tc>
          <w:tcPr>
            <w:tcW w:w="2001" w:type="dxa"/>
            <w:tcMar>
              <w:top w:w="80" w:type="dxa"/>
              <w:left w:w="80" w:type="dxa"/>
              <w:bottom w:w="80" w:type="dxa"/>
              <w:right w:w="80" w:type="dxa"/>
            </w:tcMar>
          </w:tcPr>
          <w:p w14:paraId="4E35A495" w14:textId="77777777" w:rsidR="00310244" w:rsidRPr="000F3BFA" w:rsidRDefault="00E66695" w:rsidP="00905FCD">
            <w:pPr>
              <w:spacing w:after="120"/>
              <w:jc w:val="both"/>
              <w:rPr>
                <w:rFonts w:cs="Arial"/>
                <w:sz w:val="20"/>
                <w:szCs w:val="20"/>
              </w:rPr>
            </w:pPr>
            <w:r w:rsidRPr="000F3BFA">
              <w:rPr>
                <w:rFonts w:cs="Arial"/>
                <w:sz w:val="20"/>
                <w:szCs w:val="20"/>
              </w:rPr>
              <w:t>Mixed methods across Welsh HEIs; 54 students in 13 focus groups and 759 survey respondents.</w:t>
            </w:r>
          </w:p>
        </w:tc>
        <w:tc>
          <w:tcPr>
            <w:tcW w:w="2455" w:type="dxa"/>
            <w:tcMar>
              <w:top w:w="80" w:type="dxa"/>
              <w:left w:w="80" w:type="dxa"/>
              <w:bottom w:w="80" w:type="dxa"/>
              <w:right w:w="80" w:type="dxa"/>
            </w:tcMar>
          </w:tcPr>
          <w:p w14:paraId="7AF7D7B2" w14:textId="77777777" w:rsidR="00310244" w:rsidRPr="000F3BFA" w:rsidRDefault="00E66695" w:rsidP="00905FCD">
            <w:pPr>
              <w:spacing w:after="120"/>
              <w:jc w:val="both"/>
              <w:rPr>
                <w:rFonts w:cs="Arial"/>
                <w:sz w:val="20"/>
                <w:szCs w:val="20"/>
              </w:rPr>
            </w:pPr>
            <w:r w:rsidRPr="000F3BFA">
              <w:rPr>
                <w:rFonts w:cs="Arial"/>
                <w:sz w:val="20"/>
                <w:szCs w:val="20"/>
              </w:rPr>
              <w:t>Anxiety, isolation, low motivation, workload and access problems were common. Flexibility and learning at one's own pace helped many; blended learning was preferred.</w:t>
            </w:r>
          </w:p>
        </w:tc>
        <w:tc>
          <w:tcPr>
            <w:tcW w:w="2127" w:type="dxa"/>
            <w:tcMar>
              <w:top w:w="80" w:type="dxa"/>
              <w:left w:w="80" w:type="dxa"/>
              <w:bottom w:w="80" w:type="dxa"/>
              <w:right w:w="80" w:type="dxa"/>
            </w:tcMar>
          </w:tcPr>
          <w:p w14:paraId="111AB344" w14:textId="77777777" w:rsidR="00310244" w:rsidRPr="000F3BFA" w:rsidRDefault="00E66695" w:rsidP="00905FCD">
            <w:pPr>
              <w:spacing w:after="120"/>
              <w:jc w:val="both"/>
              <w:rPr>
                <w:rFonts w:cs="Arial"/>
                <w:sz w:val="20"/>
                <w:szCs w:val="20"/>
              </w:rPr>
            </w:pPr>
            <w:r w:rsidRPr="000F3BFA">
              <w:rPr>
                <w:rFonts w:cs="Arial"/>
                <w:sz w:val="20"/>
                <w:szCs w:val="20"/>
              </w:rPr>
              <w:t>The most direct UK evidence on both harmful and beneficial mental health effects of remote learning.</w:t>
            </w:r>
          </w:p>
        </w:tc>
      </w:tr>
      <w:tr w:rsidR="00310244" w:rsidRPr="000F3BFA" w14:paraId="5FFC32A2" w14:textId="77777777" w:rsidTr="00645C19">
        <w:trPr>
          <w:cantSplit/>
          <w:jc w:val="center"/>
        </w:trPr>
        <w:tc>
          <w:tcPr>
            <w:tcW w:w="1677" w:type="dxa"/>
            <w:tcMar>
              <w:top w:w="80" w:type="dxa"/>
              <w:left w:w="80" w:type="dxa"/>
              <w:bottom w:w="80" w:type="dxa"/>
              <w:right w:w="80" w:type="dxa"/>
            </w:tcMar>
          </w:tcPr>
          <w:p w14:paraId="0868A040" w14:textId="77777777" w:rsidR="00310244" w:rsidRPr="000F3BFA" w:rsidRDefault="00E66695" w:rsidP="00905FCD">
            <w:pPr>
              <w:spacing w:after="120"/>
              <w:jc w:val="both"/>
              <w:rPr>
                <w:rFonts w:cs="Arial"/>
                <w:sz w:val="20"/>
                <w:szCs w:val="20"/>
              </w:rPr>
            </w:pPr>
            <w:r w:rsidRPr="000F3BFA">
              <w:rPr>
                <w:rFonts w:cs="Arial"/>
                <w:b/>
                <w:sz w:val="20"/>
                <w:szCs w:val="20"/>
              </w:rPr>
              <w:t>Slack and Priestley, 2023</w:t>
            </w:r>
          </w:p>
        </w:tc>
        <w:tc>
          <w:tcPr>
            <w:tcW w:w="1936" w:type="dxa"/>
            <w:tcMar>
              <w:top w:w="80" w:type="dxa"/>
              <w:left w:w="80" w:type="dxa"/>
              <w:bottom w:w="80" w:type="dxa"/>
              <w:right w:w="80" w:type="dxa"/>
            </w:tcMar>
          </w:tcPr>
          <w:p w14:paraId="30D86B2D" w14:textId="77777777" w:rsidR="00310244" w:rsidRPr="000F3BFA" w:rsidRDefault="00E66695" w:rsidP="00905FCD">
            <w:pPr>
              <w:spacing w:after="120"/>
              <w:jc w:val="both"/>
              <w:rPr>
                <w:rFonts w:cs="Arial"/>
                <w:sz w:val="20"/>
                <w:szCs w:val="20"/>
              </w:rPr>
            </w:pPr>
            <w:r w:rsidRPr="000F3BFA">
              <w:rPr>
                <w:rFonts w:cs="Arial"/>
                <w:sz w:val="20"/>
                <w:szCs w:val="20"/>
              </w:rPr>
              <w:t>To explore how online learning and assessment conditions affected wellbeing.</w:t>
            </w:r>
          </w:p>
        </w:tc>
        <w:tc>
          <w:tcPr>
            <w:tcW w:w="2001" w:type="dxa"/>
            <w:tcMar>
              <w:top w:w="80" w:type="dxa"/>
              <w:left w:w="80" w:type="dxa"/>
              <w:bottom w:w="80" w:type="dxa"/>
              <w:right w:w="80" w:type="dxa"/>
            </w:tcMar>
          </w:tcPr>
          <w:p w14:paraId="79947277" w14:textId="77777777" w:rsidR="00310244" w:rsidRPr="000F3BFA" w:rsidRDefault="00E66695" w:rsidP="00905FCD">
            <w:pPr>
              <w:spacing w:after="120"/>
              <w:jc w:val="both"/>
              <w:rPr>
                <w:rFonts w:cs="Arial"/>
                <w:sz w:val="20"/>
                <w:szCs w:val="20"/>
              </w:rPr>
            </w:pPr>
            <w:r w:rsidRPr="000F3BFA">
              <w:rPr>
                <w:rFonts w:cs="Arial"/>
                <w:sz w:val="20"/>
                <w:szCs w:val="20"/>
              </w:rPr>
              <w:t>Qualitative focus groups; 100 UK undergraduates.</w:t>
            </w:r>
          </w:p>
        </w:tc>
        <w:tc>
          <w:tcPr>
            <w:tcW w:w="2455" w:type="dxa"/>
            <w:tcMar>
              <w:top w:w="80" w:type="dxa"/>
              <w:left w:w="80" w:type="dxa"/>
              <w:bottom w:w="80" w:type="dxa"/>
              <w:right w:w="80" w:type="dxa"/>
            </w:tcMar>
          </w:tcPr>
          <w:p w14:paraId="4EF82642" w14:textId="77777777" w:rsidR="00310244" w:rsidRPr="000F3BFA" w:rsidRDefault="00E66695" w:rsidP="00905FCD">
            <w:pPr>
              <w:spacing w:after="120"/>
              <w:jc w:val="both"/>
              <w:rPr>
                <w:rFonts w:cs="Arial"/>
                <w:sz w:val="20"/>
                <w:szCs w:val="20"/>
              </w:rPr>
            </w:pPr>
            <w:r w:rsidRPr="000F3BFA">
              <w:rPr>
                <w:rFonts w:cs="Arial"/>
                <w:sz w:val="20"/>
                <w:szCs w:val="20"/>
              </w:rPr>
              <w:t>Flexibility and reduced examination stress helped some. Isolation, workload, assessment design and weak communication harmed others.</w:t>
            </w:r>
          </w:p>
        </w:tc>
        <w:tc>
          <w:tcPr>
            <w:tcW w:w="2127" w:type="dxa"/>
            <w:tcMar>
              <w:top w:w="80" w:type="dxa"/>
              <w:left w:w="80" w:type="dxa"/>
              <w:bottom w:w="80" w:type="dxa"/>
              <w:right w:w="80" w:type="dxa"/>
            </w:tcMar>
          </w:tcPr>
          <w:p w14:paraId="20E08287" w14:textId="4C8A303A" w:rsidR="00310244" w:rsidRPr="000F3BFA" w:rsidRDefault="00E66695" w:rsidP="00905FCD">
            <w:pPr>
              <w:spacing w:after="120"/>
              <w:jc w:val="both"/>
              <w:rPr>
                <w:rFonts w:cs="Arial"/>
                <w:sz w:val="20"/>
                <w:szCs w:val="20"/>
              </w:rPr>
            </w:pPr>
            <w:r w:rsidRPr="000F3BFA">
              <w:rPr>
                <w:rFonts w:cs="Arial"/>
                <w:sz w:val="20"/>
                <w:szCs w:val="20"/>
              </w:rPr>
              <w:t xml:space="preserve">Directly </w:t>
            </w:r>
            <w:r w:rsidR="00455357" w:rsidRPr="000F3BFA">
              <w:rPr>
                <w:rFonts w:cs="Arial"/>
                <w:sz w:val="20"/>
                <w:szCs w:val="20"/>
              </w:rPr>
              <w:t>identify</w:t>
            </w:r>
            <w:r w:rsidRPr="000F3BFA">
              <w:rPr>
                <w:rFonts w:cs="Arial"/>
                <w:sz w:val="20"/>
                <w:szCs w:val="20"/>
              </w:rPr>
              <w:t xml:space="preserve"> learning and assessment practices that worsen or protect wellbeing.</w:t>
            </w:r>
          </w:p>
        </w:tc>
      </w:tr>
      <w:tr w:rsidR="00310244" w:rsidRPr="00965079" w14:paraId="5D696216" w14:textId="77777777" w:rsidTr="00645C19">
        <w:trPr>
          <w:cantSplit/>
          <w:jc w:val="center"/>
        </w:trPr>
        <w:tc>
          <w:tcPr>
            <w:tcW w:w="1677" w:type="dxa"/>
            <w:tcMar>
              <w:top w:w="80" w:type="dxa"/>
              <w:left w:w="80" w:type="dxa"/>
              <w:bottom w:w="80" w:type="dxa"/>
              <w:right w:w="80" w:type="dxa"/>
            </w:tcMar>
          </w:tcPr>
          <w:p w14:paraId="692F5687" w14:textId="77777777" w:rsidR="00310244" w:rsidRPr="000F3BFA" w:rsidRDefault="00E66695" w:rsidP="00905FCD">
            <w:pPr>
              <w:spacing w:after="120"/>
              <w:jc w:val="both"/>
              <w:rPr>
                <w:rFonts w:cs="Arial"/>
                <w:sz w:val="20"/>
                <w:szCs w:val="20"/>
              </w:rPr>
            </w:pPr>
            <w:r w:rsidRPr="000F3BFA">
              <w:rPr>
                <w:rFonts w:cs="Arial"/>
                <w:b/>
                <w:sz w:val="20"/>
                <w:szCs w:val="20"/>
              </w:rPr>
              <w:t>Worsley et al., 2024</w:t>
            </w:r>
          </w:p>
        </w:tc>
        <w:tc>
          <w:tcPr>
            <w:tcW w:w="1936" w:type="dxa"/>
            <w:tcMar>
              <w:top w:w="80" w:type="dxa"/>
              <w:left w:w="80" w:type="dxa"/>
              <w:bottom w:w="80" w:type="dxa"/>
              <w:right w:w="80" w:type="dxa"/>
            </w:tcMar>
          </w:tcPr>
          <w:p w14:paraId="5817658A" w14:textId="77777777" w:rsidR="00310244" w:rsidRPr="000F3BFA" w:rsidRDefault="00E66695" w:rsidP="00905FCD">
            <w:pPr>
              <w:spacing w:after="120"/>
              <w:jc w:val="both"/>
              <w:rPr>
                <w:rFonts w:cs="Arial"/>
                <w:sz w:val="20"/>
                <w:szCs w:val="20"/>
              </w:rPr>
            </w:pPr>
            <w:r w:rsidRPr="000F3BFA">
              <w:rPr>
                <w:rFonts w:cs="Arial"/>
                <w:sz w:val="20"/>
                <w:szCs w:val="20"/>
              </w:rPr>
              <w:t>To identify academic and non-academic predictors of depression and anxiety.</w:t>
            </w:r>
          </w:p>
        </w:tc>
        <w:tc>
          <w:tcPr>
            <w:tcW w:w="2001" w:type="dxa"/>
            <w:tcMar>
              <w:top w:w="80" w:type="dxa"/>
              <w:left w:w="80" w:type="dxa"/>
              <w:bottom w:w="80" w:type="dxa"/>
              <w:right w:w="80" w:type="dxa"/>
            </w:tcMar>
          </w:tcPr>
          <w:p w14:paraId="149F3993" w14:textId="12ADCB79" w:rsidR="00310244" w:rsidRPr="000F3BFA" w:rsidRDefault="00E66695" w:rsidP="00905FCD">
            <w:pPr>
              <w:spacing w:after="120"/>
              <w:jc w:val="both"/>
              <w:rPr>
                <w:rFonts w:cs="Arial"/>
                <w:sz w:val="20"/>
                <w:szCs w:val="20"/>
              </w:rPr>
            </w:pPr>
            <w:r w:rsidRPr="000F3BFA">
              <w:rPr>
                <w:rFonts w:cs="Arial"/>
                <w:sz w:val="20"/>
                <w:szCs w:val="20"/>
              </w:rPr>
              <w:t xml:space="preserve">Cross-sectional survey; 3,817 UK </w:t>
            </w:r>
            <w:r w:rsidR="00455357" w:rsidRPr="000F3BFA">
              <w:rPr>
                <w:rFonts w:cs="Arial"/>
                <w:sz w:val="20"/>
                <w:szCs w:val="20"/>
              </w:rPr>
              <w:t>University</w:t>
            </w:r>
            <w:r w:rsidRPr="000F3BFA">
              <w:rPr>
                <w:rFonts w:cs="Arial"/>
                <w:sz w:val="20"/>
                <w:szCs w:val="20"/>
              </w:rPr>
              <w:t xml:space="preserve"> students.</w:t>
            </w:r>
          </w:p>
        </w:tc>
        <w:tc>
          <w:tcPr>
            <w:tcW w:w="2455" w:type="dxa"/>
            <w:tcMar>
              <w:top w:w="80" w:type="dxa"/>
              <w:left w:w="80" w:type="dxa"/>
              <w:bottom w:w="80" w:type="dxa"/>
              <w:right w:w="80" w:type="dxa"/>
            </w:tcMar>
          </w:tcPr>
          <w:p w14:paraId="3B707918" w14:textId="7ADA0E9C" w:rsidR="00310244" w:rsidRPr="000F3BFA" w:rsidRDefault="00E66695" w:rsidP="00905FCD">
            <w:pPr>
              <w:spacing w:after="120"/>
              <w:jc w:val="both"/>
              <w:rPr>
                <w:rFonts w:cs="Arial"/>
                <w:sz w:val="20"/>
                <w:szCs w:val="20"/>
              </w:rPr>
            </w:pPr>
            <w:r w:rsidRPr="000F3BFA">
              <w:rPr>
                <w:rFonts w:cs="Arial"/>
                <w:sz w:val="20"/>
                <w:szCs w:val="20"/>
              </w:rPr>
              <w:t xml:space="preserve">Academic stress, social isolation, uncertainty and negative views of remote teaching predicted distress. University identification was protective </w:t>
            </w:r>
            <w:r w:rsidR="00455357" w:rsidRPr="000F3BFA">
              <w:rPr>
                <w:rFonts w:cs="Arial"/>
                <w:sz w:val="20"/>
                <w:szCs w:val="20"/>
              </w:rPr>
              <w:t>of</w:t>
            </w:r>
            <w:r w:rsidRPr="000F3BFA">
              <w:rPr>
                <w:rFonts w:cs="Arial"/>
                <w:sz w:val="20"/>
                <w:szCs w:val="20"/>
              </w:rPr>
              <w:t xml:space="preserve"> depression.</w:t>
            </w:r>
          </w:p>
        </w:tc>
        <w:tc>
          <w:tcPr>
            <w:tcW w:w="2127" w:type="dxa"/>
            <w:tcMar>
              <w:top w:w="80" w:type="dxa"/>
              <w:left w:w="80" w:type="dxa"/>
              <w:bottom w:w="80" w:type="dxa"/>
              <w:right w:w="80" w:type="dxa"/>
            </w:tcMar>
          </w:tcPr>
          <w:p w14:paraId="64E26C80" w14:textId="77777777" w:rsidR="00310244" w:rsidRPr="000F3BFA" w:rsidRDefault="00E66695" w:rsidP="00905FCD">
            <w:pPr>
              <w:spacing w:after="120"/>
              <w:jc w:val="both"/>
              <w:rPr>
                <w:rFonts w:cs="Arial"/>
                <w:sz w:val="20"/>
                <w:szCs w:val="20"/>
              </w:rPr>
            </w:pPr>
            <w:r w:rsidRPr="000F3BFA">
              <w:rPr>
                <w:rFonts w:cs="Arial"/>
                <w:sz w:val="20"/>
                <w:szCs w:val="20"/>
              </w:rPr>
              <w:t>Directly estimates how remote-teaching attitudes and academic factors relate to mental health.</w:t>
            </w:r>
          </w:p>
        </w:tc>
      </w:tr>
    </w:tbl>
    <w:p w14:paraId="2EE4BBF0" w14:textId="77777777" w:rsidR="00905FCD" w:rsidRDefault="00905FCD" w:rsidP="00965079">
      <w:pPr>
        <w:spacing w:before="120" w:after="120" w:line="360" w:lineRule="auto"/>
        <w:jc w:val="both"/>
        <w:rPr>
          <w:rFonts w:cs="Arial"/>
          <w:b/>
          <w:color w:val="17365D"/>
        </w:rPr>
      </w:pPr>
    </w:p>
    <w:p w14:paraId="180AA6C7" w14:textId="77777777" w:rsidR="00905FCD" w:rsidRDefault="00176566" w:rsidP="00176566">
      <w:pPr>
        <w:rPr>
          <w:rFonts w:cs="Arial"/>
          <w:b/>
          <w:color w:val="17365D"/>
        </w:rPr>
      </w:pPr>
      <w:r>
        <w:rPr>
          <w:rFonts w:cs="Arial"/>
          <w:b/>
          <w:color w:val="17365D"/>
        </w:rPr>
        <w:br w:type="page"/>
      </w:r>
    </w:p>
    <w:p w14:paraId="6BACE9CC" w14:textId="77777777" w:rsidR="00905FCD" w:rsidRDefault="00905FCD" w:rsidP="00965079">
      <w:pPr>
        <w:spacing w:before="120" w:after="120" w:line="360" w:lineRule="auto"/>
        <w:jc w:val="both"/>
        <w:rPr>
          <w:rFonts w:cs="Arial"/>
          <w:b/>
          <w:color w:val="17365D"/>
        </w:rPr>
      </w:pPr>
    </w:p>
    <w:p w14:paraId="63921837" w14:textId="77777777" w:rsidR="00310244" w:rsidRPr="00965079" w:rsidRDefault="00310244" w:rsidP="00965079">
      <w:pPr>
        <w:spacing w:before="120" w:after="120" w:line="360" w:lineRule="auto"/>
        <w:jc w:val="both"/>
        <w:rPr>
          <w:rFonts w:cs="Arial"/>
        </w:rPr>
        <w:sectPr w:rsidR="00310244" w:rsidRPr="00965079" w:rsidSect="00DA0146">
          <w:type w:val="continuous"/>
          <w:pgSz w:w="11906" w:h="16838" w:code="9"/>
          <w:pgMar w:top="680" w:right="850" w:bottom="680" w:left="850" w:header="720" w:footer="720" w:gutter="0"/>
          <w:cols w:space="720"/>
          <w:docGrid w:linePitch="360"/>
        </w:sectPr>
      </w:pPr>
    </w:p>
    <w:p w14:paraId="76B7DF67" w14:textId="77777777" w:rsidR="00310244" w:rsidRPr="00965079" w:rsidRDefault="00E66695" w:rsidP="00296631">
      <w:pPr>
        <w:pStyle w:val="Heading1"/>
      </w:pPr>
      <w:bookmarkStart w:id="17" w:name="_Toc235032289"/>
      <w:r w:rsidRPr="00965079">
        <w:t>5. Discussion</w:t>
      </w:r>
      <w:bookmarkEnd w:id="17"/>
    </w:p>
    <w:p w14:paraId="07026211" w14:textId="77777777" w:rsidR="00EC4504" w:rsidRPr="00965079" w:rsidRDefault="00694866" w:rsidP="00965079">
      <w:pPr>
        <w:pStyle w:val="Heading2"/>
        <w:spacing w:before="120" w:after="120" w:line="360" w:lineRule="auto"/>
        <w:rPr>
          <w:rFonts w:cs="Arial"/>
        </w:rPr>
      </w:pPr>
      <w:bookmarkStart w:id="18" w:name="_Toc235032290"/>
      <w:r w:rsidRPr="00965079">
        <w:rPr>
          <w:rFonts w:cs="Arial"/>
        </w:rPr>
        <w:t xml:space="preserve">5.1 </w:t>
      </w:r>
      <w:r w:rsidR="00EC4504" w:rsidRPr="00965079">
        <w:rPr>
          <w:rFonts w:cs="Arial"/>
        </w:rPr>
        <w:t>Findings in Relation to Research Objectives</w:t>
      </w:r>
      <w:bookmarkEnd w:id="18"/>
    </w:p>
    <w:p w14:paraId="0178CC2B" w14:textId="77777777" w:rsidR="00310244" w:rsidRPr="00965079" w:rsidRDefault="00E66695" w:rsidP="00965079">
      <w:pPr>
        <w:pStyle w:val="BodyText"/>
        <w:spacing w:before="120"/>
        <w:ind w:firstLine="425"/>
        <w:jc w:val="both"/>
        <w:rPr>
          <w:rFonts w:cs="Arial"/>
        </w:rPr>
      </w:pPr>
      <w:r w:rsidRPr="00965079">
        <w:rPr>
          <w:rFonts w:cs="Arial"/>
        </w:rPr>
        <w:t>The first objective was to identify the main mental health effects. The review found a repeated pattern of anxiety, depression, stress, low mood, sleep difficulty, loneliness and reduced wellbeing. Longitudinal studies strengthen this conclusion because they show change or different trajectories over time. Evans et al. (2021), Allen, Kannangara and Carson (2023) and Paton et al. (2023) all found that a meaningful group remained distressed. However, the pattern was not universal. Some students remained stable or improved. This is important because averages can hide groups with very different needs.</w:t>
      </w:r>
    </w:p>
    <w:p w14:paraId="123D449F" w14:textId="77777777" w:rsidR="00214853" w:rsidRPr="00965079" w:rsidRDefault="00E66695" w:rsidP="00965079">
      <w:pPr>
        <w:pStyle w:val="BodyText"/>
        <w:spacing w:before="120"/>
        <w:ind w:firstLine="425"/>
        <w:jc w:val="both"/>
        <w:rPr>
          <w:rFonts w:cs="Arial"/>
        </w:rPr>
      </w:pPr>
      <w:r w:rsidRPr="00965079">
        <w:rPr>
          <w:rFonts w:cs="Arial"/>
        </w:rPr>
        <w:t xml:space="preserve">The second objective was to examine risk and protective factors. The clearest risk pathway was loss of social and academic connection. </w:t>
      </w:r>
      <w:r w:rsidR="00214853" w:rsidRPr="00965079">
        <w:rPr>
          <w:rFonts w:cs="Arial"/>
        </w:rPr>
        <w:t>Informal communication before/after class was decreased with remote learning. It also diluted lectures, peer and campus identity. This trend was evident in the surveys and qualitative research. Academic uncertainty, workload, online assessment, lack of practical lessons, and lack of digital access all contributed to increased strain. Financial insecurity, low income, disability, international status, ethnicity, caring roles and previous mental health problems may have a negative impact on exposure and/or access to support.</w:t>
      </w:r>
    </w:p>
    <w:p w14:paraId="537E47AD" w14:textId="77777777" w:rsidR="00310244" w:rsidRPr="00965079" w:rsidRDefault="00214853" w:rsidP="00965079">
      <w:pPr>
        <w:pStyle w:val="BodyText"/>
        <w:spacing w:before="120"/>
        <w:ind w:firstLine="425"/>
        <w:jc w:val="both"/>
        <w:rPr>
          <w:rFonts w:cs="Arial"/>
        </w:rPr>
      </w:pPr>
      <w:r w:rsidRPr="00965079">
        <w:rPr>
          <w:rFonts w:cs="Arial"/>
        </w:rPr>
        <w:t>Protective factors worked at personal, social and institutional levels. Personal factors were routine, activity, technology competence and confidence. Social factors encompassed family contact and peer support and a sense of belonging. The following institutional aspects were identified: clear communication, flexible teaching, recorded teaching, platforms and visible wellbeing services. The results do not justify the responsibility of the learner solely to develop resilience. Many conditions that affect workload and contact, access and help-seeking are subject to control by universities</w:t>
      </w:r>
      <w:r w:rsidR="00E66695" w:rsidRPr="00965079">
        <w:rPr>
          <w:rFonts w:cs="Arial"/>
        </w:rPr>
        <w:t>.</w:t>
      </w:r>
    </w:p>
    <w:p w14:paraId="2E909ADE" w14:textId="16B16336" w:rsidR="00440A28" w:rsidRPr="00965079" w:rsidRDefault="00E66695" w:rsidP="00965079">
      <w:pPr>
        <w:pStyle w:val="BodyText"/>
        <w:spacing w:before="120"/>
        <w:ind w:firstLine="425"/>
        <w:jc w:val="both"/>
        <w:rPr>
          <w:rFonts w:cs="Arial"/>
        </w:rPr>
      </w:pPr>
      <w:r w:rsidRPr="00965079">
        <w:rPr>
          <w:rFonts w:cs="Arial"/>
        </w:rPr>
        <w:t xml:space="preserve">The third objective concerned services and digital learning practice. The evidence supports blended provision. </w:t>
      </w:r>
      <w:r w:rsidR="00440A28" w:rsidRPr="00965079">
        <w:rPr>
          <w:rFonts w:cs="Arial"/>
        </w:rPr>
        <w:t xml:space="preserve">Complete remote learning might be helpful when a disruption happens and could enhance flexible access for those students who need it. It can also decrease </w:t>
      </w:r>
      <w:r w:rsidR="00515C09" w:rsidRPr="00965079">
        <w:rPr>
          <w:rFonts w:cs="Arial"/>
        </w:rPr>
        <w:t>travel</w:t>
      </w:r>
      <w:r w:rsidR="00440A28" w:rsidRPr="00965079">
        <w:rPr>
          <w:rFonts w:cs="Arial"/>
        </w:rPr>
        <w:t xml:space="preserve"> and recorded review. But students require time for scheduled live contact, meaningful interaction and access to campus and/or local study space. Safe methods are required to ensure the security of placements, laboratories and skills </w:t>
      </w:r>
      <w:r w:rsidR="00455357" w:rsidRPr="00965079">
        <w:rPr>
          <w:rFonts w:cs="Arial"/>
        </w:rPr>
        <w:t>teaching</w:t>
      </w:r>
      <w:r w:rsidR="00440A28" w:rsidRPr="00965079">
        <w:rPr>
          <w:rFonts w:cs="Arial"/>
        </w:rPr>
        <w:t xml:space="preserve"> practical </w:t>
      </w:r>
      <w:r w:rsidR="00455357" w:rsidRPr="00965079">
        <w:rPr>
          <w:rFonts w:cs="Arial"/>
        </w:rPr>
        <w:t>programmers</w:t>
      </w:r>
      <w:r w:rsidR="00440A28" w:rsidRPr="00965079">
        <w:rPr>
          <w:rFonts w:cs="Arial"/>
        </w:rPr>
        <w:t xml:space="preserve">. Digital teaching should not be simply translated from a classroom to a video </w:t>
      </w:r>
      <w:r w:rsidR="00455357" w:rsidRPr="00965079">
        <w:rPr>
          <w:rFonts w:cs="Arial"/>
        </w:rPr>
        <w:t>platform but</w:t>
      </w:r>
      <w:r w:rsidR="00440A28" w:rsidRPr="00965079">
        <w:rPr>
          <w:rFonts w:cs="Arial"/>
        </w:rPr>
        <w:t xml:space="preserve"> should be designed.</w:t>
      </w:r>
    </w:p>
    <w:p w14:paraId="7C91FEBA" w14:textId="01877842" w:rsidR="00310244" w:rsidRPr="00965079" w:rsidRDefault="00440A28" w:rsidP="00965079">
      <w:pPr>
        <w:pStyle w:val="BodyText"/>
        <w:spacing w:before="120"/>
        <w:ind w:firstLine="425"/>
        <w:jc w:val="both"/>
        <w:rPr>
          <w:rFonts w:cs="Arial"/>
        </w:rPr>
      </w:pPr>
      <w:r w:rsidRPr="00965079">
        <w:rPr>
          <w:rFonts w:cs="Arial"/>
        </w:rPr>
        <w:t xml:space="preserve">Also, digital mental health interventions should be of a blended nature. Online support is private, convenient and less time- and place-bound, as demonstrated by Blake et al. (2021) and Barnwell and Patton (2025). However, self-guided packages can be challenging if a </w:t>
      </w:r>
      <w:r w:rsidRPr="00965079">
        <w:rPr>
          <w:rFonts w:cs="Arial"/>
        </w:rPr>
        <w:lastRenderedPageBreak/>
        <w:t xml:space="preserve">student has enough to deal with already. A </w:t>
      </w:r>
      <w:r w:rsidR="00455357" w:rsidRPr="00965079">
        <w:rPr>
          <w:rFonts w:cs="Arial"/>
        </w:rPr>
        <w:t>step</w:t>
      </w:r>
      <w:r w:rsidRPr="00965079">
        <w:rPr>
          <w:rFonts w:cs="Arial"/>
        </w:rPr>
        <w:t xml:space="preserve"> scheme is more appropriate. Low intensity digital resources can be provided first, with clear pathways to refer to a tutor, wellbeing adviser, counsellor or health service. Human care should not be substituted by digital tools to delay</w:t>
      </w:r>
      <w:r w:rsidR="00E66695" w:rsidRPr="00965079">
        <w:rPr>
          <w:rFonts w:cs="Arial"/>
        </w:rPr>
        <w:t>.</w:t>
      </w:r>
    </w:p>
    <w:p w14:paraId="07E61BBC" w14:textId="77777777" w:rsidR="00EC4504" w:rsidRPr="00965079" w:rsidRDefault="00694866" w:rsidP="00965079">
      <w:pPr>
        <w:pStyle w:val="Heading2"/>
        <w:spacing w:before="120" w:after="120" w:line="360" w:lineRule="auto"/>
        <w:rPr>
          <w:rFonts w:cs="Arial"/>
        </w:rPr>
      </w:pPr>
      <w:bookmarkStart w:id="19" w:name="_Toc235032291"/>
      <w:r w:rsidRPr="00965079">
        <w:rPr>
          <w:rFonts w:cs="Arial"/>
        </w:rPr>
        <w:t xml:space="preserve">5.2 </w:t>
      </w:r>
      <w:r w:rsidR="00EC4504" w:rsidRPr="00965079">
        <w:rPr>
          <w:rFonts w:cs="Arial"/>
        </w:rPr>
        <w:t>Patterns</w:t>
      </w:r>
      <w:bookmarkEnd w:id="19"/>
      <w:r w:rsidR="00EC4504" w:rsidRPr="00965079">
        <w:rPr>
          <w:rFonts w:cs="Arial"/>
        </w:rPr>
        <w:t xml:space="preserve"> </w:t>
      </w:r>
    </w:p>
    <w:p w14:paraId="21C2C002" w14:textId="77777777" w:rsidR="00C63B98" w:rsidRPr="00965079" w:rsidRDefault="00E66695" w:rsidP="00965079">
      <w:pPr>
        <w:pStyle w:val="BodyText"/>
        <w:spacing w:before="120"/>
        <w:ind w:firstLine="425"/>
        <w:jc w:val="both"/>
        <w:rPr>
          <w:rFonts w:cs="Arial"/>
        </w:rPr>
      </w:pPr>
      <w:r w:rsidRPr="00965079">
        <w:rPr>
          <w:rFonts w:cs="Arial"/>
        </w:rPr>
        <w:t xml:space="preserve">There were several patterns and contradictions. </w:t>
      </w:r>
      <w:r w:rsidR="00C63B98" w:rsidRPr="00965079">
        <w:rPr>
          <w:rFonts w:cs="Arial"/>
        </w:rPr>
        <w:t>The majority of studies indicated harm, while flexibility was consistently appreciated. This is not a true contradiction. What can benefit one student can hurt another. Content that is recorded can be beneficial to a student with a health condition but can also diminish live contact. What is safe at home for one person can be unsafe, crowded or lonely for another. So there has to be choice, however, that's backed up by some minimum standards for interaction, access and workload.</w:t>
      </w:r>
    </w:p>
    <w:p w14:paraId="474CD5DB" w14:textId="77777777" w:rsidR="00C63B98" w:rsidRPr="00965079" w:rsidRDefault="00C63B98" w:rsidP="00965079">
      <w:pPr>
        <w:pStyle w:val="Heading2"/>
        <w:spacing w:before="120" w:after="120" w:line="360" w:lineRule="auto"/>
        <w:rPr>
          <w:rFonts w:cs="Arial"/>
        </w:rPr>
      </w:pPr>
      <w:bookmarkStart w:id="20" w:name="_Toc235032292"/>
      <w:r w:rsidRPr="00965079">
        <w:rPr>
          <w:rFonts w:cs="Arial"/>
        </w:rPr>
        <w:t>5.3 Strengths and weaknesses of the reviewed studies</w:t>
      </w:r>
      <w:bookmarkEnd w:id="20"/>
    </w:p>
    <w:p w14:paraId="69B5172F" w14:textId="77777777" w:rsidR="00C63B98" w:rsidRPr="00965079" w:rsidRDefault="00C63B98" w:rsidP="00965079">
      <w:pPr>
        <w:pStyle w:val="BodyText"/>
        <w:spacing w:before="120"/>
        <w:ind w:firstLine="425"/>
        <w:jc w:val="both"/>
        <w:rPr>
          <w:rFonts w:cs="Arial"/>
        </w:rPr>
      </w:pPr>
      <w:r w:rsidRPr="00965079">
        <w:rPr>
          <w:rFonts w:cs="Arial"/>
        </w:rPr>
        <w:t>There are strengths in the evidence base. Large samples were used in a number of studies in the United Kingdom. Bennett et al. (2022), Paton et al. (2023) and Worsley et al. (2024) offer good statistical content. Evans et al. (2021), Tang et al. (2022), Allen, Kannangara and Carson (2023), Paton et al. (2023) and Horner et al. (2026) add time-based evidence. Qualitative studies describe the reasons for student feelings of isolation and overwhelm. A mixed method study by Brown et al. (2023) connects with the lived experiences and the patterns at large. International, black, medical, healthcare and low-income students also enhance difference understanding.</w:t>
      </w:r>
    </w:p>
    <w:p w14:paraId="6347641A" w14:textId="57E19A44" w:rsidR="00C63B98" w:rsidRPr="00965079" w:rsidRDefault="00C63B98" w:rsidP="00965079">
      <w:pPr>
        <w:pStyle w:val="BodyText"/>
        <w:spacing w:before="120"/>
        <w:ind w:firstLine="425"/>
        <w:jc w:val="both"/>
        <w:rPr>
          <w:rFonts w:cs="Arial"/>
        </w:rPr>
      </w:pPr>
      <w:r w:rsidRPr="00965079">
        <w:rPr>
          <w:rFonts w:cs="Arial"/>
        </w:rPr>
        <w:t xml:space="preserve">The evidence also has its limitations. Self-report measures and convenience samples were used in most of the studies. There were a lot of people from the same university. Women were often over-represented. There was high attrition in some of the longitudinal studies. The stuff of pandemics is all intertwined, making it difficult to </w:t>
      </w:r>
      <w:r w:rsidR="00D53435" w:rsidRPr="00965079">
        <w:rPr>
          <w:rFonts w:cs="Arial"/>
        </w:rPr>
        <w:t>distinguish between</w:t>
      </w:r>
      <w:r w:rsidRPr="00965079">
        <w:rPr>
          <w:rFonts w:cs="Arial"/>
        </w:rPr>
        <w:t xml:space="preserve"> infection worries, restrictions, financial strains, and remote learning. There were limited studies that directly contrasted well-designed remote/hybrid and face-to-face learning following restrictions. There was limited evidence from Scotland and Northern Ireland. Disabled, mature and postgraduate students and commuters were not always listed separately. One secondary review was included and as such may contain common primary studies as other evidence. These ceilings result in very good </w:t>
      </w:r>
      <w:r w:rsidR="002D5EA2" w:rsidRPr="00965079">
        <w:rPr>
          <w:rFonts w:cs="Arial"/>
        </w:rPr>
        <w:t>patterns</w:t>
      </w:r>
      <w:r w:rsidRPr="00965079">
        <w:rPr>
          <w:rFonts w:cs="Arial"/>
        </w:rPr>
        <w:t xml:space="preserve"> and service needs being indicated but not a precise causal effect size for remote learning alone.</w:t>
      </w:r>
    </w:p>
    <w:p w14:paraId="44D82737" w14:textId="77777777" w:rsidR="00C63B98" w:rsidRPr="00965079" w:rsidRDefault="00C63B98" w:rsidP="00965079">
      <w:pPr>
        <w:pStyle w:val="Heading2"/>
        <w:spacing w:before="120" w:after="120" w:line="360" w:lineRule="auto"/>
        <w:rPr>
          <w:rFonts w:cs="Arial"/>
        </w:rPr>
      </w:pPr>
      <w:bookmarkStart w:id="21" w:name="_Toc235032293"/>
      <w:r w:rsidRPr="00965079">
        <w:rPr>
          <w:rFonts w:cs="Arial"/>
        </w:rPr>
        <w:t>5.3 Gaps</w:t>
      </w:r>
      <w:bookmarkEnd w:id="21"/>
    </w:p>
    <w:p w14:paraId="336546CB" w14:textId="77777777" w:rsidR="0012550E" w:rsidRDefault="00DC34E2" w:rsidP="00965079">
      <w:pPr>
        <w:pStyle w:val="BodyText"/>
        <w:spacing w:before="120"/>
        <w:ind w:firstLine="425"/>
        <w:jc w:val="both"/>
        <w:rPr>
          <w:rFonts w:cs="Arial"/>
        </w:rPr>
      </w:pPr>
      <w:r w:rsidRPr="00965079">
        <w:rPr>
          <w:rFonts w:cs="Arial"/>
        </w:rPr>
        <w:t>An important gap is the post-pandemic period</w:t>
      </w:r>
      <w:r w:rsidR="00C63B98" w:rsidRPr="00965079">
        <w:rPr>
          <w:rFonts w:cs="Arial"/>
        </w:rPr>
        <w:t xml:space="preserve">. The majority of papers came out in 2021-2023 with emergency data used. Later insight is provided by Barnwell and Patton (2025) and Horner et al. (2026), but more current research is required. Further research should be </w:t>
      </w:r>
      <w:r w:rsidR="00C63B98" w:rsidRPr="00965079">
        <w:rPr>
          <w:rFonts w:cs="Arial"/>
        </w:rPr>
        <w:lastRenderedPageBreak/>
        <w:t>undertaken to compare planned digital, blended and campus models in a number of UK Universities. They should also provide results by income, ethnicity, disability, international status, course type and prior mental health. They should also track service use, retention and academic outcomes over time</w:t>
      </w:r>
      <w:r w:rsidR="00E66695" w:rsidRPr="00965079">
        <w:rPr>
          <w:rFonts w:cs="Arial"/>
        </w:rPr>
        <w:t>.</w:t>
      </w:r>
    </w:p>
    <w:p w14:paraId="4F599D1B" w14:textId="77777777" w:rsidR="00310244" w:rsidRPr="00965079" w:rsidRDefault="0012550E" w:rsidP="0012550E">
      <w:pPr>
        <w:rPr>
          <w:rFonts w:cs="Arial"/>
        </w:rPr>
      </w:pPr>
      <w:r>
        <w:rPr>
          <w:rFonts w:cs="Arial"/>
        </w:rPr>
        <w:br w:type="page"/>
      </w:r>
    </w:p>
    <w:p w14:paraId="3BECF9F6" w14:textId="77777777" w:rsidR="00310244" w:rsidRPr="00965079" w:rsidRDefault="00E66695" w:rsidP="00296631">
      <w:pPr>
        <w:pStyle w:val="Heading1"/>
      </w:pPr>
      <w:bookmarkStart w:id="22" w:name="_Toc235032294"/>
      <w:r w:rsidRPr="00965079">
        <w:lastRenderedPageBreak/>
        <w:t>6. Conclusion and recommendations</w:t>
      </w:r>
      <w:bookmarkEnd w:id="22"/>
    </w:p>
    <w:p w14:paraId="0D3E3474" w14:textId="77777777" w:rsidR="00310244" w:rsidRPr="00965079" w:rsidRDefault="00741740" w:rsidP="00965079">
      <w:pPr>
        <w:pStyle w:val="Heading2"/>
        <w:spacing w:before="120" w:after="120" w:line="360" w:lineRule="auto"/>
        <w:jc w:val="both"/>
        <w:rPr>
          <w:rFonts w:cs="Arial"/>
        </w:rPr>
      </w:pPr>
      <w:bookmarkStart w:id="23" w:name="_Toc235032295"/>
      <w:r w:rsidRPr="00965079">
        <w:rPr>
          <w:rFonts w:cs="Arial"/>
        </w:rPr>
        <w:t xml:space="preserve">6.1 </w:t>
      </w:r>
      <w:r w:rsidR="00E66695" w:rsidRPr="00965079">
        <w:rPr>
          <w:rFonts w:cs="Arial"/>
        </w:rPr>
        <w:t>Conclusion</w:t>
      </w:r>
      <w:bookmarkEnd w:id="23"/>
    </w:p>
    <w:p w14:paraId="266EF0B4" w14:textId="3A8E10B8" w:rsidR="00310244" w:rsidRPr="00965079" w:rsidRDefault="00E66695" w:rsidP="00965079">
      <w:pPr>
        <w:pStyle w:val="BodyText"/>
        <w:spacing w:before="120"/>
        <w:ind w:firstLine="425"/>
        <w:jc w:val="both"/>
        <w:rPr>
          <w:rFonts w:cs="Arial"/>
        </w:rPr>
      </w:pPr>
      <w:r w:rsidRPr="00965079">
        <w:rPr>
          <w:rFonts w:cs="Arial"/>
        </w:rPr>
        <w:t xml:space="preserve">This scoping review found that remote learning was commonly linked with poorer mental health among UK </w:t>
      </w:r>
      <w:r w:rsidR="00986262" w:rsidRPr="00965079">
        <w:rPr>
          <w:rFonts w:cs="Arial"/>
        </w:rPr>
        <w:t>University</w:t>
      </w:r>
      <w:r w:rsidRPr="00965079">
        <w:rPr>
          <w:rFonts w:cs="Arial"/>
        </w:rPr>
        <w:t xml:space="preserve"> students. The main outcomes were anxiety, depression, stress, low wellbeing, loneliness, sleep problems and reduced motivation. The strongest pathways were social isolation, weak belonging, academic uncertainty, workload, poor digital access and loss of practical learning. The impact was greater for some students because of financial pressure, low income, caring duties, international status, ethnicity, disability or previous mental health problems.</w:t>
      </w:r>
    </w:p>
    <w:p w14:paraId="0914E377" w14:textId="77777777" w:rsidR="00310244" w:rsidRPr="00965079" w:rsidRDefault="00E66695" w:rsidP="00965079">
      <w:pPr>
        <w:pStyle w:val="BodyText"/>
        <w:spacing w:before="120"/>
        <w:ind w:firstLine="425"/>
        <w:jc w:val="both"/>
        <w:rPr>
          <w:rFonts w:cs="Arial"/>
        </w:rPr>
      </w:pPr>
      <w:r w:rsidRPr="00965079">
        <w:rPr>
          <w:rFonts w:cs="Arial"/>
        </w:rPr>
        <w:t>Remote learning was not wholly negative. Flexibility, recordings, reduced travel and control over pace helped some students. Social support, routine, physical activity, digital confidence and clear university communication were protective. The best response is therefore not a complete return to one format. It is a supported and inclusive blended model.</w:t>
      </w:r>
    </w:p>
    <w:p w14:paraId="0166F6F2" w14:textId="77777777" w:rsidR="00310244" w:rsidRPr="00965079" w:rsidRDefault="00741740" w:rsidP="00965079">
      <w:pPr>
        <w:pStyle w:val="Heading2"/>
        <w:spacing w:before="120" w:after="120" w:line="360" w:lineRule="auto"/>
        <w:jc w:val="both"/>
        <w:rPr>
          <w:rFonts w:cs="Arial"/>
        </w:rPr>
      </w:pPr>
      <w:bookmarkStart w:id="24" w:name="_Toc235032296"/>
      <w:r w:rsidRPr="00965079">
        <w:rPr>
          <w:rFonts w:cs="Arial"/>
        </w:rPr>
        <w:t xml:space="preserve">6.2 </w:t>
      </w:r>
      <w:r w:rsidR="00E66695" w:rsidRPr="00965079">
        <w:rPr>
          <w:rFonts w:cs="Arial"/>
        </w:rPr>
        <w:t>Recommendations</w:t>
      </w:r>
      <w:bookmarkEnd w:id="24"/>
    </w:p>
    <w:p w14:paraId="661C438E" w14:textId="77777777" w:rsidR="009E1057" w:rsidRDefault="000D40D5" w:rsidP="00965079">
      <w:pPr>
        <w:spacing w:before="120" w:after="120" w:line="360" w:lineRule="auto"/>
        <w:ind w:firstLine="720"/>
        <w:jc w:val="both"/>
        <w:rPr>
          <w:rFonts w:cs="Arial"/>
        </w:rPr>
      </w:pPr>
      <w:r w:rsidRPr="00965079">
        <w:rPr>
          <w:rFonts w:cs="Arial"/>
        </w:rPr>
        <w:t>Universities should use blended learning as the normal approach where it suits the course, while keeping live interaction and campus contact available</w:t>
      </w:r>
      <w:r w:rsidR="00694D3C" w:rsidRPr="00965079">
        <w:rPr>
          <w:rFonts w:cs="Arial"/>
        </w:rPr>
        <w:t>. Timetables, realistic workload and consistent instructions for assessment should be provided by teaching teams. Recorded materials should complement, but not supplant, active teaching. There should also be device loans, internet support, accessible online platforms and quiet study areas at universities, and the device skills support should be readily available. Peer groups can help students connect through small group sizes, tutor check-ins and interactions. If there are early indications of disengagement, supportive contact not punishment should occur. Digital mental health services should be integrated as a tier in a stepped-care framework and provide easy and prompt referral to people health and support. Support services should also be tailored towards students from higher risk groups. Future research should involve multi-university, longitudinal and comparative studies and should focus on planned post-pandemic remote and hybrid learning.</w:t>
      </w:r>
    </w:p>
    <w:p w14:paraId="65588DC7" w14:textId="77777777" w:rsidR="00310244" w:rsidRPr="00965079" w:rsidRDefault="009E1057" w:rsidP="009E1057">
      <w:pPr>
        <w:rPr>
          <w:rFonts w:cs="Arial"/>
        </w:rPr>
      </w:pPr>
      <w:r>
        <w:rPr>
          <w:rFonts w:cs="Arial"/>
        </w:rPr>
        <w:br w:type="page"/>
      </w:r>
    </w:p>
    <w:p w14:paraId="114405E1" w14:textId="77777777" w:rsidR="00310244" w:rsidRPr="00965079" w:rsidRDefault="00E66695" w:rsidP="00296631">
      <w:pPr>
        <w:pStyle w:val="Heading1"/>
      </w:pPr>
      <w:bookmarkStart w:id="25" w:name="_Toc235032297"/>
      <w:r w:rsidRPr="00965079">
        <w:lastRenderedPageBreak/>
        <w:t>References</w:t>
      </w:r>
      <w:bookmarkEnd w:id="25"/>
    </w:p>
    <w:p w14:paraId="79A24281" w14:textId="77777777" w:rsidR="00310244" w:rsidRPr="00965079" w:rsidRDefault="00E66695" w:rsidP="00965079">
      <w:pPr>
        <w:pStyle w:val="BodyText"/>
        <w:spacing w:before="120"/>
        <w:ind w:left="425" w:hanging="425"/>
        <w:jc w:val="both"/>
        <w:rPr>
          <w:rFonts w:cs="Arial"/>
          <w:sz w:val="28"/>
        </w:rPr>
      </w:pPr>
      <w:r w:rsidRPr="00965079">
        <w:rPr>
          <w:rFonts w:cs="Arial"/>
        </w:rPr>
        <w:t>Allen, R., Kannangara, C. and Carson, J. (2023) ‘Long-term mental health impacts of the Covid-19 pandemic on university students in the UK: a longitudinal analysis over 12 months’, British Journal of Educational Studies, 71(6), pp. 585-608.</w:t>
      </w:r>
      <w:r w:rsidR="00783726" w:rsidRPr="00965079">
        <w:rPr>
          <w:rFonts w:cs="Arial"/>
        </w:rPr>
        <w:t xml:space="preserve"> </w:t>
      </w:r>
      <w:hyperlink r:id="rId11" w:history="1">
        <w:r w:rsidR="00783726" w:rsidRPr="00965079">
          <w:rPr>
            <w:rStyle w:val="Hyperlink"/>
            <w:rFonts w:cs="Arial"/>
          </w:rPr>
          <w:t>https://doi.org/10.1080/00071005.2023.2215857</w:t>
        </w:r>
      </w:hyperlink>
      <w:r w:rsidR="00783726" w:rsidRPr="00965079">
        <w:rPr>
          <w:rFonts w:cs="Arial"/>
        </w:rPr>
        <w:t xml:space="preserve"> </w:t>
      </w:r>
    </w:p>
    <w:p w14:paraId="60DE50CA" w14:textId="77777777" w:rsidR="00310244" w:rsidRPr="00965079" w:rsidRDefault="00E66695" w:rsidP="00965079">
      <w:pPr>
        <w:pStyle w:val="BodyText"/>
        <w:spacing w:before="120"/>
        <w:ind w:left="425" w:hanging="425"/>
        <w:jc w:val="both"/>
        <w:rPr>
          <w:rFonts w:cs="Arial"/>
          <w:sz w:val="28"/>
        </w:rPr>
      </w:pPr>
      <w:r w:rsidRPr="00965079">
        <w:rPr>
          <w:rFonts w:cs="Arial"/>
        </w:rPr>
        <w:t>Al-Oraibi, A. et al. (2022) ‘Exploring the psychological impacts of COVID-19 social restrictions on international university students: a qualitative study’, International Journal of Environmental Research and Public Health, 19(13), 7631.</w:t>
      </w:r>
      <w:r w:rsidR="00783726" w:rsidRPr="00965079">
        <w:rPr>
          <w:rFonts w:cs="Arial"/>
        </w:rPr>
        <w:t xml:space="preserve"> </w:t>
      </w:r>
      <w:hyperlink r:id="rId12" w:history="1">
        <w:r w:rsidR="00783726" w:rsidRPr="00965079">
          <w:rPr>
            <w:rStyle w:val="Hyperlink"/>
            <w:rFonts w:cs="Arial"/>
          </w:rPr>
          <w:t>https://doi.org/10.3390/ijerph19137631</w:t>
        </w:r>
      </w:hyperlink>
      <w:r w:rsidR="00783726" w:rsidRPr="00965079">
        <w:rPr>
          <w:rFonts w:cs="Arial"/>
        </w:rPr>
        <w:t xml:space="preserve"> </w:t>
      </w:r>
    </w:p>
    <w:p w14:paraId="4BCE2E06" w14:textId="77777777" w:rsidR="00310244" w:rsidRPr="00965079" w:rsidRDefault="00E66695" w:rsidP="00965079">
      <w:pPr>
        <w:pStyle w:val="BodyText"/>
        <w:spacing w:before="120"/>
        <w:ind w:left="425" w:hanging="425"/>
        <w:jc w:val="both"/>
        <w:rPr>
          <w:rFonts w:cs="Arial"/>
          <w:sz w:val="28"/>
        </w:rPr>
      </w:pPr>
      <w:r w:rsidRPr="00965079">
        <w:rPr>
          <w:rFonts w:cs="Arial"/>
        </w:rPr>
        <w:t>Appleby, J.A. et al. (2022) ‘Impact of the COVID-19 pandemic on the experience and mental health of university students studying in Canada and the UK: a cross-sectional study’, BMJ Open, 12, e050187.</w:t>
      </w:r>
      <w:r w:rsidR="00783726" w:rsidRPr="00965079">
        <w:rPr>
          <w:rFonts w:cs="Arial"/>
        </w:rPr>
        <w:t xml:space="preserve"> </w:t>
      </w:r>
      <w:hyperlink r:id="rId13" w:history="1">
        <w:r w:rsidR="00783726" w:rsidRPr="00965079">
          <w:rPr>
            <w:rStyle w:val="Hyperlink"/>
            <w:rFonts w:cs="Arial"/>
          </w:rPr>
          <w:t>https://doi.org/10.1136/bmjopen-2021-050187</w:t>
        </w:r>
      </w:hyperlink>
      <w:r w:rsidR="00783726" w:rsidRPr="00965079">
        <w:rPr>
          <w:rFonts w:cs="Arial"/>
        </w:rPr>
        <w:t xml:space="preserve"> </w:t>
      </w:r>
    </w:p>
    <w:p w14:paraId="3FC87173" w14:textId="77777777" w:rsidR="00310244" w:rsidRPr="00965079" w:rsidRDefault="00E66695" w:rsidP="00965079">
      <w:pPr>
        <w:pStyle w:val="BodyText"/>
        <w:spacing w:before="120"/>
        <w:ind w:left="425" w:hanging="425"/>
        <w:jc w:val="both"/>
        <w:rPr>
          <w:rFonts w:cs="Arial"/>
          <w:sz w:val="28"/>
        </w:rPr>
      </w:pPr>
      <w:proofErr w:type="spellStart"/>
      <w:r w:rsidRPr="00965079">
        <w:rPr>
          <w:rFonts w:cs="Arial"/>
        </w:rPr>
        <w:t>Aromataris</w:t>
      </w:r>
      <w:proofErr w:type="spellEnd"/>
      <w:r w:rsidRPr="00965079">
        <w:rPr>
          <w:rFonts w:cs="Arial"/>
        </w:rPr>
        <w:t>, E. and Munn, Z. (eds.) (2020) JBI Manual for Evidence Synthesis. Adelaide: JBI.</w:t>
      </w:r>
      <w:r w:rsidR="00783726" w:rsidRPr="00965079">
        <w:rPr>
          <w:rFonts w:cs="Arial"/>
        </w:rPr>
        <w:t xml:space="preserve"> </w:t>
      </w:r>
      <w:hyperlink r:id="rId14" w:history="1">
        <w:r w:rsidR="00783726" w:rsidRPr="00965079">
          <w:rPr>
            <w:rStyle w:val="Hyperlink"/>
            <w:rFonts w:cs="Arial"/>
          </w:rPr>
          <w:t>https://hotus.fi/wp-content/uploads/2025/10/jbi-manual-for-evidence-synthesis-nov-2024.pdf</w:t>
        </w:r>
      </w:hyperlink>
      <w:r w:rsidR="00783726" w:rsidRPr="00965079">
        <w:rPr>
          <w:rFonts w:cs="Arial"/>
        </w:rPr>
        <w:t xml:space="preserve"> </w:t>
      </w:r>
    </w:p>
    <w:p w14:paraId="07B51762" w14:textId="77777777" w:rsidR="00310244" w:rsidRPr="00965079" w:rsidRDefault="00E66695" w:rsidP="00965079">
      <w:pPr>
        <w:pStyle w:val="BodyText"/>
        <w:spacing w:before="120"/>
        <w:ind w:left="425" w:hanging="425"/>
        <w:jc w:val="both"/>
        <w:rPr>
          <w:rFonts w:cs="Arial"/>
          <w:sz w:val="28"/>
        </w:rPr>
      </w:pPr>
      <w:r w:rsidRPr="00965079">
        <w:rPr>
          <w:rFonts w:cs="Arial"/>
        </w:rPr>
        <w:t>Arksey, H. and O’Malley, L. (2005) ‘Scoping studies: towards a methodological framework’, International Journal of Social Research Methodology, 8(1), pp. 19-32.</w:t>
      </w:r>
      <w:r w:rsidR="00783726" w:rsidRPr="00965079">
        <w:rPr>
          <w:rFonts w:cs="Arial"/>
        </w:rPr>
        <w:t xml:space="preserve"> </w:t>
      </w:r>
      <w:hyperlink r:id="rId15" w:history="1">
        <w:r w:rsidR="00783726" w:rsidRPr="00965079">
          <w:rPr>
            <w:rStyle w:val="Hyperlink"/>
            <w:rFonts w:cs="Arial"/>
          </w:rPr>
          <w:t>https://doi.org/10.1080/1364557032000119616</w:t>
        </w:r>
      </w:hyperlink>
      <w:r w:rsidR="00783726" w:rsidRPr="00965079">
        <w:rPr>
          <w:rFonts w:cs="Arial"/>
        </w:rPr>
        <w:t xml:space="preserve"> </w:t>
      </w:r>
    </w:p>
    <w:p w14:paraId="494EAC78" w14:textId="77777777" w:rsidR="00310244" w:rsidRPr="00965079" w:rsidRDefault="00E66695" w:rsidP="00965079">
      <w:pPr>
        <w:pStyle w:val="BodyText"/>
        <w:spacing w:before="120"/>
        <w:ind w:left="425" w:hanging="425"/>
        <w:jc w:val="both"/>
        <w:rPr>
          <w:rFonts w:cs="Arial"/>
          <w:sz w:val="28"/>
        </w:rPr>
      </w:pPr>
      <w:r w:rsidRPr="00965079">
        <w:rPr>
          <w:rFonts w:cs="Arial"/>
        </w:rPr>
        <w:t>Barnwell, A.M. and Patton, R. (2025) ‘University student experiences of digital mental health packages’, Journal of Further and Higher Education, 49(3), pp. 269-282.</w:t>
      </w:r>
      <w:r w:rsidR="00783726" w:rsidRPr="00965079">
        <w:rPr>
          <w:rFonts w:cs="Arial"/>
        </w:rPr>
        <w:t xml:space="preserve"> </w:t>
      </w:r>
      <w:hyperlink r:id="rId16" w:history="1">
        <w:r w:rsidR="00783726" w:rsidRPr="00965079">
          <w:rPr>
            <w:rStyle w:val="Hyperlink"/>
            <w:rFonts w:cs="Arial"/>
          </w:rPr>
          <w:t>https://doi.org/10.1080/0309877X.2025.2451693</w:t>
        </w:r>
      </w:hyperlink>
      <w:r w:rsidR="00783726" w:rsidRPr="00965079">
        <w:rPr>
          <w:rFonts w:cs="Arial"/>
        </w:rPr>
        <w:t xml:space="preserve"> </w:t>
      </w:r>
    </w:p>
    <w:p w14:paraId="6A3B5554" w14:textId="77777777" w:rsidR="00310244" w:rsidRPr="00965079" w:rsidRDefault="00E66695" w:rsidP="00965079">
      <w:pPr>
        <w:pStyle w:val="BodyText"/>
        <w:spacing w:before="120"/>
        <w:ind w:left="425" w:hanging="425"/>
        <w:jc w:val="both"/>
        <w:rPr>
          <w:rFonts w:cs="Arial"/>
          <w:sz w:val="28"/>
        </w:rPr>
      </w:pPr>
      <w:r w:rsidRPr="00965079">
        <w:rPr>
          <w:rFonts w:cs="Arial"/>
        </w:rPr>
        <w:t>Bennett, J., Heron, J., Gunnell, D., Purdy, S. and Linton, M.-J. (2022) ‘The impact of the COVID-19 pandemic on student mental health and wellbeing in UK university students: a multiyear cross-sectional analysis’, Journal of Mental Health, 31(4), pp. 597-604.</w:t>
      </w:r>
      <w:r w:rsidR="00783726" w:rsidRPr="00965079">
        <w:rPr>
          <w:rFonts w:cs="Arial"/>
        </w:rPr>
        <w:t xml:space="preserve"> </w:t>
      </w:r>
      <w:hyperlink r:id="rId17" w:history="1">
        <w:r w:rsidR="00783726" w:rsidRPr="00965079">
          <w:rPr>
            <w:rStyle w:val="Hyperlink"/>
            <w:rFonts w:cs="Arial"/>
          </w:rPr>
          <w:t>https://doi.org/10.1080/09638237.2022.2091766</w:t>
        </w:r>
      </w:hyperlink>
      <w:r w:rsidR="00783726" w:rsidRPr="00965079">
        <w:rPr>
          <w:rFonts w:cs="Arial"/>
        </w:rPr>
        <w:t xml:space="preserve"> </w:t>
      </w:r>
    </w:p>
    <w:p w14:paraId="01455A46" w14:textId="77777777" w:rsidR="00310244" w:rsidRPr="00965079" w:rsidRDefault="00E66695" w:rsidP="00965079">
      <w:pPr>
        <w:pStyle w:val="BodyText"/>
        <w:spacing w:before="120"/>
        <w:ind w:left="425" w:hanging="425"/>
        <w:jc w:val="both"/>
        <w:rPr>
          <w:rFonts w:cs="Arial"/>
        </w:rPr>
      </w:pPr>
      <w:r w:rsidRPr="00965079">
        <w:rPr>
          <w:rFonts w:cs="Arial"/>
        </w:rPr>
        <w:t>Blake, H., Mahmood, I., Dushi, G., Yildirim, M. and Gay, E. (2021) ‘Psychological impacts of COVID-19 on healthcare trainees and perceptions towards a digital wellbeing support package’, International Journal of Environmental Research and Public Health, 18(20), 10647.</w:t>
      </w:r>
      <w:r w:rsidR="00783726" w:rsidRPr="00965079">
        <w:rPr>
          <w:rFonts w:cs="Arial"/>
        </w:rPr>
        <w:t xml:space="preserve"> </w:t>
      </w:r>
      <w:hyperlink r:id="rId18" w:history="1">
        <w:r w:rsidR="00783726" w:rsidRPr="00965079">
          <w:rPr>
            <w:rStyle w:val="Hyperlink"/>
            <w:rFonts w:cs="Arial"/>
          </w:rPr>
          <w:t>https://doi.org/10.3390/ijerph182010647</w:t>
        </w:r>
      </w:hyperlink>
      <w:r w:rsidR="00783726" w:rsidRPr="00965079">
        <w:rPr>
          <w:rFonts w:cs="Arial"/>
        </w:rPr>
        <w:t xml:space="preserve"> </w:t>
      </w:r>
    </w:p>
    <w:p w14:paraId="5CA4F257" w14:textId="77777777" w:rsidR="00310244" w:rsidRPr="00965079" w:rsidRDefault="00E66695" w:rsidP="00965079">
      <w:pPr>
        <w:pStyle w:val="BodyText"/>
        <w:spacing w:before="120"/>
        <w:ind w:left="425" w:hanging="425"/>
        <w:jc w:val="both"/>
        <w:rPr>
          <w:rFonts w:cs="Arial"/>
          <w:sz w:val="28"/>
        </w:rPr>
      </w:pPr>
      <w:r w:rsidRPr="00965079">
        <w:rPr>
          <w:rFonts w:cs="Arial"/>
        </w:rPr>
        <w:t xml:space="preserve">Booth, A., Sutton, A. and Papaioannou, D. (2016) Systematic Approaches to a Successful Literature Review. 2nd </w:t>
      </w:r>
      <w:proofErr w:type="spellStart"/>
      <w:r w:rsidRPr="00965079">
        <w:rPr>
          <w:rFonts w:cs="Arial"/>
        </w:rPr>
        <w:t>edn</w:t>
      </w:r>
      <w:proofErr w:type="spellEnd"/>
      <w:r w:rsidRPr="00965079">
        <w:rPr>
          <w:rFonts w:cs="Arial"/>
        </w:rPr>
        <w:t>. London: SAGE.</w:t>
      </w:r>
      <w:r w:rsidR="00783726" w:rsidRPr="00965079">
        <w:rPr>
          <w:rFonts w:cs="Arial"/>
        </w:rPr>
        <w:t xml:space="preserve"> </w:t>
      </w:r>
      <w:hyperlink r:id="rId19" w:history="1">
        <w:r w:rsidR="00783726" w:rsidRPr="00965079">
          <w:rPr>
            <w:rStyle w:val="Hyperlink"/>
            <w:rFonts w:cs="Arial"/>
          </w:rPr>
          <w:t>https://www.researchgate.net/profile/Andrew-Booth-2/publication/235930866_Systematic_Approaches_to_a_Successful_Literature_Review/</w:t>
        </w:r>
        <w:r w:rsidR="00783726" w:rsidRPr="00965079">
          <w:rPr>
            <w:rStyle w:val="Hyperlink"/>
            <w:rFonts w:cs="Arial"/>
          </w:rPr>
          <w:lastRenderedPageBreak/>
          <w:t>links/5da06c7f45851553ff8705fa/Systematic-Approaches-to-a-Successful-Literature-Review.pdf</w:t>
        </w:r>
      </w:hyperlink>
      <w:r w:rsidR="00783726" w:rsidRPr="00965079">
        <w:rPr>
          <w:rFonts w:cs="Arial"/>
        </w:rPr>
        <w:t xml:space="preserve"> </w:t>
      </w:r>
    </w:p>
    <w:p w14:paraId="3EF1D550" w14:textId="77777777" w:rsidR="00310244" w:rsidRPr="00965079" w:rsidRDefault="00E66695" w:rsidP="00965079">
      <w:pPr>
        <w:pStyle w:val="BodyText"/>
        <w:spacing w:before="120"/>
        <w:ind w:left="425" w:hanging="425"/>
        <w:jc w:val="both"/>
        <w:rPr>
          <w:rFonts w:cs="Arial"/>
          <w:sz w:val="28"/>
        </w:rPr>
      </w:pPr>
      <w:r w:rsidRPr="00965079">
        <w:rPr>
          <w:rFonts w:cs="Arial"/>
        </w:rPr>
        <w:t>Braun, V. and Clarke, V. (2006) ‘Using thematic analysis in psychology’, Qualitative Research in Psychology, 3(2), pp. 77-101.</w:t>
      </w:r>
      <w:r w:rsidR="00783726" w:rsidRPr="00965079">
        <w:rPr>
          <w:rFonts w:cs="Arial"/>
        </w:rPr>
        <w:t xml:space="preserve"> </w:t>
      </w:r>
      <w:hyperlink r:id="rId20" w:history="1">
        <w:r w:rsidR="00783726" w:rsidRPr="00965079">
          <w:rPr>
            <w:rStyle w:val="Hyperlink"/>
            <w:rFonts w:cs="Arial"/>
          </w:rPr>
          <w:t>https://doi.org/10.1191/1478088706qp063oa</w:t>
        </w:r>
      </w:hyperlink>
      <w:r w:rsidR="00783726" w:rsidRPr="00965079">
        <w:rPr>
          <w:rFonts w:cs="Arial"/>
        </w:rPr>
        <w:t xml:space="preserve"> </w:t>
      </w:r>
    </w:p>
    <w:p w14:paraId="5E913DF8" w14:textId="77777777" w:rsidR="00310244" w:rsidRPr="00965079" w:rsidRDefault="00E66695" w:rsidP="00965079">
      <w:pPr>
        <w:pStyle w:val="BodyText"/>
        <w:spacing w:before="120"/>
        <w:ind w:left="425" w:hanging="425"/>
        <w:jc w:val="both"/>
        <w:rPr>
          <w:rFonts w:cs="Arial"/>
          <w:sz w:val="28"/>
        </w:rPr>
      </w:pPr>
      <w:r w:rsidRPr="00965079">
        <w:rPr>
          <w:rFonts w:cs="Arial"/>
        </w:rPr>
        <w:t>Braun, V. and Clarke, V. (2021) ‘One size fits all? What counts as quality practice in (reflexive) thematic analysis?’, Qualitative Research in Psychology, 18(3), pp. 328-352.</w:t>
      </w:r>
      <w:r w:rsidR="00930F88" w:rsidRPr="00965079">
        <w:rPr>
          <w:rFonts w:cs="Arial"/>
        </w:rPr>
        <w:t xml:space="preserve"> </w:t>
      </w:r>
      <w:hyperlink r:id="rId21" w:history="1">
        <w:r w:rsidR="00930F88" w:rsidRPr="00965079">
          <w:rPr>
            <w:rStyle w:val="Hyperlink"/>
            <w:rFonts w:cs="Arial"/>
          </w:rPr>
          <w:t>https://doi.org/10.1080/14780887.2020.1769238</w:t>
        </w:r>
      </w:hyperlink>
      <w:r w:rsidR="00930F88" w:rsidRPr="00965079">
        <w:rPr>
          <w:rFonts w:cs="Arial"/>
        </w:rPr>
        <w:t xml:space="preserve"> </w:t>
      </w:r>
    </w:p>
    <w:p w14:paraId="0503401E" w14:textId="77777777" w:rsidR="00310244" w:rsidRPr="00965079" w:rsidRDefault="00E66695" w:rsidP="00965079">
      <w:pPr>
        <w:pStyle w:val="BodyText"/>
        <w:spacing w:before="120"/>
        <w:ind w:left="425" w:hanging="425"/>
        <w:jc w:val="both"/>
        <w:rPr>
          <w:rFonts w:cs="Arial"/>
          <w:sz w:val="28"/>
        </w:rPr>
      </w:pPr>
      <w:r w:rsidRPr="00965079">
        <w:rPr>
          <w:rFonts w:cs="Arial"/>
        </w:rPr>
        <w:t>Brown, M. et al. (2023) ‘A pragmatic evaluation of university student experience of remote digital learning during the COVID-19 pandemic, focusing on lessons learned for future practice’, PLOS ONE, 18(5), e0283742.</w:t>
      </w:r>
      <w:r w:rsidR="00930F88" w:rsidRPr="00965079">
        <w:rPr>
          <w:rFonts w:cs="Arial"/>
        </w:rPr>
        <w:t xml:space="preserve"> </w:t>
      </w:r>
      <w:hyperlink r:id="rId22" w:history="1">
        <w:r w:rsidR="00930F88" w:rsidRPr="00965079">
          <w:rPr>
            <w:rStyle w:val="Hyperlink"/>
            <w:rFonts w:cs="Arial"/>
          </w:rPr>
          <w:t>https://doi.org/10.1371/journal.pone.0283742</w:t>
        </w:r>
      </w:hyperlink>
      <w:r w:rsidR="00930F88" w:rsidRPr="00965079">
        <w:rPr>
          <w:rFonts w:cs="Arial"/>
        </w:rPr>
        <w:t xml:space="preserve"> </w:t>
      </w:r>
    </w:p>
    <w:p w14:paraId="68BF7D63" w14:textId="77777777" w:rsidR="00310244" w:rsidRPr="00965079" w:rsidRDefault="00E66695" w:rsidP="00965079">
      <w:pPr>
        <w:pStyle w:val="BodyText"/>
        <w:spacing w:before="120"/>
        <w:ind w:left="425" w:hanging="425"/>
        <w:jc w:val="both"/>
        <w:rPr>
          <w:rFonts w:cs="Arial"/>
          <w:sz w:val="28"/>
        </w:rPr>
      </w:pPr>
      <w:r w:rsidRPr="00965079">
        <w:rPr>
          <w:rFonts w:cs="Arial"/>
        </w:rPr>
        <w:t>Catling, J.C., Bayley, A., Begum, Z., Wardzinski, C. and Wood, A. (2022) ‘Effects of the COVID-19 lockdown on mental health in a UK student sample’, BMC Psychology, 10, 118.</w:t>
      </w:r>
      <w:r w:rsidR="00930F88" w:rsidRPr="00965079">
        <w:rPr>
          <w:rFonts w:cs="Arial"/>
        </w:rPr>
        <w:t xml:space="preserve"> </w:t>
      </w:r>
      <w:hyperlink r:id="rId23" w:history="1">
        <w:r w:rsidR="00930F88" w:rsidRPr="00965079">
          <w:rPr>
            <w:rStyle w:val="Hyperlink"/>
            <w:rFonts w:cs="Arial"/>
          </w:rPr>
          <w:t>https://doi.org/10.1186/s40359-022-00732-9</w:t>
        </w:r>
      </w:hyperlink>
      <w:r w:rsidR="00930F88" w:rsidRPr="00965079">
        <w:rPr>
          <w:rFonts w:cs="Arial"/>
        </w:rPr>
        <w:t xml:space="preserve"> </w:t>
      </w:r>
    </w:p>
    <w:p w14:paraId="153A2B8A" w14:textId="77777777" w:rsidR="00310244" w:rsidRPr="00965079" w:rsidRDefault="00E66695" w:rsidP="00965079">
      <w:pPr>
        <w:pStyle w:val="BodyText"/>
        <w:spacing w:before="120"/>
        <w:ind w:left="425" w:hanging="425"/>
        <w:jc w:val="both"/>
        <w:rPr>
          <w:rFonts w:cs="Arial"/>
          <w:sz w:val="28"/>
        </w:rPr>
      </w:pPr>
      <w:r w:rsidRPr="00965079">
        <w:rPr>
          <w:rFonts w:cs="Arial"/>
        </w:rPr>
        <w:t>Chen, T. and Lucock, M. (2022) ‘The mental health of university students during the COVID-19 pandemic: an online survey in the UK’, PLOS ONE, 17(1), e0262562.</w:t>
      </w:r>
      <w:r w:rsidR="00930F88" w:rsidRPr="00965079">
        <w:rPr>
          <w:rFonts w:cs="Arial"/>
        </w:rPr>
        <w:t xml:space="preserve"> </w:t>
      </w:r>
      <w:hyperlink r:id="rId24" w:history="1">
        <w:r w:rsidR="00930F88" w:rsidRPr="00965079">
          <w:rPr>
            <w:rStyle w:val="Hyperlink"/>
            <w:rFonts w:cs="Arial"/>
          </w:rPr>
          <w:t>https://doi.org/10.1371/journal.pone.0262562</w:t>
        </w:r>
      </w:hyperlink>
      <w:r w:rsidR="00930F88" w:rsidRPr="00965079">
        <w:rPr>
          <w:rFonts w:cs="Arial"/>
        </w:rPr>
        <w:t xml:space="preserve"> </w:t>
      </w:r>
    </w:p>
    <w:p w14:paraId="73A5082C" w14:textId="77777777" w:rsidR="00310244" w:rsidRPr="00965079" w:rsidRDefault="00E66695" w:rsidP="00965079">
      <w:pPr>
        <w:pStyle w:val="BodyText"/>
        <w:spacing w:before="120"/>
        <w:ind w:left="425" w:hanging="425"/>
        <w:jc w:val="both"/>
        <w:rPr>
          <w:rFonts w:cs="Arial"/>
          <w:sz w:val="28"/>
        </w:rPr>
      </w:pPr>
      <w:r w:rsidRPr="00965079">
        <w:rPr>
          <w:rFonts w:cs="Arial"/>
        </w:rPr>
        <w:t>Defeyter, M.A. et al. (2021) ‘Mental well-being in UK higher education during Covid-19: do students trust universities and the government?’, Frontiers in Public Health, 9, 646916.</w:t>
      </w:r>
      <w:r w:rsidR="00930F88" w:rsidRPr="00965079">
        <w:rPr>
          <w:rFonts w:cs="Arial"/>
        </w:rPr>
        <w:t xml:space="preserve"> </w:t>
      </w:r>
      <w:hyperlink r:id="rId25" w:history="1">
        <w:r w:rsidR="00930F88" w:rsidRPr="00965079">
          <w:rPr>
            <w:rStyle w:val="Hyperlink"/>
            <w:rFonts w:cs="Arial"/>
          </w:rPr>
          <w:t>https://doi.org/10.3389/fpubh.2021.646916</w:t>
        </w:r>
      </w:hyperlink>
      <w:r w:rsidR="00930F88" w:rsidRPr="00965079">
        <w:rPr>
          <w:rFonts w:cs="Arial"/>
        </w:rPr>
        <w:t xml:space="preserve"> </w:t>
      </w:r>
    </w:p>
    <w:p w14:paraId="1D378549" w14:textId="77777777" w:rsidR="00310244" w:rsidRPr="00965079" w:rsidRDefault="00E66695" w:rsidP="00965079">
      <w:pPr>
        <w:pStyle w:val="BodyText"/>
        <w:spacing w:before="120"/>
        <w:ind w:left="425" w:hanging="425"/>
        <w:jc w:val="both"/>
        <w:rPr>
          <w:rFonts w:cs="Arial"/>
          <w:sz w:val="28"/>
        </w:rPr>
      </w:pPr>
      <w:r w:rsidRPr="00965079">
        <w:rPr>
          <w:rFonts w:cs="Arial"/>
        </w:rPr>
        <w:t>Di Malta, G., Bond, J., Conroy, D., Smith, K. and Moller, N. (2022) ‘Distance education students’ mental health, connectedness and academic performance during COVID-19: a mixed-methods study’, Distance Education, 43(1), pp. 97-118.</w:t>
      </w:r>
      <w:r w:rsidR="00930F88" w:rsidRPr="00965079">
        <w:rPr>
          <w:rFonts w:cs="Arial"/>
        </w:rPr>
        <w:t xml:space="preserve"> </w:t>
      </w:r>
      <w:hyperlink r:id="rId26" w:history="1">
        <w:r w:rsidR="00930F88" w:rsidRPr="00965079">
          <w:rPr>
            <w:rStyle w:val="Hyperlink"/>
            <w:rFonts w:cs="Arial"/>
          </w:rPr>
          <w:t>https://doi.org/10.1080/01587919.2022.2029352</w:t>
        </w:r>
      </w:hyperlink>
      <w:r w:rsidR="00930F88" w:rsidRPr="00965079">
        <w:rPr>
          <w:rFonts w:cs="Arial"/>
        </w:rPr>
        <w:t xml:space="preserve"> </w:t>
      </w:r>
    </w:p>
    <w:p w14:paraId="7600FA63" w14:textId="77777777" w:rsidR="00310244" w:rsidRPr="00965079" w:rsidRDefault="00E66695" w:rsidP="00965079">
      <w:pPr>
        <w:pStyle w:val="BodyText"/>
        <w:spacing w:before="120"/>
        <w:ind w:left="425" w:hanging="425"/>
        <w:jc w:val="both"/>
        <w:rPr>
          <w:rFonts w:cs="Arial"/>
          <w:sz w:val="28"/>
        </w:rPr>
      </w:pPr>
      <w:r w:rsidRPr="00965079">
        <w:rPr>
          <w:rFonts w:cs="Arial"/>
        </w:rPr>
        <w:t>Dinu, L.M. et al. (2022) ‘Predicting student mental wellbeing and loneliness and the importance of digital skills’, Journal of Further and Higher Education, 46(8), pp. 1040-1053.</w:t>
      </w:r>
      <w:r w:rsidR="00930F88" w:rsidRPr="00965079">
        <w:rPr>
          <w:rFonts w:cs="Arial"/>
        </w:rPr>
        <w:t xml:space="preserve"> </w:t>
      </w:r>
      <w:hyperlink r:id="rId27" w:history="1">
        <w:r w:rsidR="00930F88" w:rsidRPr="00965079">
          <w:rPr>
            <w:rStyle w:val="Hyperlink"/>
            <w:rFonts w:cs="Arial"/>
          </w:rPr>
          <w:t>https://www.tandfonline.com/doi/pdf/10.1080/0309877X.2022.2038780</w:t>
        </w:r>
      </w:hyperlink>
      <w:r w:rsidR="00930F88" w:rsidRPr="00965079">
        <w:rPr>
          <w:rFonts w:cs="Arial"/>
        </w:rPr>
        <w:t xml:space="preserve"> </w:t>
      </w:r>
    </w:p>
    <w:p w14:paraId="1E92A300" w14:textId="77777777" w:rsidR="00310244" w:rsidRPr="00965079" w:rsidRDefault="00E66695" w:rsidP="00965079">
      <w:pPr>
        <w:pStyle w:val="BodyText"/>
        <w:spacing w:before="120"/>
        <w:ind w:left="425" w:hanging="425"/>
        <w:jc w:val="both"/>
        <w:rPr>
          <w:rFonts w:cs="Arial"/>
          <w:sz w:val="28"/>
        </w:rPr>
      </w:pPr>
      <w:r w:rsidRPr="00965079">
        <w:rPr>
          <w:rFonts w:cs="Arial"/>
        </w:rPr>
        <w:t>Evans, S., Alkan, E., Bhangoo, J.K., Tenenbaum, H. and Ng-Knight, T. (2021) ‘Effects of the COVID-19 lockdown on mental health, wellbeing, sleep, and alcohol use in a UK student sample’, Psychiatry Research, 298, 113819.</w:t>
      </w:r>
      <w:r w:rsidR="00B07A22" w:rsidRPr="00965079">
        <w:rPr>
          <w:rFonts w:cs="Arial"/>
        </w:rPr>
        <w:t xml:space="preserve"> </w:t>
      </w:r>
      <w:hyperlink r:id="rId28" w:history="1">
        <w:r w:rsidR="00B07A22" w:rsidRPr="00965079">
          <w:rPr>
            <w:rStyle w:val="Hyperlink"/>
            <w:rFonts w:cs="Arial"/>
          </w:rPr>
          <w:t>https://doi.org/10.1016/j.psychres.2021.113819</w:t>
        </w:r>
      </w:hyperlink>
      <w:r w:rsidR="00B07A22" w:rsidRPr="00965079">
        <w:rPr>
          <w:rFonts w:cs="Arial"/>
        </w:rPr>
        <w:t xml:space="preserve"> </w:t>
      </w:r>
    </w:p>
    <w:p w14:paraId="7A83F45D" w14:textId="77777777" w:rsidR="00310244" w:rsidRPr="00965079" w:rsidRDefault="00E66695" w:rsidP="00965079">
      <w:pPr>
        <w:pStyle w:val="BodyText"/>
        <w:spacing w:before="120"/>
        <w:ind w:left="425" w:hanging="425"/>
        <w:jc w:val="both"/>
        <w:rPr>
          <w:rFonts w:cs="Arial"/>
          <w:sz w:val="28"/>
        </w:rPr>
      </w:pPr>
      <w:r w:rsidRPr="00965079">
        <w:rPr>
          <w:rFonts w:cs="Arial"/>
        </w:rPr>
        <w:t>Ferri, F., Grifoni, P. and Guzzo, T. (2020) ‘Online learning and emergency remote teaching: opportunities and challenges in emergency situations’, Societies, 10(4), 86.</w:t>
      </w:r>
      <w:r w:rsidR="00B07A22" w:rsidRPr="00965079">
        <w:rPr>
          <w:rFonts w:cs="Arial"/>
        </w:rPr>
        <w:t xml:space="preserve"> </w:t>
      </w:r>
      <w:hyperlink r:id="rId29" w:history="1">
        <w:r w:rsidR="00B07A22" w:rsidRPr="00965079">
          <w:rPr>
            <w:rStyle w:val="Hyperlink"/>
            <w:rFonts w:cs="Arial"/>
          </w:rPr>
          <w:t>https://doi.org/10.3390/soc10040086</w:t>
        </w:r>
      </w:hyperlink>
      <w:r w:rsidR="00B07A22" w:rsidRPr="00965079">
        <w:rPr>
          <w:rFonts w:cs="Arial"/>
        </w:rPr>
        <w:t xml:space="preserve"> </w:t>
      </w:r>
    </w:p>
    <w:p w14:paraId="33428AEC" w14:textId="77777777" w:rsidR="00310244" w:rsidRPr="00965079" w:rsidRDefault="00E66695" w:rsidP="00965079">
      <w:pPr>
        <w:pStyle w:val="BodyText"/>
        <w:spacing w:before="120"/>
        <w:ind w:left="425" w:hanging="425"/>
        <w:jc w:val="both"/>
        <w:rPr>
          <w:rFonts w:cs="Arial"/>
          <w:sz w:val="28"/>
        </w:rPr>
      </w:pPr>
      <w:r w:rsidRPr="00965079">
        <w:rPr>
          <w:rFonts w:cs="Arial"/>
        </w:rPr>
        <w:lastRenderedPageBreak/>
        <w:t xml:space="preserve">Gadi, N. et al. (2022) ‘The impact of the COVID-19 pandemic on the lifestyle and </w:t>
      </w:r>
      <w:proofErr w:type="spellStart"/>
      <w:r w:rsidRPr="00965079">
        <w:rPr>
          <w:rFonts w:cs="Arial"/>
        </w:rPr>
        <w:t>behaviours</w:t>
      </w:r>
      <w:proofErr w:type="spellEnd"/>
      <w:r w:rsidRPr="00965079">
        <w:rPr>
          <w:rFonts w:cs="Arial"/>
        </w:rPr>
        <w:t>, mental health and education of students studying healthcare-related courses at a British university’, BMC Medical Education, 22, 115.</w:t>
      </w:r>
      <w:r w:rsidR="00585C80" w:rsidRPr="00965079">
        <w:rPr>
          <w:rFonts w:cs="Arial"/>
        </w:rPr>
        <w:t xml:space="preserve"> </w:t>
      </w:r>
      <w:hyperlink r:id="rId30" w:history="1">
        <w:r w:rsidR="00585C80" w:rsidRPr="00965079">
          <w:rPr>
            <w:rStyle w:val="Hyperlink"/>
            <w:rFonts w:cs="Arial"/>
          </w:rPr>
          <w:t>https://doi.org/10.1186/s12909-022-03179-z</w:t>
        </w:r>
      </w:hyperlink>
      <w:r w:rsidR="00585C80" w:rsidRPr="00965079">
        <w:rPr>
          <w:rFonts w:cs="Arial"/>
        </w:rPr>
        <w:t xml:space="preserve"> </w:t>
      </w:r>
    </w:p>
    <w:p w14:paraId="1AD85262" w14:textId="77777777" w:rsidR="00310244" w:rsidRPr="00965079" w:rsidRDefault="00E66695" w:rsidP="00965079">
      <w:pPr>
        <w:pStyle w:val="BodyText"/>
        <w:spacing w:before="120"/>
        <w:ind w:left="425" w:hanging="425"/>
        <w:jc w:val="both"/>
        <w:rPr>
          <w:rFonts w:cs="Arial"/>
          <w:sz w:val="28"/>
        </w:rPr>
      </w:pPr>
      <w:r w:rsidRPr="00965079">
        <w:rPr>
          <w:rFonts w:cs="Arial"/>
        </w:rPr>
        <w:t xml:space="preserve">Gogoi, M., Webb, A., Pareek, M., Bayliss, C.D. and Gies, L. (2022) ‘University students’ mental health and well-being during the COVID-19 pandemic: findings from the </w:t>
      </w:r>
      <w:proofErr w:type="spellStart"/>
      <w:r w:rsidRPr="00965079">
        <w:rPr>
          <w:rFonts w:cs="Arial"/>
        </w:rPr>
        <w:t>UniCoVac</w:t>
      </w:r>
      <w:proofErr w:type="spellEnd"/>
      <w:r w:rsidRPr="00965079">
        <w:rPr>
          <w:rFonts w:cs="Arial"/>
        </w:rPr>
        <w:t xml:space="preserve"> qualitative study’, International Journal of Environmental Research and Public Health, 19(15), 9322.</w:t>
      </w:r>
      <w:r w:rsidR="00585C80" w:rsidRPr="00965079">
        <w:rPr>
          <w:rFonts w:cs="Arial"/>
        </w:rPr>
        <w:t xml:space="preserve"> </w:t>
      </w:r>
      <w:hyperlink r:id="rId31" w:history="1">
        <w:r w:rsidR="00585C80" w:rsidRPr="00965079">
          <w:rPr>
            <w:rStyle w:val="Hyperlink"/>
            <w:rFonts w:cs="Arial"/>
          </w:rPr>
          <w:t>https://doi.org/10.3390/ijerph19159322</w:t>
        </w:r>
      </w:hyperlink>
      <w:r w:rsidR="00585C80" w:rsidRPr="00965079">
        <w:rPr>
          <w:rFonts w:cs="Arial"/>
        </w:rPr>
        <w:t xml:space="preserve"> </w:t>
      </w:r>
    </w:p>
    <w:p w14:paraId="77DD3A7D" w14:textId="77777777" w:rsidR="00310244" w:rsidRPr="00965079" w:rsidRDefault="00E66695" w:rsidP="00965079">
      <w:pPr>
        <w:pStyle w:val="BodyText"/>
        <w:spacing w:before="120"/>
        <w:ind w:left="425" w:hanging="425"/>
        <w:jc w:val="both"/>
        <w:rPr>
          <w:rFonts w:cs="Arial"/>
          <w:sz w:val="28"/>
        </w:rPr>
      </w:pPr>
      <w:r w:rsidRPr="00965079">
        <w:rPr>
          <w:rFonts w:cs="Arial"/>
        </w:rPr>
        <w:t>Hitch, G. and Zaman, S. (2023) ‘COVID-19 pandemic experiences of students from BAME and White ethnic groups pursuing higher education in the UK: a qualitative comparative exploration’, Frontiers in Psychiatry, 13, 1078479.</w:t>
      </w:r>
      <w:r w:rsidR="00585C80" w:rsidRPr="00965079">
        <w:rPr>
          <w:rFonts w:cs="Arial"/>
        </w:rPr>
        <w:t xml:space="preserve"> </w:t>
      </w:r>
      <w:hyperlink r:id="rId32" w:history="1">
        <w:r w:rsidR="00585C80" w:rsidRPr="00965079">
          <w:rPr>
            <w:rStyle w:val="Hyperlink"/>
            <w:rFonts w:cs="Arial"/>
          </w:rPr>
          <w:t>https://doi.org/10.3389/fpsyt.2022.1078479</w:t>
        </w:r>
      </w:hyperlink>
      <w:r w:rsidR="00585C80" w:rsidRPr="00965079">
        <w:rPr>
          <w:rFonts w:cs="Arial"/>
        </w:rPr>
        <w:t xml:space="preserve"> </w:t>
      </w:r>
    </w:p>
    <w:p w14:paraId="7D19B2C9" w14:textId="77777777" w:rsidR="00310244" w:rsidRPr="00965079" w:rsidRDefault="00E66695" w:rsidP="00965079">
      <w:pPr>
        <w:pStyle w:val="BodyText"/>
        <w:spacing w:before="120"/>
        <w:ind w:left="425" w:hanging="425"/>
        <w:jc w:val="both"/>
        <w:rPr>
          <w:rFonts w:cs="Arial"/>
          <w:sz w:val="28"/>
        </w:rPr>
      </w:pPr>
      <w:r w:rsidRPr="00965079">
        <w:rPr>
          <w:rFonts w:cs="Arial"/>
        </w:rPr>
        <w:t>Horner, C., Hugh-Jones, S., Brennan, C. and Sutherland, E. (2026) ‘Lessons learned from lockdown: how the COVID-19 pandemic revealed intersecting inequalities of mental health, well-being, and learning for first-year UK university students’, International Journal of Qualitative Studies on Health and Well-being, 21(1), 2624011.</w:t>
      </w:r>
      <w:r w:rsidR="00585C80" w:rsidRPr="00965079">
        <w:rPr>
          <w:rFonts w:cs="Arial"/>
        </w:rPr>
        <w:t xml:space="preserve"> </w:t>
      </w:r>
      <w:hyperlink r:id="rId33" w:history="1">
        <w:r w:rsidR="00585C80" w:rsidRPr="00965079">
          <w:rPr>
            <w:rStyle w:val="Hyperlink"/>
            <w:rFonts w:cs="Arial"/>
          </w:rPr>
          <w:t>https://doi.org/10.1080/17482631.2026.2624011</w:t>
        </w:r>
      </w:hyperlink>
      <w:r w:rsidR="00585C80" w:rsidRPr="00965079">
        <w:rPr>
          <w:rFonts w:cs="Arial"/>
        </w:rPr>
        <w:t xml:space="preserve"> </w:t>
      </w:r>
    </w:p>
    <w:p w14:paraId="5DECC014" w14:textId="77777777" w:rsidR="00310244" w:rsidRPr="00965079" w:rsidRDefault="00E66695" w:rsidP="00965079">
      <w:pPr>
        <w:pStyle w:val="BodyText"/>
        <w:spacing w:before="120"/>
        <w:ind w:left="425" w:hanging="425"/>
        <w:jc w:val="both"/>
        <w:rPr>
          <w:rFonts w:cs="Arial"/>
          <w:sz w:val="28"/>
        </w:rPr>
      </w:pPr>
      <w:r w:rsidRPr="00965079">
        <w:rPr>
          <w:rFonts w:cs="Arial"/>
        </w:rPr>
        <w:t>Keyes, C.L.M. (2002) ‘The mental health continuum: from languishing to flourishing in life’, Journal of Health and Social Behavior, 43(2), pp. 207-222.</w:t>
      </w:r>
      <w:r w:rsidR="00585C80" w:rsidRPr="00965079">
        <w:rPr>
          <w:rFonts w:cs="Arial"/>
        </w:rPr>
        <w:t xml:space="preserve"> </w:t>
      </w:r>
      <w:hyperlink r:id="rId34" w:history="1">
        <w:r w:rsidR="00585C80" w:rsidRPr="00965079">
          <w:rPr>
            <w:rStyle w:val="Hyperlink"/>
            <w:rFonts w:cs="Arial"/>
          </w:rPr>
          <w:t>https://midus.wisc.edu/findings/pdfs/56.pdf</w:t>
        </w:r>
      </w:hyperlink>
      <w:r w:rsidR="00585C80" w:rsidRPr="00965079">
        <w:rPr>
          <w:rFonts w:cs="Arial"/>
        </w:rPr>
        <w:t xml:space="preserve"> </w:t>
      </w:r>
    </w:p>
    <w:p w14:paraId="5E91B13B" w14:textId="77777777" w:rsidR="00310244" w:rsidRPr="00965079" w:rsidRDefault="00E66695" w:rsidP="00965079">
      <w:pPr>
        <w:pStyle w:val="BodyText"/>
        <w:spacing w:before="120"/>
        <w:ind w:left="425" w:hanging="425"/>
        <w:jc w:val="both"/>
        <w:rPr>
          <w:rFonts w:cs="Arial"/>
        </w:rPr>
      </w:pPr>
      <w:r w:rsidRPr="00965079">
        <w:rPr>
          <w:rFonts w:cs="Arial"/>
        </w:rPr>
        <w:t>Knight, H. et al. (2021) ‘Impacts of the COVID-19 pandemic and self-isolation on students and staff in higher education: a qualitative study’, International Journal of Environmental Research and Public Health, 18(20), 10675.</w:t>
      </w:r>
      <w:r w:rsidR="004845E8" w:rsidRPr="00965079">
        <w:rPr>
          <w:rFonts w:cs="Arial"/>
        </w:rPr>
        <w:t xml:space="preserve"> </w:t>
      </w:r>
      <w:hyperlink r:id="rId35" w:history="1">
        <w:r w:rsidR="004845E8" w:rsidRPr="00965079">
          <w:rPr>
            <w:rStyle w:val="Hyperlink"/>
            <w:rFonts w:cs="Arial"/>
          </w:rPr>
          <w:t>https://doi.org/10.3390/ijerph182010675</w:t>
        </w:r>
      </w:hyperlink>
      <w:r w:rsidR="004845E8" w:rsidRPr="00965079">
        <w:rPr>
          <w:rFonts w:cs="Arial"/>
        </w:rPr>
        <w:t xml:space="preserve"> </w:t>
      </w:r>
    </w:p>
    <w:p w14:paraId="164908D7" w14:textId="77777777" w:rsidR="00310244" w:rsidRPr="00965079" w:rsidRDefault="00E66695" w:rsidP="00965079">
      <w:pPr>
        <w:pStyle w:val="BodyText"/>
        <w:spacing w:before="120"/>
        <w:ind w:left="425" w:hanging="425"/>
        <w:jc w:val="both"/>
        <w:rPr>
          <w:rFonts w:cs="Arial"/>
          <w:sz w:val="28"/>
        </w:rPr>
      </w:pPr>
      <w:r w:rsidRPr="00965079">
        <w:rPr>
          <w:rFonts w:cs="Arial"/>
        </w:rPr>
        <w:t>Levac, D., Colquhoun, H. and O’Brien, K.K. (2010) ‘Scoping studies: advancing the methodology’, Implementation Science, 5, 69.</w:t>
      </w:r>
      <w:r w:rsidR="004845E8" w:rsidRPr="00965079">
        <w:rPr>
          <w:rFonts w:cs="Arial"/>
        </w:rPr>
        <w:t xml:space="preserve"> </w:t>
      </w:r>
      <w:hyperlink r:id="rId36" w:history="1">
        <w:r w:rsidR="004845E8" w:rsidRPr="00965079">
          <w:rPr>
            <w:rStyle w:val="Hyperlink"/>
            <w:rFonts w:cs="Arial"/>
          </w:rPr>
          <w:t>https://doi.org/10.1186/1748-5908-5-69</w:t>
        </w:r>
      </w:hyperlink>
      <w:r w:rsidR="004845E8" w:rsidRPr="00965079">
        <w:rPr>
          <w:rFonts w:cs="Arial"/>
        </w:rPr>
        <w:t xml:space="preserve"> </w:t>
      </w:r>
    </w:p>
    <w:p w14:paraId="0AE4E2DF" w14:textId="77777777" w:rsidR="00310244" w:rsidRPr="00965079" w:rsidRDefault="00E66695" w:rsidP="00965079">
      <w:pPr>
        <w:pStyle w:val="BodyText"/>
        <w:spacing w:before="120"/>
        <w:ind w:left="425" w:hanging="425"/>
        <w:jc w:val="both"/>
        <w:rPr>
          <w:rFonts w:cs="Arial"/>
          <w:sz w:val="28"/>
        </w:rPr>
      </w:pPr>
      <w:r w:rsidRPr="00965079">
        <w:rPr>
          <w:rFonts w:cs="Arial"/>
        </w:rPr>
        <w:t>Liverpool, S. et al. (2023) ‘Mental health and wellbeing of further and higher education students returning to face-to-face learning after Covid-19 restrictions’, PLOS ONE, 18, e0280689.</w:t>
      </w:r>
      <w:r w:rsidR="004845E8" w:rsidRPr="00965079">
        <w:rPr>
          <w:rFonts w:cs="Arial"/>
        </w:rPr>
        <w:t xml:space="preserve"> </w:t>
      </w:r>
      <w:hyperlink r:id="rId37" w:history="1">
        <w:r w:rsidR="004845E8" w:rsidRPr="00965079">
          <w:rPr>
            <w:rStyle w:val="Hyperlink"/>
            <w:rFonts w:cs="Arial"/>
          </w:rPr>
          <w:t>https://doi.org/10.1371/journal.pone.0280689</w:t>
        </w:r>
      </w:hyperlink>
      <w:r w:rsidR="004845E8" w:rsidRPr="00965079">
        <w:rPr>
          <w:rFonts w:cs="Arial"/>
        </w:rPr>
        <w:t xml:space="preserve"> </w:t>
      </w:r>
    </w:p>
    <w:p w14:paraId="09E0326C" w14:textId="77777777" w:rsidR="00310244" w:rsidRPr="00965079" w:rsidRDefault="00E66695" w:rsidP="00965079">
      <w:pPr>
        <w:pStyle w:val="BodyText"/>
        <w:spacing w:before="120"/>
        <w:ind w:left="425" w:hanging="425"/>
        <w:jc w:val="both"/>
        <w:rPr>
          <w:rFonts w:cs="Arial"/>
          <w:sz w:val="28"/>
        </w:rPr>
      </w:pPr>
      <w:proofErr w:type="spellStart"/>
      <w:r w:rsidRPr="00965079">
        <w:rPr>
          <w:rFonts w:cs="Arial"/>
        </w:rPr>
        <w:t>Marchlinska</w:t>
      </w:r>
      <w:proofErr w:type="spellEnd"/>
      <w:r w:rsidRPr="00965079">
        <w:rPr>
          <w:rFonts w:cs="Arial"/>
        </w:rPr>
        <w:t>, A., Pownall, M., Blundell-Birtill, P. and Harris, R. (2023) ‘We all sort of struggled through it together: students’ lived experiences of university life during the pandemic’, Journal of Further and Higher Education, 47(7), pp. 875-888.</w:t>
      </w:r>
      <w:r w:rsidR="004845E8" w:rsidRPr="00965079">
        <w:rPr>
          <w:rFonts w:cs="Arial"/>
        </w:rPr>
        <w:t xml:space="preserve"> </w:t>
      </w:r>
      <w:hyperlink r:id="rId38" w:history="1">
        <w:r w:rsidR="004845E8" w:rsidRPr="00965079">
          <w:rPr>
            <w:rStyle w:val="Hyperlink"/>
            <w:rFonts w:cs="Arial"/>
          </w:rPr>
          <w:t>https://doi.org/10.1080/0309877X.2023.2191175</w:t>
        </w:r>
      </w:hyperlink>
      <w:r w:rsidR="004845E8" w:rsidRPr="00965079">
        <w:rPr>
          <w:rFonts w:cs="Arial"/>
        </w:rPr>
        <w:t xml:space="preserve"> </w:t>
      </w:r>
    </w:p>
    <w:p w14:paraId="78FB0F8E" w14:textId="77777777" w:rsidR="00310244" w:rsidRPr="00965079" w:rsidRDefault="00E66695" w:rsidP="00965079">
      <w:pPr>
        <w:pStyle w:val="BodyText"/>
        <w:spacing w:before="120"/>
        <w:ind w:left="425" w:hanging="425"/>
        <w:jc w:val="both"/>
        <w:rPr>
          <w:rFonts w:cs="Arial"/>
          <w:sz w:val="28"/>
        </w:rPr>
      </w:pPr>
      <w:r w:rsidRPr="00965079">
        <w:rPr>
          <w:rFonts w:cs="Arial"/>
        </w:rPr>
        <w:t xml:space="preserve">McCullogh, N., Allen, G., Boocock, E., Peart, D.J. and Hayman, R. (2022) ‘Online learning in higher education in the UK: exploring the experiences of sports students and staff’, </w:t>
      </w:r>
      <w:r w:rsidRPr="00965079">
        <w:rPr>
          <w:rFonts w:cs="Arial"/>
        </w:rPr>
        <w:lastRenderedPageBreak/>
        <w:t>Journal of Hospitality, Leisure, Sport &amp; Tourism Education, 31, 100398.</w:t>
      </w:r>
      <w:r w:rsidR="004845E8" w:rsidRPr="00965079">
        <w:rPr>
          <w:rFonts w:cs="Arial"/>
        </w:rPr>
        <w:t xml:space="preserve"> </w:t>
      </w:r>
      <w:hyperlink r:id="rId39" w:history="1">
        <w:r w:rsidR="004845E8" w:rsidRPr="00965079">
          <w:rPr>
            <w:rStyle w:val="Hyperlink"/>
            <w:rFonts w:cs="Arial"/>
          </w:rPr>
          <w:t>https://doi.org/10.1016/j.jhlste.2022.100398</w:t>
        </w:r>
      </w:hyperlink>
      <w:r w:rsidR="004845E8" w:rsidRPr="00965079">
        <w:rPr>
          <w:rFonts w:cs="Arial"/>
        </w:rPr>
        <w:t xml:space="preserve"> </w:t>
      </w:r>
    </w:p>
    <w:p w14:paraId="5290AEE0" w14:textId="77777777" w:rsidR="00310244" w:rsidRPr="00965079" w:rsidRDefault="00E66695" w:rsidP="00965079">
      <w:pPr>
        <w:pStyle w:val="BodyText"/>
        <w:spacing w:before="120"/>
        <w:ind w:left="425" w:hanging="425"/>
        <w:jc w:val="both"/>
        <w:rPr>
          <w:rFonts w:cs="Arial"/>
          <w:sz w:val="28"/>
        </w:rPr>
      </w:pPr>
      <w:proofErr w:type="spellStart"/>
      <w:r w:rsidRPr="00965079">
        <w:rPr>
          <w:rFonts w:cs="Arial"/>
        </w:rPr>
        <w:t>Misca</w:t>
      </w:r>
      <w:proofErr w:type="spellEnd"/>
      <w:r w:rsidRPr="00965079">
        <w:rPr>
          <w:rFonts w:cs="Arial"/>
        </w:rPr>
        <w:t>, G. and Thornton, G. (2021) ‘Navigating the same storm but not in the same boat: mental health vulnerability and coping in women university students during the first COVID-19 lockdown in the UK’, Frontiers in Psychology, 12, 648533.</w:t>
      </w:r>
      <w:r w:rsidR="004845E8" w:rsidRPr="00965079">
        <w:rPr>
          <w:rFonts w:cs="Arial"/>
        </w:rPr>
        <w:t xml:space="preserve"> </w:t>
      </w:r>
      <w:hyperlink r:id="rId40" w:history="1">
        <w:r w:rsidR="004845E8" w:rsidRPr="00965079">
          <w:rPr>
            <w:rStyle w:val="Hyperlink"/>
            <w:rFonts w:cs="Arial"/>
          </w:rPr>
          <w:t>https://doi.org/10.3389/fpsyg.2021.648533</w:t>
        </w:r>
      </w:hyperlink>
      <w:r w:rsidR="004845E8" w:rsidRPr="00965079">
        <w:rPr>
          <w:rFonts w:cs="Arial"/>
        </w:rPr>
        <w:t xml:space="preserve"> </w:t>
      </w:r>
    </w:p>
    <w:p w14:paraId="13919D9F" w14:textId="77777777" w:rsidR="00310244" w:rsidRPr="00965079" w:rsidRDefault="00E66695" w:rsidP="00965079">
      <w:pPr>
        <w:pStyle w:val="BodyText"/>
        <w:spacing w:before="120"/>
        <w:ind w:left="425" w:hanging="425"/>
        <w:jc w:val="both"/>
        <w:rPr>
          <w:rFonts w:cs="Arial"/>
          <w:sz w:val="28"/>
        </w:rPr>
      </w:pPr>
      <w:r w:rsidRPr="00965079">
        <w:rPr>
          <w:rFonts w:cs="Arial"/>
        </w:rPr>
        <w:t xml:space="preserve">Munn, Z. et al. (2018) ‘Systematic review or scoping review? Guidance for authors when choosing between a systematic or scoping review approach’, BMC Medical Research Methodology, 18, 143. </w:t>
      </w:r>
      <w:hyperlink r:id="rId41" w:history="1">
        <w:r w:rsidRPr="00965079">
          <w:rPr>
            <w:rStyle w:val="Hyperlink"/>
            <w:rFonts w:cs="Arial"/>
          </w:rPr>
          <w:t>https://doi.org/10.1186/s12874-018-0611-x</w:t>
        </w:r>
      </w:hyperlink>
      <w:r w:rsidRPr="00965079">
        <w:rPr>
          <w:rFonts w:cs="Arial"/>
        </w:rPr>
        <w:t xml:space="preserve"> </w:t>
      </w:r>
    </w:p>
    <w:p w14:paraId="545892DC" w14:textId="77777777" w:rsidR="00310244" w:rsidRPr="00965079" w:rsidRDefault="00E66695" w:rsidP="00965079">
      <w:pPr>
        <w:pStyle w:val="BodyText"/>
        <w:spacing w:before="120"/>
        <w:ind w:left="425" w:hanging="425"/>
        <w:jc w:val="both"/>
        <w:rPr>
          <w:rFonts w:cs="Arial"/>
        </w:rPr>
      </w:pPr>
      <w:r w:rsidRPr="00965079">
        <w:rPr>
          <w:rFonts w:cs="Arial"/>
        </w:rPr>
        <w:t xml:space="preserve">Owens, M. et al. (2022) ‘Mental health and wellbeing in young people in the UK during lockdown (COVID-19)’, International Journal of Environmental Research and Public Health, 19(3), 1132. </w:t>
      </w:r>
      <w:hyperlink r:id="rId42" w:history="1">
        <w:r w:rsidRPr="00965079">
          <w:rPr>
            <w:rStyle w:val="Hyperlink"/>
            <w:rFonts w:cs="Arial"/>
          </w:rPr>
          <w:t>https://doi.org/10.3390/ijerph19031132</w:t>
        </w:r>
      </w:hyperlink>
      <w:r w:rsidRPr="00965079">
        <w:rPr>
          <w:rFonts w:cs="Arial"/>
        </w:rPr>
        <w:t xml:space="preserve"> </w:t>
      </w:r>
    </w:p>
    <w:p w14:paraId="6506E14E" w14:textId="77777777" w:rsidR="00310244" w:rsidRPr="00965079" w:rsidRDefault="00E66695" w:rsidP="00965079">
      <w:pPr>
        <w:pStyle w:val="BodyText"/>
        <w:spacing w:before="120"/>
        <w:ind w:left="425" w:hanging="425"/>
        <w:jc w:val="both"/>
        <w:rPr>
          <w:rFonts w:cs="Arial"/>
          <w:sz w:val="28"/>
        </w:rPr>
      </w:pPr>
      <w:r w:rsidRPr="00965079">
        <w:rPr>
          <w:rFonts w:cs="Arial"/>
        </w:rPr>
        <w:t>Page, M.J. et al. (2021) ‘The PRISMA 2020 statement: an updated guideline for reporting systematic reviews’, BMJ, 372, n71.</w:t>
      </w:r>
      <w:r w:rsidR="003B284A" w:rsidRPr="00965079">
        <w:rPr>
          <w:rFonts w:cs="Arial"/>
        </w:rPr>
        <w:t xml:space="preserve"> </w:t>
      </w:r>
      <w:hyperlink r:id="rId43" w:history="1">
        <w:r w:rsidR="003B284A" w:rsidRPr="00965079">
          <w:rPr>
            <w:rStyle w:val="Hyperlink"/>
            <w:rFonts w:cs="Arial"/>
          </w:rPr>
          <w:t>https://doi.org/10.1136/bmj.n71</w:t>
        </w:r>
      </w:hyperlink>
      <w:r w:rsidR="003B284A" w:rsidRPr="00965079">
        <w:rPr>
          <w:rFonts w:cs="Arial"/>
        </w:rPr>
        <w:t xml:space="preserve"> </w:t>
      </w:r>
    </w:p>
    <w:p w14:paraId="53FE4FF1" w14:textId="77777777" w:rsidR="00310244" w:rsidRPr="00965079" w:rsidRDefault="00E66695" w:rsidP="00965079">
      <w:pPr>
        <w:pStyle w:val="BodyText"/>
        <w:spacing w:before="120"/>
        <w:ind w:left="425" w:hanging="425"/>
        <w:jc w:val="both"/>
        <w:rPr>
          <w:rFonts w:cs="Arial"/>
          <w:sz w:val="28"/>
        </w:rPr>
      </w:pPr>
      <w:r w:rsidRPr="00965079">
        <w:rPr>
          <w:rFonts w:cs="Arial"/>
        </w:rPr>
        <w:t>Paton, L.W. et al. (2023) ‘Mental health trajectories in university students across the COVID-19 pandemic: findings from the Student Wellbeing at Northern England Universities prospective cohort study’, Frontiers in Public Health, 11, 1188690.</w:t>
      </w:r>
      <w:r w:rsidR="003B2406" w:rsidRPr="00965079">
        <w:rPr>
          <w:rFonts w:cs="Arial"/>
        </w:rPr>
        <w:t xml:space="preserve"> </w:t>
      </w:r>
      <w:hyperlink r:id="rId44" w:history="1">
        <w:r w:rsidR="003B2406" w:rsidRPr="00965079">
          <w:rPr>
            <w:rStyle w:val="Hyperlink"/>
            <w:rFonts w:cs="Arial"/>
          </w:rPr>
          <w:t>https://doi.org/10.3389/fpubh.2023.1188690</w:t>
        </w:r>
      </w:hyperlink>
      <w:r w:rsidR="003B2406" w:rsidRPr="00965079">
        <w:rPr>
          <w:rFonts w:cs="Arial"/>
        </w:rPr>
        <w:t xml:space="preserve"> </w:t>
      </w:r>
    </w:p>
    <w:p w14:paraId="5E4DABE3" w14:textId="77777777" w:rsidR="00310244" w:rsidRPr="00965079" w:rsidRDefault="00E66695" w:rsidP="00965079">
      <w:pPr>
        <w:pStyle w:val="BodyText"/>
        <w:spacing w:before="120"/>
        <w:ind w:left="425" w:hanging="425"/>
        <w:jc w:val="both"/>
        <w:rPr>
          <w:rFonts w:cs="Arial"/>
          <w:sz w:val="28"/>
        </w:rPr>
      </w:pPr>
      <w:r w:rsidRPr="00965079">
        <w:rPr>
          <w:rFonts w:cs="Arial"/>
        </w:rPr>
        <w:t>Peters, M.D.J. et al. (2020) ‘Updated methodological guidance for the conduct of scoping reviews’, JBI Evidence Synthesis, 18(10), pp. 2119-2126.</w:t>
      </w:r>
      <w:r w:rsidR="003B2406" w:rsidRPr="00965079">
        <w:rPr>
          <w:rFonts w:cs="Arial"/>
        </w:rPr>
        <w:t xml:space="preserve"> </w:t>
      </w:r>
      <w:hyperlink r:id="rId45" w:history="1">
        <w:r w:rsidR="003B2406" w:rsidRPr="00965079">
          <w:rPr>
            <w:rStyle w:val="Hyperlink"/>
            <w:rFonts w:cs="Arial"/>
          </w:rPr>
          <w:t>https://doi.org/10.11124/jbies-20-00167</w:t>
        </w:r>
      </w:hyperlink>
      <w:r w:rsidR="003B2406" w:rsidRPr="00965079">
        <w:rPr>
          <w:rFonts w:cs="Arial"/>
        </w:rPr>
        <w:t xml:space="preserve"> </w:t>
      </w:r>
    </w:p>
    <w:p w14:paraId="64C80D69" w14:textId="77777777" w:rsidR="00310244" w:rsidRPr="00965079" w:rsidRDefault="00E66695" w:rsidP="00965079">
      <w:pPr>
        <w:pStyle w:val="BodyText"/>
        <w:spacing w:before="120"/>
        <w:ind w:left="425" w:hanging="425"/>
        <w:jc w:val="both"/>
        <w:rPr>
          <w:rFonts w:cs="Arial"/>
          <w:sz w:val="28"/>
        </w:rPr>
      </w:pPr>
      <w:proofErr w:type="spellStart"/>
      <w:r w:rsidRPr="00965079">
        <w:rPr>
          <w:rFonts w:cs="Arial"/>
        </w:rPr>
        <w:t>Rethlefsen</w:t>
      </w:r>
      <w:proofErr w:type="spellEnd"/>
      <w:r w:rsidRPr="00965079">
        <w:rPr>
          <w:rFonts w:cs="Arial"/>
        </w:rPr>
        <w:t>, M.L. et al. (2021) ‘PRISMA-S: an extension to the PRISMA statement for reporting literature searches in systematic reviews’, Systematic Reviews, 10, 39.</w:t>
      </w:r>
      <w:r w:rsidR="003B2406" w:rsidRPr="00965079">
        <w:rPr>
          <w:rFonts w:cs="Arial"/>
        </w:rPr>
        <w:t xml:space="preserve"> </w:t>
      </w:r>
      <w:hyperlink r:id="rId46" w:history="1">
        <w:r w:rsidR="003B2406" w:rsidRPr="00965079">
          <w:rPr>
            <w:rStyle w:val="Hyperlink"/>
            <w:rFonts w:cs="Arial"/>
          </w:rPr>
          <w:t>https://doi.org/10.5195/jmla.2021.962</w:t>
        </w:r>
      </w:hyperlink>
      <w:r w:rsidR="003B2406" w:rsidRPr="00965079">
        <w:rPr>
          <w:rFonts w:cs="Arial"/>
        </w:rPr>
        <w:t xml:space="preserve"> </w:t>
      </w:r>
    </w:p>
    <w:p w14:paraId="69B76F33" w14:textId="77777777" w:rsidR="00310244" w:rsidRPr="00965079" w:rsidRDefault="00E66695" w:rsidP="00965079">
      <w:pPr>
        <w:pStyle w:val="BodyText"/>
        <w:spacing w:before="120"/>
        <w:ind w:left="425" w:hanging="425"/>
        <w:jc w:val="both"/>
        <w:rPr>
          <w:rFonts w:cs="Arial"/>
          <w:sz w:val="28"/>
        </w:rPr>
      </w:pPr>
      <w:r w:rsidRPr="00965079">
        <w:rPr>
          <w:rFonts w:cs="Arial"/>
        </w:rPr>
        <w:t xml:space="preserve">Rich, A., Viney, R., </w:t>
      </w:r>
      <w:proofErr w:type="spellStart"/>
      <w:r w:rsidRPr="00965079">
        <w:rPr>
          <w:rFonts w:cs="Arial"/>
        </w:rPr>
        <w:t>Silkens</w:t>
      </w:r>
      <w:proofErr w:type="spellEnd"/>
      <w:r w:rsidRPr="00965079">
        <w:rPr>
          <w:rFonts w:cs="Arial"/>
        </w:rPr>
        <w:t xml:space="preserve">, M., Griffin, A. and </w:t>
      </w:r>
      <w:proofErr w:type="spellStart"/>
      <w:r w:rsidRPr="00965079">
        <w:rPr>
          <w:rFonts w:cs="Arial"/>
        </w:rPr>
        <w:t>Medisauskaite</w:t>
      </w:r>
      <w:proofErr w:type="spellEnd"/>
      <w:r w:rsidRPr="00965079">
        <w:rPr>
          <w:rFonts w:cs="Arial"/>
        </w:rPr>
        <w:t>, A. (2023) ‘UK medical students’ mental health during the COVID-19 pandemic: a qualitative interview study’, BMJ Open, 13, e070528.</w:t>
      </w:r>
      <w:r w:rsidR="003B2406" w:rsidRPr="00965079">
        <w:rPr>
          <w:rFonts w:cs="Arial"/>
        </w:rPr>
        <w:t xml:space="preserve"> </w:t>
      </w:r>
      <w:hyperlink r:id="rId47" w:history="1">
        <w:r w:rsidR="003B2406" w:rsidRPr="00965079">
          <w:rPr>
            <w:rStyle w:val="Hyperlink"/>
            <w:rFonts w:cs="Arial"/>
          </w:rPr>
          <w:t>https://doi.org/10.1136/bmjopen-2022-070528</w:t>
        </w:r>
      </w:hyperlink>
      <w:r w:rsidR="003B2406" w:rsidRPr="00965079">
        <w:rPr>
          <w:rFonts w:cs="Arial"/>
        </w:rPr>
        <w:t xml:space="preserve"> </w:t>
      </w:r>
    </w:p>
    <w:p w14:paraId="3D31F39C" w14:textId="799E4AB8" w:rsidR="00310244" w:rsidRPr="00965079" w:rsidRDefault="00E66695" w:rsidP="00965079">
      <w:pPr>
        <w:pStyle w:val="BodyText"/>
        <w:spacing w:before="120"/>
        <w:ind w:left="425" w:hanging="425"/>
        <w:jc w:val="both"/>
        <w:rPr>
          <w:rFonts w:cs="Arial"/>
          <w:sz w:val="28"/>
        </w:rPr>
      </w:pPr>
      <w:r w:rsidRPr="00965079">
        <w:rPr>
          <w:rFonts w:cs="Arial"/>
        </w:rPr>
        <w:t xml:space="preserve">Savage, M.J. et al. (2021) ‘Nine months into the COVID-19 pandemic: a longitudinal study showing mental health and movement </w:t>
      </w:r>
      <w:proofErr w:type="spellStart"/>
      <w:r w:rsidRPr="00965079">
        <w:rPr>
          <w:rFonts w:cs="Arial"/>
        </w:rPr>
        <w:t>behaviours</w:t>
      </w:r>
      <w:proofErr w:type="spellEnd"/>
      <w:r w:rsidRPr="00965079">
        <w:rPr>
          <w:rFonts w:cs="Arial"/>
        </w:rPr>
        <w:t xml:space="preserve"> are impaired in UK students’, International Journal of Environmental Research and Public Health, 18(6), 2930.</w:t>
      </w:r>
      <w:r w:rsidR="00CB3684" w:rsidRPr="00965079">
        <w:rPr>
          <w:rFonts w:cs="Arial"/>
        </w:rPr>
        <w:t xml:space="preserve"> </w:t>
      </w:r>
      <w:hyperlink r:id="rId48" w:history="1">
        <w:r w:rsidR="00CB3684" w:rsidRPr="00965079">
          <w:rPr>
            <w:rStyle w:val="Hyperlink"/>
            <w:rFonts w:cs="Arial"/>
          </w:rPr>
          <w:t>https://doi.org/10.3390/ijerph18062930</w:t>
        </w:r>
      </w:hyperlink>
      <w:r w:rsidR="00CB3684" w:rsidRPr="00965079">
        <w:rPr>
          <w:rFonts w:cs="Arial"/>
        </w:rPr>
        <w:t xml:space="preserve"> </w:t>
      </w:r>
      <w:r w:rsidR="003C7594">
        <w:rPr>
          <w:rFonts w:cs="Arial"/>
        </w:rPr>
        <w:t xml:space="preserve"> </w:t>
      </w:r>
    </w:p>
    <w:p w14:paraId="405B79B8" w14:textId="77777777" w:rsidR="00310244" w:rsidRPr="00965079" w:rsidRDefault="00E66695" w:rsidP="00965079">
      <w:pPr>
        <w:pStyle w:val="BodyText"/>
        <w:spacing w:before="120"/>
        <w:ind w:left="425" w:hanging="425"/>
        <w:jc w:val="both"/>
        <w:rPr>
          <w:rFonts w:cs="Arial"/>
          <w:sz w:val="28"/>
        </w:rPr>
      </w:pPr>
      <w:r w:rsidRPr="00965079">
        <w:rPr>
          <w:rFonts w:cs="Arial"/>
        </w:rPr>
        <w:lastRenderedPageBreak/>
        <w:t>Sheldon, E. et al. (2021) ‘Prevalence and risk factors for mental health problems in university undergraduate students: a systematic review with meta-analysis’, Journal of Affective Disorders, 287, pp. 282-292.</w:t>
      </w:r>
      <w:r w:rsidR="00CB3684" w:rsidRPr="00965079">
        <w:rPr>
          <w:rFonts w:cs="Arial"/>
        </w:rPr>
        <w:t xml:space="preserve"> </w:t>
      </w:r>
      <w:hyperlink r:id="rId49" w:history="1">
        <w:r w:rsidR="00CB3684" w:rsidRPr="00965079">
          <w:rPr>
            <w:rStyle w:val="Hyperlink"/>
            <w:rFonts w:cs="Arial"/>
          </w:rPr>
          <w:t>https://doi.org/10.1016/j.jad.2021.03.054</w:t>
        </w:r>
      </w:hyperlink>
      <w:r w:rsidR="00CB3684" w:rsidRPr="00965079">
        <w:rPr>
          <w:rFonts w:cs="Arial"/>
        </w:rPr>
        <w:t xml:space="preserve"> </w:t>
      </w:r>
    </w:p>
    <w:p w14:paraId="10595DB7" w14:textId="77777777" w:rsidR="00310244" w:rsidRPr="00965079" w:rsidRDefault="00E66695" w:rsidP="00965079">
      <w:pPr>
        <w:pStyle w:val="BodyText"/>
        <w:spacing w:before="120"/>
        <w:ind w:left="425" w:hanging="425"/>
        <w:jc w:val="both"/>
        <w:rPr>
          <w:rFonts w:cs="Arial"/>
          <w:sz w:val="28"/>
        </w:rPr>
      </w:pPr>
      <w:r w:rsidRPr="00965079">
        <w:rPr>
          <w:rFonts w:cs="Arial"/>
        </w:rPr>
        <w:t>Slack, H.R. and Priestley, M. (2023) ‘Online learning and assessment during the Covid-19 pandemic: exploring the impact on undergraduate student well-being’, Assessment &amp; Evaluation in Higher Education, 48(3), pp. 333-349.</w:t>
      </w:r>
      <w:r w:rsidR="000818AD" w:rsidRPr="00965079">
        <w:rPr>
          <w:rFonts w:cs="Arial"/>
        </w:rPr>
        <w:t xml:space="preserve"> </w:t>
      </w:r>
      <w:hyperlink r:id="rId50" w:history="1">
        <w:r w:rsidR="000818AD" w:rsidRPr="00965079">
          <w:rPr>
            <w:rStyle w:val="Hyperlink"/>
            <w:rFonts w:cs="Arial"/>
          </w:rPr>
          <w:t>https://psycnet.apa.org/doi/10.1080/02602938.2022.2076804</w:t>
        </w:r>
      </w:hyperlink>
      <w:r w:rsidR="000818AD" w:rsidRPr="00965079">
        <w:rPr>
          <w:rFonts w:cs="Arial"/>
        </w:rPr>
        <w:t xml:space="preserve"> </w:t>
      </w:r>
    </w:p>
    <w:p w14:paraId="4F6CEF1A" w14:textId="77777777" w:rsidR="00310244" w:rsidRPr="00965079" w:rsidRDefault="00E66695" w:rsidP="00965079">
      <w:pPr>
        <w:pStyle w:val="BodyText"/>
        <w:spacing w:before="120"/>
        <w:ind w:left="425" w:hanging="425"/>
        <w:jc w:val="both"/>
        <w:rPr>
          <w:rFonts w:cs="Arial"/>
          <w:sz w:val="28"/>
        </w:rPr>
      </w:pPr>
      <w:r w:rsidRPr="00965079">
        <w:rPr>
          <w:rFonts w:cs="Arial"/>
        </w:rPr>
        <w:t xml:space="preserve">Stoll, N., </w:t>
      </w:r>
      <w:proofErr w:type="spellStart"/>
      <w:r w:rsidRPr="00965079">
        <w:rPr>
          <w:rFonts w:cs="Arial"/>
        </w:rPr>
        <w:t>Yalipende</w:t>
      </w:r>
      <w:proofErr w:type="spellEnd"/>
      <w:r w:rsidRPr="00965079">
        <w:rPr>
          <w:rFonts w:cs="Arial"/>
        </w:rPr>
        <w:t>, Y., Byrom, N.C., Hatch, S.L. and Lempp, H. (2022) ‘Mental health and mental well-being of Black students at UK universities: a review and thematic synthesis’, BMJ Open, 12(2), e050720.</w:t>
      </w:r>
      <w:r w:rsidR="000818AD" w:rsidRPr="00965079">
        <w:rPr>
          <w:rFonts w:cs="Arial"/>
        </w:rPr>
        <w:t xml:space="preserve"> </w:t>
      </w:r>
      <w:hyperlink r:id="rId51" w:history="1">
        <w:r w:rsidR="000818AD" w:rsidRPr="00965079">
          <w:rPr>
            <w:rStyle w:val="Hyperlink"/>
            <w:rFonts w:cs="Arial"/>
          </w:rPr>
          <w:t>https://doi.org/10.1136/bmjopen-2021-050720</w:t>
        </w:r>
      </w:hyperlink>
      <w:r w:rsidR="000818AD" w:rsidRPr="00965079">
        <w:rPr>
          <w:rFonts w:cs="Arial"/>
        </w:rPr>
        <w:t xml:space="preserve"> </w:t>
      </w:r>
    </w:p>
    <w:p w14:paraId="211D8613" w14:textId="77777777" w:rsidR="00310244" w:rsidRPr="00965079" w:rsidRDefault="00E66695" w:rsidP="00965079">
      <w:pPr>
        <w:pStyle w:val="BodyText"/>
        <w:spacing w:before="120"/>
        <w:ind w:left="425" w:hanging="425"/>
        <w:jc w:val="both"/>
        <w:rPr>
          <w:rFonts w:cs="Arial"/>
          <w:sz w:val="28"/>
        </w:rPr>
      </w:pPr>
      <w:r w:rsidRPr="00965079">
        <w:rPr>
          <w:rFonts w:cs="Arial"/>
        </w:rPr>
        <w:t xml:space="preserve">Tang, N.K.Y. et al. (2022) ‘Pandemic and student mental health: mental health symptoms among university students and young adults after the first cycle of lockdown in the UK’, </w:t>
      </w:r>
      <w:proofErr w:type="spellStart"/>
      <w:r w:rsidRPr="00965079">
        <w:rPr>
          <w:rFonts w:cs="Arial"/>
        </w:rPr>
        <w:t>BJPsych</w:t>
      </w:r>
      <w:proofErr w:type="spellEnd"/>
      <w:r w:rsidRPr="00965079">
        <w:rPr>
          <w:rFonts w:cs="Arial"/>
        </w:rPr>
        <w:t xml:space="preserve"> Open, 8(4), e138.</w:t>
      </w:r>
      <w:r w:rsidR="000818AD" w:rsidRPr="00965079">
        <w:rPr>
          <w:rFonts w:cs="Arial"/>
        </w:rPr>
        <w:t xml:space="preserve"> </w:t>
      </w:r>
      <w:hyperlink r:id="rId52" w:history="1">
        <w:r w:rsidR="000818AD" w:rsidRPr="00965079">
          <w:rPr>
            <w:rStyle w:val="Hyperlink"/>
            <w:rFonts w:cs="Arial"/>
          </w:rPr>
          <w:t>https://doi.org/10.1192/bjo.2022.523</w:t>
        </w:r>
      </w:hyperlink>
      <w:r w:rsidR="000818AD" w:rsidRPr="00965079">
        <w:rPr>
          <w:rFonts w:cs="Arial"/>
        </w:rPr>
        <w:t xml:space="preserve"> </w:t>
      </w:r>
    </w:p>
    <w:p w14:paraId="04AD4147" w14:textId="77777777" w:rsidR="00310244" w:rsidRPr="00965079" w:rsidRDefault="00E66695" w:rsidP="00965079">
      <w:pPr>
        <w:pStyle w:val="BodyText"/>
        <w:spacing w:before="120"/>
        <w:ind w:left="425" w:hanging="425"/>
        <w:jc w:val="both"/>
        <w:rPr>
          <w:rFonts w:cs="Arial"/>
          <w:sz w:val="28"/>
        </w:rPr>
      </w:pPr>
      <w:proofErr w:type="spellStart"/>
      <w:r w:rsidRPr="00965079">
        <w:rPr>
          <w:rFonts w:cs="Arial"/>
        </w:rPr>
        <w:t>Tricco</w:t>
      </w:r>
      <w:proofErr w:type="spellEnd"/>
      <w:r w:rsidRPr="00965079">
        <w:rPr>
          <w:rFonts w:cs="Arial"/>
        </w:rPr>
        <w:t>, A.C. et al. (2018) ‘PRISMA extension for scoping reviews (PRISMA-</w:t>
      </w:r>
      <w:proofErr w:type="spellStart"/>
      <w:r w:rsidRPr="00965079">
        <w:rPr>
          <w:rFonts w:cs="Arial"/>
        </w:rPr>
        <w:t>ScR</w:t>
      </w:r>
      <w:proofErr w:type="spellEnd"/>
      <w:r w:rsidRPr="00965079">
        <w:rPr>
          <w:rFonts w:cs="Arial"/>
        </w:rPr>
        <w:t>): checklist and explanation’, Annals of Internal Medicine, 169(7), pp. 467-473.</w:t>
      </w:r>
      <w:r w:rsidR="000818AD" w:rsidRPr="00965079">
        <w:rPr>
          <w:rFonts w:cs="Arial"/>
        </w:rPr>
        <w:t xml:space="preserve"> </w:t>
      </w:r>
      <w:hyperlink r:id="rId53" w:history="1">
        <w:r w:rsidR="000818AD" w:rsidRPr="00965079">
          <w:rPr>
            <w:rStyle w:val="Hyperlink"/>
            <w:rFonts w:cs="Arial"/>
          </w:rPr>
          <w:t>https://doi.org/10.7326/m18-0850</w:t>
        </w:r>
      </w:hyperlink>
      <w:r w:rsidR="000818AD" w:rsidRPr="00965079">
        <w:rPr>
          <w:rFonts w:cs="Arial"/>
        </w:rPr>
        <w:t xml:space="preserve"> </w:t>
      </w:r>
    </w:p>
    <w:p w14:paraId="05ADE104" w14:textId="77777777" w:rsidR="00310244" w:rsidRPr="00965079" w:rsidRDefault="00E66695" w:rsidP="00965079">
      <w:pPr>
        <w:pStyle w:val="BodyText"/>
        <w:spacing w:before="120"/>
        <w:ind w:left="425" w:hanging="425"/>
        <w:jc w:val="both"/>
        <w:rPr>
          <w:rFonts w:cs="Arial"/>
          <w:sz w:val="28"/>
        </w:rPr>
      </w:pPr>
      <w:r w:rsidRPr="00965079">
        <w:rPr>
          <w:rFonts w:cs="Arial"/>
        </w:rPr>
        <w:t>Worsley, J. et al. (2024) ‘Academic and non-academic predictors of common mental distress during the COVID-19 pandemic in university students’, Frontiers in Public Health, 12, 1441176.</w:t>
      </w:r>
      <w:r w:rsidR="000818AD" w:rsidRPr="00965079">
        <w:rPr>
          <w:rFonts w:cs="Arial"/>
        </w:rPr>
        <w:t xml:space="preserve"> </w:t>
      </w:r>
      <w:hyperlink r:id="rId54" w:history="1">
        <w:r w:rsidR="000818AD" w:rsidRPr="00965079">
          <w:rPr>
            <w:rStyle w:val="Hyperlink"/>
            <w:rFonts w:cs="Arial"/>
          </w:rPr>
          <w:t>https://doi.org/10.3389/fpubh.2024.1441176</w:t>
        </w:r>
      </w:hyperlink>
      <w:r w:rsidR="000818AD" w:rsidRPr="00965079">
        <w:rPr>
          <w:rFonts w:cs="Arial"/>
        </w:rPr>
        <w:t xml:space="preserve"> </w:t>
      </w:r>
    </w:p>
    <w:sectPr w:rsidR="00310244" w:rsidRPr="00965079" w:rsidSect="00DA0146">
      <w:type w:val="continuous"/>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BC806" w14:textId="77777777" w:rsidR="0080747C" w:rsidRDefault="0080747C">
      <w:pPr>
        <w:spacing w:after="0" w:line="240" w:lineRule="auto"/>
      </w:pPr>
      <w:r>
        <w:separator/>
      </w:r>
    </w:p>
  </w:endnote>
  <w:endnote w:type="continuationSeparator" w:id="0">
    <w:p w14:paraId="229B8A1E" w14:textId="77777777" w:rsidR="0080747C" w:rsidRDefault="008074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720908"/>
      <w:docPartObj>
        <w:docPartGallery w:val="Page Numbers (Bottom of Page)"/>
        <w:docPartUnique/>
      </w:docPartObj>
    </w:sdtPr>
    <w:sdtEndPr>
      <w:rPr>
        <w:noProof/>
      </w:rPr>
    </w:sdtEndPr>
    <w:sdtContent>
      <w:p w14:paraId="53FAFF46" w14:textId="77777777" w:rsidR="00E25642" w:rsidRDefault="00E256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1FF52C" w14:textId="77777777" w:rsidR="00E66695" w:rsidRDefault="00E66695">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338CD9" w14:textId="77777777" w:rsidR="0080747C" w:rsidRDefault="0080747C">
      <w:pPr>
        <w:spacing w:after="0" w:line="240" w:lineRule="auto"/>
      </w:pPr>
      <w:r>
        <w:separator/>
      </w:r>
    </w:p>
  </w:footnote>
  <w:footnote w:type="continuationSeparator" w:id="0">
    <w:p w14:paraId="37ECDDE4" w14:textId="77777777" w:rsidR="0080747C" w:rsidRDefault="008074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AE66101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29578CF"/>
    <w:multiLevelType w:val="multilevel"/>
    <w:tmpl w:val="CDDCF9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8674684">
    <w:abstractNumId w:val="8"/>
  </w:num>
  <w:num w:numId="2" w16cid:durableId="1089304431">
    <w:abstractNumId w:val="6"/>
  </w:num>
  <w:num w:numId="3" w16cid:durableId="2042513944">
    <w:abstractNumId w:val="5"/>
  </w:num>
  <w:num w:numId="4" w16cid:durableId="794833111">
    <w:abstractNumId w:val="4"/>
  </w:num>
  <w:num w:numId="5" w16cid:durableId="660894179">
    <w:abstractNumId w:val="7"/>
  </w:num>
  <w:num w:numId="6" w16cid:durableId="1222400052">
    <w:abstractNumId w:val="3"/>
  </w:num>
  <w:num w:numId="7" w16cid:durableId="721903045">
    <w:abstractNumId w:val="2"/>
  </w:num>
  <w:num w:numId="8" w16cid:durableId="1172064608">
    <w:abstractNumId w:val="1"/>
  </w:num>
  <w:num w:numId="9" w16cid:durableId="1826701328">
    <w:abstractNumId w:val="0"/>
  </w:num>
  <w:num w:numId="10" w16cid:durableId="85153156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3981"/>
    <w:rsid w:val="00013D08"/>
    <w:rsid w:val="00034616"/>
    <w:rsid w:val="0004280B"/>
    <w:rsid w:val="0005419B"/>
    <w:rsid w:val="00055CB8"/>
    <w:rsid w:val="0006063C"/>
    <w:rsid w:val="0006644B"/>
    <w:rsid w:val="00066545"/>
    <w:rsid w:val="00075357"/>
    <w:rsid w:val="00077D86"/>
    <w:rsid w:val="000818AD"/>
    <w:rsid w:val="00081BE5"/>
    <w:rsid w:val="00091688"/>
    <w:rsid w:val="000B4859"/>
    <w:rsid w:val="000D40D5"/>
    <w:rsid w:val="000D6488"/>
    <w:rsid w:val="000F3BFA"/>
    <w:rsid w:val="00103600"/>
    <w:rsid w:val="001104BB"/>
    <w:rsid w:val="00122435"/>
    <w:rsid w:val="0012550E"/>
    <w:rsid w:val="0015074B"/>
    <w:rsid w:val="00163AD9"/>
    <w:rsid w:val="001650A9"/>
    <w:rsid w:val="00176566"/>
    <w:rsid w:val="001A31D2"/>
    <w:rsid w:val="001B3741"/>
    <w:rsid w:val="001D512E"/>
    <w:rsid w:val="001E404F"/>
    <w:rsid w:val="0020018D"/>
    <w:rsid w:val="0020707C"/>
    <w:rsid w:val="00214853"/>
    <w:rsid w:val="0022401F"/>
    <w:rsid w:val="00232B55"/>
    <w:rsid w:val="00236D8B"/>
    <w:rsid w:val="00250C2B"/>
    <w:rsid w:val="00252CB9"/>
    <w:rsid w:val="00286FA6"/>
    <w:rsid w:val="00295B59"/>
    <w:rsid w:val="0029639D"/>
    <w:rsid w:val="00296631"/>
    <w:rsid w:val="00296E7B"/>
    <w:rsid w:val="002D5EA2"/>
    <w:rsid w:val="00310244"/>
    <w:rsid w:val="00311672"/>
    <w:rsid w:val="00315CE6"/>
    <w:rsid w:val="00326F90"/>
    <w:rsid w:val="00353325"/>
    <w:rsid w:val="00356B03"/>
    <w:rsid w:val="00371060"/>
    <w:rsid w:val="00374CDF"/>
    <w:rsid w:val="003B2406"/>
    <w:rsid w:val="003B284A"/>
    <w:rsid w:val="003C0B03"/>
    <w:rsid w:val="003C7594"/>
    <w:rsid w:val="003D1623"/>
    <w:rsid w:val="003D1F64"/>
    <w:rsid w:val="003F71A3"/>
    <w:rsid w:val="003F7C73"/>
    <w:rsid w:val="00403623"/>
    <w:rsid w:val="00404F03"/>
    <w:rsid w:val="00414FB5"/>
    <w:rsid w:val="004159FC"/>
    <w:rsid w:val="004230DC"/>
    <w:rsid w:val="004253E6"/>
    <w:rsid w:val="00440A28"/>
    <w:rsid w:val="00450F05"/>
    <w:rsid w:val="0045183A"/>
    <w:rsid w:val="00455357"/>
    <w:rsid w:val="00480ADF"/>
    <w:rsid w:val="004845E8"/>
    <w:rsid w:val="004B0BCF"/>
    <w:rsid w:val="004B204B"/>
    <w:rsid w:val="004C1E84"/>
    <w:rsid w:val="004C42D2"/>
    <w:rsid w:val="004C7385"/>
    <w:rsid w:val="004D01FB"/>
    <w:rsid w:val="004E6143"/>
    <w:rsid w:val="004F6250"/>
    <w:rsid w:val="00515C09"/>
    <w:rsid w:val="005444AD"/>
    <w:rsid w:val="00553618"/>
    <w:rsid w:val="00561C08"/>
    <w:rsid w:val="00573F9F"/>
    <w:rsid w:val="00585C80"/>
    <w:rsid w:val="00595556"/>
    <w:rsid w:val="005A2A8F"/>
    <w:rsid w:val="005A6ADA"/>
    <w:rsid w:val="005E1FB5"/>
    <w:rsid w:val="005E7D69"/>
    <w:rsid w:val="0061267B"/>
    <w:rsid w:val="006321FB"/>
    <w:rsid w:val="00645C19"/>
    <w:rsid w:val="00664EA2"/>
    <w:rsid w:val="006665F3"/>
    <w:rsid w:val="0067549A"/>
    <w:rsid w:val="0068567E"/>
    <w:rsid w:val="00691E05"/>
    <w:rsid w:val="00693CAD"/>
    <w:rsid w:val="00694866"/>
    <w:rsid w:val="00694D3C"/>
    <w:rsid w:val="006A388C"/>
    <w:rsid w:val="006D0977"/>
    <w:rsid w:val="006D5715"/>
    <w:rsid w:val="006F379D"/>
    <w:rsid w:val="006F50D6"/>
    <w:rsid w:val="007169A4"/>
    <w:rsid w:val="00741740"/>
    <w:rsid w:val="007668E2"/>
    <w:rsid w:val="00776C9F"/>
    <w:rsid w:val="00776E7E"/>
    <w:rsid w:val="00783726"/>
    <w:rsid w:val="007A6867"/>
    <w:rsid w:val="007B1744"/>
    <w:rsid w:val="007C4627"/>
    <w:rsid w:val="007D7187"/>
    <w:rsid w:val="007D7F1D"/>
    <w:rsid w:val="0080747C"/>
    <w:rsid w:val="008304C5"/>
    <w:rsid w:val="0083255E"/>
    <w:rsid w:val="00836DBD"/>
    <w:rsid w:val="0084231E"/>
    <w:rsid w:val="008729B5"/>
    <w:rsid w:val="00872D07"/>
    <w:rsid w:val="00883F06"/>
    <w:rsid w:val="008A424C"/>
    <w:rsid w:val="008A50BB"/>
    <w:rsid w:val="008E4311"/>
    <w:rsid w:val="00903254"/>
    <w:rsid w:val="00905FCD"/>
    <w:rsid w:val="009265B5"/>
    <w:rsid w:val="00930F88"/>
    <w:rsid w:val="00935E60"/>
    <w:rsid w:val="009371C7"/>
    <w:rsid w:val="00956B6C"/>
    <w:rsid w:val="00965079"/>
    <w:rsid w:val="00970740"/>
    <w:rsid w:val="00972E14"/>
    <w:rsid w:val="00986262"/>
    <w:rsid w:val="009869CB"/>
    <w:rsid w:val="00994C1B"/>
    <w:rsid w:val="009A262F"/>
    <w:rsid w:val="009E1057"/>
    <w:rsid w:val="009F0581"/>
    <w:rsid w:val="00A02F5C"/>
    <w:rsid w:val="00A03284"/>
    <w:rsid w:val="00A05ADC"/>
    <w:rsid w:val="00A1159F"/>
    <w:rsid w:val="00A11A22"/>
    <w:rsid w:val="00A732A9"/>
    <w:rsid w:val="00A83102"/>
    <w:rsid w:val="00AA1D8D"/>
    <w:rsid w:val="00AB2716"/>
    <w:rsid w:val="00AE051E"/>
    <w:rsid w:val="00AF3A4B"/>
    <w:rsid w:val="00AF62C9"/>
    <w:rsid w:val="00AF7465"/>
    <w:rsid w:val="00B0120E"/>
    <w:rsid w:val="00B07A22"/>
    <w:rsid w:val="00B10067"/>
    <w:rsid w:val="00B106F4"/>
    <w:rsid w:val="00B1288D"/>
    <w:rsid w:val="00B13EAB"/>
    <w:rsid w:val="00B35C95"/>
    <w:rsid w:val="00B47730"/>
    <w:rsid w:val="00B5356E"/>
    <w:rsid w:val="00B60693"/>
    <w:rsid w:val="00B64A83"/>
    <w:rsid w:val="00B833E6"/>
    <w:rsid w:val="00B854DA"/>
    <w:rsid w:val="00B97647"/>
    <w:rsid w:val="00BB74E5"/>
    <w:rsid w:val="00BE58B1"/>
    <w:rsid w:val="00C209D8"/>
    <w:rsid w:val="00C27F3C"/>
    <w:rsid w:val="00C45EC8"/>
    <w:rsid w:val="00C53A43"/>
    <w:rsid w:val="00C60D29"/>
    <w:rsid w:val="00C63B98"/>
    <w:rsid w:val="00C97EEB"/>
    <w:rsid w:val="00CB0664"/>
    <w:rsid w:val="00CB3684"/>
    <w:rsid w:val="00CC0D1D"/>
    <w:rsid w:val="00CE6361"/>
    <w:rsid w:val="00D31B36"/>
    <w:rsid w:val="00D353EF"/>
    <w:rsid w:val="00D43EA1"/>
    <w:rsid w:val="00D53435"/>
    <w:rsid w:val="00D77160"/>
    <w:rsid w:val="00D90592"/>
    <w:rsid w:val="00D96E05"/>
    <w:rsid w:val="00DA0146"/>
    <w:rsid w:val="00DA1A08"/>
    <w:rsid w:val="00DC34E2"/>
    <w:rsid w:val="00DD1D4E"/>
    <w:rsid w:val="00DE2427"/>
    <w:rsid w:val="00DF07AB"/>
    <w:rsid w:val="00E16A85"/>
    <w:rsid w:val="00E25642"/>
    <w:rsid w:val="00E66695"/>
    <w:rsid w:val="00E92942"/>
    <w:rsid w:val="00EC4504"/>
    <w:rsid w:val="00EE4C5E"/>
    <w:rsid w:val="00EE7125"/>
    <w:rsid w:val="00EE723B"/>
    <w:rsid w:val="00F04ED0"/>
    <w:rsid w:val="00F07334"/>
    <w:rsid w:val="00F20A3D"/>
    <w:rsid w:val="00F2511E"/>
    <w:rsid w:val="00F2530E"/>
    <w:rsid w:val="00F547C7"/>
    <w:rsid w:val="00F55666"/>
    <w:rsid w:val="00F64E8A"/>
    <w:rsid w:val="00F805BD"/>
    <w:rsid w:val="00F812A9"/>
    <w:rsid w:val="00FA4F50"/>
    <w:rsid w:val="00FA5E4D"/>
    <w:rsid w:val="00FB1FEF"/>
    <w:rsid w:val="00FC0013"/>
    <w:rsid w:val="00FC693F"/>
    <w:rsid w:val="00FD05C2"/>
    <w:rsid w:val="00FE38F3"/>
    <w:rsid w:val="00FF4BA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83DFF4F"/>
  <w14:defaultImageDpi w14:val="300"/>
  <w15:docId w15:val="{A519160A-4FAB-4388-99CD-0A753E207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autoRedefine/>
    <w:uiPriority w:val="9"/>
    <w:qFormat/>
    <w:rsid w:val="00296631"/>
    <w:pPr>
      <w:keepNext/>
      <w:keepLines/>
      <w:spacing w:before="120" w:after="120" w:line="360" w:lineRule="auto"/>
      <w:jc w:val="center"/>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autoRedefine/>
    <w:uiPriority w:val="9"/>
    <w:unhideWhenUsed/>
    <w:qFormat/>
    <w:rsid w:val="00296631"/>
    <w:pPr>
      <w:keepNext/>
      <w:keepLines/>
      <w:spacing w:before="200" w:after="80"/>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2F5597"/>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296631"/>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296631"/>
    <w:rPr>
      <w:rFonts w:ascii="Arial" w:eastAsiaTheme="majorEastAsia" w:hAnsi="Arial" w:cstheme="majorBidi"/>
      <w:b/>
      <w:bCs/>
      <w:color w:val="000000" w:themeColor="text1"/>
      <w:sz w:val="28"/>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line="360" w:lineRule="auto"/>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spacing w:after="60" w:line="360" w:lineRule="auto"/>
      <w:contextualSpacing/>
    </w:pPr>
  </w:style>
  <w:style w:type="paragraph" w:styleId="ListBullet2">
    <w:name w:val="List Bullet 2"/>
    <w:basedOn w:val="Normal"/>
    <w:uiPriority w:val="99"/>
    <w:unhideWhenUsed/>
    <w:rsid w:val="00326F90"/>
    <w:pPr>
      <w:numPr>
        <w:numId w:val="2"/>
      </w:numPr>
      <w:spacing w:after="60" w:line="360" w:lineRule="auto"/>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spacing w:after="60" w:line="360" w:lineRule="auto"/>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9265B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83726"/>
    <w:rPr>
      <w:color w:val="0000FF" w:themeColor="hyperlink"/>
      <w:u w:val="single"/>
    </w:rPr>
  </w:style>
  <w:style w:type="character" w:styleId="UnresolvedMention">
    <w:name w:val="Unresolved Mention"/>
    <w:basedOn w:val="DefaultParagraphFont"/>
    <w:uiPriority w:val="99"/>
    <w:semiHidden/>
    <w:unhideWhenUsed/>
    <w:rsid w:val="00783726"/>
    <w:rPr>
      <w:color w:val="605E5C"/>
      <w:shd w:val="clear" w:color="auto" w:fill="E1DFDD"/>
    </w:rPr>
  </w:style>
  <w:style w:type="paragraph" w:styleId="TOC1">
    <w:name w:val="toc 1"/>
    <w:basedOn w:val="Normal"/>
    <w:next w:val="Normal"/>
    <w:autoRedefine/>
    <w:uiPriority w:val="39"/>
    <w:unhideWhenUsed/>
    <w:rsid w:val="008E4311"/>
    <w:pPr>
      <w:spacing w:after="100"/>
    </w:pPr>
  </w:style>
  <w:style w:type="paragraph" w:styleId="TOC2">
    <w:name w:val="toc 2"/>
    <w:basedOn w:val="Normal"/>
    <w:next w:val="Normal"/>
    <w:autoRedefine/>
    <w:uiPriority w:val="39"/>
    <w:unhideWhenUsed/>
    <w:rsid w:val="008E431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578996">
      <w:bodyDiv w:val="1"/>
      <w:marLeft w:val="0"/>
      <w:marRight w:val="0"/>
      <w:marTop w:val="0"/>
      <w:marBottom w:val="0"/>
      <w:divBdr>
        <w:top w:val="none" w:sz="0" w:space="0" w:color="auto"/>
        <w:left w:val="none" w:sz="0" w:space="0" w:color="auto"/>
        <w:bottom w:val="none" w:sz="0" w:space="0" w:color="auto"/>
        <w:right w:val="none" w:sz="0" w:space="0" w:color="auto"/>
      </w:divBdr>
    </w:div>
    <w:div w:id="1034889303">
      <w:bodyDiv w:val="1"/>
      <w:marLeft w:val="0"/>
      <w:marRight w:val="0"/>
      <w:marTop w:val="0"/>
      <w:marBottom w:val="0"/>
      <w:divBdr>
        <w:top w:val="none" w:sz="0" w:space="0" w:color="auto"/>
        <w:left w:val="none" w:sz="0" w:space="0" w:color="auto"/>
        <w:bottom w:val="none" w:sz="0" w:space="0" w:color="auto"/>
        <w:right w:val="none" w:sz="0" w:space="0" w:color="auto"/>
      </w:divBdr>
    </w:div>
    <w:div w:id="1061054430">
      <w:bodyDiv w:val="1"/>
      <w:marLeft w:val="0"/>
      <w:marRight w:val="0"/>
      <w:marTop w:val="0"/>
      <w:marBottom w:val="0"/>
      <w:divBdr>
        <w:top w:val="none" w:sz="0" w:space="0" w:color="auto"/>
        <w:left w:val="none" w:sz="0" w:space="0" w:color="auto"/>
        <w:bottom w:val="none" w:sz="0" w:space="0" w:color="auto"/>
        <w:right w:val="none" w:sz="0" w:space="0" w:color="auto"/>
      </w:divBdr>
    </w:div>
    <w:div w:id="1209149435">
      <w:bodyDiv w:val="1"/>
      <w:marLeft w:val="0"/>
      <w:marRight w:val="0"/>
      <w:marTop w:val="0"/>
      <w:marBottom w:val="0"/>
      <w:divBdr>
        <w:top w:val="none" w:sz="0" w:space="0" w:color="auto"/>
        <w:left w:val="none" w:sz="0" w:space="0" w:color="auto"/>
        <w:bottom w:val="none" w:sz="0" w:space="0" w:color="auto"/>
        <w:right w:val="none" w:sz="0" w:space="0" w:color="auto"/>
      </w:divBdr>
    </w:div>
    <w:div w:id="139758716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36/bmjopen-2021-050187" TargetMode="External"/><Relationship Id="rId18" Type="http://schemas.openxmlformats.org/officeDocument/2006/relationships/hyperlink" Target="https://doi.org/10.3390/ijerph182010647" TargetMode="External"/><Relationship Id="rId26" Type="http://schemas.openxmlformats.org/officeDocument/2006/relationships/hyperlink" Target="https://doi.org/10.1080/01587919.2022.2029352" TargetMode="External"/><Relationship Id="rId39" Type="http://schemas.openxmlformats.org/officeDocument/2006/relationships/hyperlink" Target="https://doi.org/10.1016/j.jhlste.2022.100398" TargetMode="External"/><Relationship Id="rId21" Type="http://schemas.openxmlformats.org/officeDocument/2006/relationships/hyperlink" Target="https://doi.org/10.1080/14780887.2020.1769238" TargetMode="External"/><Relationship Id="rId34" Type="http://schemas.openxmlformats.org/officeDocument/2006/relationships/hyperlink" Target="https://midus.wisc.edu/findings/pdfs/56.pdf" TargetMode="External"/><Relationship Id="rId42" Type="http://schemas.openxmlformats.org/officeDocument/2006/relationships/hyperlink" Target="https://doi.org/10.3390/ijerph19031132" TargetMode="External"/><Relationship Id="rId47" Type="http://schemas.openxmlformats.org/officeDocument/2006/relationships/hyperlink" Target="https://doi.org/10.1136/bmjopen-2022-070528" TargetMode="External"/><Relationship Id="rId50" Type="http://schemas.openxmlformats.org/officeDocument/2006/relationships/hyperlink" Target="https://psycnet.apa.org/doi/10.1080/02602938.2022.2076804"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0/0309877X.2025.2451693" TargetMode="External"/><Relationship Id="rId29" Type="http://schemas.openxmlformats.org/officeDocument/2006/relationships/hyperlink" Target="https://doi.org/10.3390/soc10040086" TargetMode="External"/><Relationship Id="rId11" Type="http://schemas.openxmlformats.org/officeDocument/2006/relationships/hyperlink" Target="https://doi.org/10.1080/00071005.2023.2215857" TargetMode="External"/><Relationship Id="rId24" Type="http://schemas.openxmlformats.org/officeDocument/2006/relationships/hyperlink" Target="https://doi.org/10.1371/journal.pone.0262562" TargetMode="External"/><Relationship Id="rId32" Type="http://schemas.openxmlformats.org/officeDocument/2006/relationships/hyperlink" Target="https://doi.org/10.3389/fpsyt.2022.1078479" TargetMode="External"/><Relationship Id="rId37" Type="http://schemas.openxmlformats.org/officeDocument/2006/relationships/hyperlink" Target="https://doi.org/10.1371/journal.pone.0280689" TargetMode="External"/><Relationship Id="rId40" Type="http://schemas.openxmlformats.org/officeDocument/2006/relationships/hyperlink" Target="https://doi.org/10.3389/fpsyg.2021.648533" TargetMode="External"/><Relationship Id="rId45" Type="http://schemas.openxmlformats.org/officeDocument/2006/relationships/hyperlink" Target="https://doi.org/10.11124/jbies-20-00167" TargetMode="External"/><Relationship Id="rId53" Type="http://schemas.openxmlformats.org/officeDocument/2006/relationships/hyperlink" Target="https://doi.org/10.7326/m18-0850" TargetMode="External"/><Relationship Id="rId5" Type="http://schemas.openxmlformats.org/officeDocument/2006/relationships/webSettings" Target="webSettings.xml"/><Relationship Id="rId10" Type="http://schemas.openxmlformats.org/officeDocument/2006/relationships/footer" Target="footer1.xml"/><Relationship Id="rId19" Type="http://schemas.openxmlformats.org/officeDocument/2006/relationships/hyperlink" Target="https://www.researchgate.net/profile/Andrew-Booth-2/publication/235930866_Systematic_Approaches_to_a_Successful_Literature_Review/links/5da06c7f45851553ff8705fa/Systematic-Approaches-to-a-Successful-Literature-Review.pdf" TargetMode="External"/><Relationship Id="rId31" Type="http://schemas.openxmlformats.org/officeDocument/2006/relationships/hyperlink" Target="https://doi.org/10.3390/ijerph19159322" TargetMode="External"/><Relationship Id="rId44" Type="http://schemas.openxmlformats.org/officeDocument/2006/relationships/hyperlink" Target="https://doi.org/10.3389/fpubh.2023.1188690" TargetMode="External"/><Relationship Id="rId52" Type="http://schemas.openxmlformats.org/officeDocument/2006/relationships/hyperlink" Target="https://doi.org/10.1192/bjo.2022.52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otus.fi/wp-content/uploads/2025/10/jbi-manual-for-evidence-synthesis-nov-2024.pdf" TargetMode="External"/><Relationship Id="rId22" Type="http://schemas.openxmlformats.org/officeDocument/2006/relationships/hyperlink" Target="https://doi.org/10.1371/journal.pone.0283742" TargetMode="External"/><Relationship Id="rId27" Type="http://schemas.openxmlformats.org/officeDocument/2006/relationships/hyperlink" Target="https://www.tandfonline.com/doi/pdf/10.1080/0309877X.2022.2038780" TargetMode="External"/><Relationship Id="rId30" Type="http://schemas.openxmlformats.org/officeDocument/2006/relationships/hyperlink" Target="https://doi.org/10.1186/s12909-022-03179-z" TargetMode="External"/><Relationship Id="rId35" Type="http://schemas.openxmlformats.org/officeDocument/2006/relationships/hyperlink" Target="https://doi.org/10.3390/ijerph182010675" TargetMode="External"/><Relationship Id="rId43" Type="http://schemas.openxmlformats.org/officeDocument/2006/relationships/hyperlink" Target="https://doi.org/10.1136/bmj.n71" TargetMode="External"/><Relationship Id="rId48" Type="http://schemas.openxmlformats.org/officeDocument/2006/relationships/hyperlink" Target="https://doi.org/10.3390/ijerph18062930"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1136/bmjopen-2021-050720" TargetMode="External"/><Relationship Id="rId3" Type="http://schemas.openxmlformats.org/officeDocument/2006/relationships/styles" Target="styles.xml"/><Relationship Id="rId12" Type="http://schemas.openxmlformats.org/officeDocument/2006/relationships/hyperlink" Target="https://doi.org/10.3390/ijerph19137631" TargetMode="External"/><Relationship Id="rId17" Type="http://schemas.openxmlformats.org/officeDocument/2006/relationships/hyperlink" Target="https://doi.org/10.1080/09638237.2022.2091766" TargetMode="External"/><Relationship Id="rId25" Type="http://schemas.openxmlformats.org/officeDocument/2006/relationships/hyperlink" Target="https://doi.org/10.3389/fpubh.2021.646916" TargetMode="External"/><Relationship Id="rId33" Type="http://schemas.openxmlformats.org/officeDocument/2006/relationships/hyperlink" Target="https://doi.org/10.1080/17482631.2026.2624011" TargetMode="External"/><Relationship Id="rId38" Type="http://schemas.openxmlformats.org/officeDocument/2006/relationships/hyperlink" Target="https://doi.org/10.1080/0309877X.2023.2191175" TargetMode="External"/><Relationship Id="rId46" Type="http://schemas.openxmlformats.org/officeDocument/2006/relationships/hyperlink" Target="https://doi.org/10.5195/jmla.2021.962" TargetMode="External"/><Relationship Id="rId20" Type="http://schemas.openxmlformats.org/officeDocument/2006/relationships/hyperlink" Target="https://doi.org/10.1191/1478088706qp063oa" TargetMode="External"/><Relationship Id="rId41" Type="http://schemas.openxmlformats.org/officeDocument/2006/relationships/hyperlink" Target="https://doi.org/10.1186/s12874-018-0611-x" TargetMode="External"/><Relationship Id="rId54" Type="http://schemas.openxmlformats.org/officeDocument/2006/relationships/hyperlink" Target="https://doi.org/10.3389/fpubh.2024.144117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1364557032000119616" TargetMode="External"/><Relationship Id="rId23" Type="http://schemas.openxmlformats.org/officeDocument/2006/relationships/hyperlink" Target="https://doi.org/10.1186/s40359-022-00732-9" TargetMode="External"/><Relationship Id="rId28" Type="http://schemas.openxmlformats.org/officeDocument/2006/relationships/hyperlink" Target="https://doi.org/10.1016/j.psychres.2021.113819" TargetMode="External"/><Relationship Id="rId36" Type="http://schemas.openxmlformats.org/officeDocument/2006/relationships/hyperlink" Target="https://doi.org/10.1186/1748-5908-5-69" TargetMode="External"/><Relationship Id="rId49" Type="http://schemas.openxmlformats.org/officeDocument/2006/relationships/hyperlink" Target="https://doi.org/10.1016/j.jad.2021.03.0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82350A-E190-4749-8913-C2375422D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21</Pages>
  <Words>6368</Words>
  <Characters>36304</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The Impact of Remote Learning on Mental Health Among University Students in the UK: A Scoping Review</vt:lpstr>
    </vt:vector>
  </TitlesOfParts>
  <Manager/>
  <Company/>
  <LinksUpToDate>false</LinksUpToDate>
  <CharactersWithSpaces>42587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Remote Learning on Mental Health Among University Students in the UK: A Scoping Review</dc:title>
  <dc:subject>BMHP5019_BIRM scoping review report</dc:subject>
  <dc:creator>Student</dc:creator>
  <cp:keywords>remote learning, mental health, UK university students, scoping review</cp:keywords>
  <dc:description>generated by python-docx</dc:description>
  <cp:lastModifiedBy>Sumaira Shah (2414021)</cp:lastModifiedBy>
  <cp:revision>47</cp:revision>
  <dcterms:created xsi:type="dcterms:W3CDTF">2026-07-17T15:32:00Z</dcterms:created>
  <dcterms:modified xsi:type="dcterms:W3CDTF">2026-07-20T08:55:00Z</dcterms:modified>
  <cp:category/>
</cp:coreProperties>
</file>