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CAD01D" w14:textId="77777777" w:rsidR="008C0D61" w:rsidRDefault="008C0D61" w:rsidP="008C0D61">
      <w:pPr>
        <w:jc w:val="center"/>
        <w:outlineLvl w:val="0"/>
        <w:rPr>
          <w:rFonts w:eastAsia="Times New Roman"/>
          <w:b/>
          <w:sz w:val="40"/>
          <w:szCs w:val="20"/>
        </w:rPr>
      </w:pPr>
      <w:r>
        <w:rPr>
          <w:rFonts w:eastAsia="Times New Roman"/>
          <w:b/>
          <w:sz w:val="40"/>
          <w:szCs w:val="20"/>
        </w:rPr>
        <w:t>School of Sport, Health &amp; Outdoor Education</w:t>
      </w:r>
    </w:p>
    <w:p w14:paraId="189EDDE0" w14:textId="77777777" w:rsidR="008C0D61" w:rsidRDefault="008C0D61" w:rsidP="008C0D61">
      <w:pPr>
        <w:jc w:val="center"/>
        <w:rPr>
          <w:rFonts w:eastAsia="Times New Roman"/>
          <w:b/>
          <w:sz w:val="16"/>
          <w:szCs w:val="16"/>
        </w:rPr>
      </w:pPr>
    </w:p>
    <w:p w14:paraId="21B29F3C" w14:textId="77777777" w:rsidR="008C0D61" w:rsidRDefault="008C0D61" w:rsidP="008C0D61">
      <w:pPr>
        <w:jc w:val="center"/>
        <w:outlineLvl w:val="0"/>
        <w:rPr>
          <w:rFonts w:eastAsia="Times New Roman"/>
          <w:b/>
          <w:sz w:val="32"/>
          <w:szCs w:val="32"/>
        </w:rPr>
      </w:pPr>
      <w:r>
        <w:rPr>
          <w:rFonts w:eastAsia="Times New Roman"/>
          <w:b/>
          <w:sz w:val="32"/>
          <w:szCs w:val="32"/>
        </w:rPr>
        <w:t>Assessment Criteria</w:t>
      </w:r>
    </w:p>
    <w:p w14:paraId="5C9397DD" w14:textId="77777777" w:rsidR="008C0D61" w:rsidRDefault="008C0D61" w:rsidP="008C0D61">
      <w:pPr>
        <w:jc w:val="center"/>
        <w:rPr>
          <w:rFonts w:eastAsia="Times New Roman"/>
          <w:b/>
          <w:sz w:val="16"/>
          <w:szCs w:val="16"/>
        </w:rPr>
      </w:pPr>
    </w:p>
    <w:p w14:paraId="2535D5AC" w14:textId="212FCAFF" w:rsidR="008C0D61" w:rsidRDefault="008C0D61" w:rsidP="008C0D61">
      <w:pPr>
        <w:jc w:val="center"/>
        <w:outlineLvl w:val="0"/>
      </w:pPr>
      <w:r>
        <w:rPr>
          <w:rFonts w:eastAsia="Times New Roman"/>
          <w:szCs w:val="20"/>
        </w:rPr>
        <w:t xml:space="preserve">Student No./Name: </w:t>
      </w:r>
      <w:r>
        <w:rPr>
          <w:rFonts w:eastAsia="Times New Roman"/>
          <w:szCs w:val="20"/>
        </w:rPr>
        <w:t>Maree Mclaughlin-</w:t>
      </w:r>
      <w:r w:rsidR="009933E2">
        <w:rPr>
          <w:rFonts w:eastAsia="Times New Roman"/>
          <w:szCs w:val="20"/>
        </w:rPr>
        <w:t>1502314</w:t>
      </w:r>
    </w:p>
    <w:p w14:paraId="1D52FFE7" w14:textId="77777777" w:rsidR="008C0D61" w:rsidRDefault="008C0D61" w:rsidP="008C0D61">
      <w:pPr>
        <w:rPr>
          <w:rFonts w:eastAsia="Times New Roman"/>
          <w:sz w:val="16"/>
          <w:szCs w:val="16"/>
        </w:rPr>
      </w:pPr>
    </w:p>
    <w:p w14:paraId="14300149" w14:textId="77777777" w:rsidR="008C0D61" w:rsidRDefault="008C0D61" w:rsidP="008C0D61">
      <w:pPr>
        <w:jc w:val="center"/>
        <w:outlineLvl w:val="0"/>
      </w:pPr>
      <w:r>
        <w:rPr>
          <w:rFonts w:eastAsia="Times New Roman"/>
          <w:szCs w:val="20"/>
        </w:rPr>
        <w:t xml:space="preserve">Module: </w:t>
      </w:r>
      <w:r>
        <w:rPr>
          <w:rFonts w:eastAsia="Times New Roman"/>
          <w:sz w:val="32"/>
          <w:szCs w:val="32"/>
        </w:rPr>
        <w:t>Health and Social Inclusion</w:t>
      </w:r>
    </w:p>
    <w:p w14:paraId="10AE021F" w14:textId="77777777" w:rsidR="008C0D61" w:rsidRDefault="008C0D61" w:rsidP="008C0D61">
      <w:pPr>
        <w:ind w:left="2160"/>
        <w:outlineLvl w:val="0"/>
      </w:pPr>
      <w:r>
        <w:rPr>
          <w:rFonts w:eastAsia="Times New Roman"/>
        </w:rPr>
        <w:t xml:space="preserve">   Code: </w:t>
      </w:r>
      <w:r>
        <w:rPr>
          <w:rFonts w:eastAsia="Times New Roman"/>
          <w:sz w:val="32"/>
          <w:szCs w:val="32"/>
        </w:rPr>
        <w:t>SHSS6031</w:t>
      </w:r>
    </w:p>
    <w:p w14:paraId="7E94265D" w14:textId="77777777" w:rsidR="008C0D61" w:rsidRDefault="008C0D61" w:rsidP="008C0D61">
      <w:pPr>
        <w:ind w:left="2160"/>
        <w:rPr>
          <w:rFonts w:eastAsia="Times New Roman"/>
          <w:sz w:val="32"/>
          <w:szCs w:val="32"/>
        </w:rPr>
      </w:pPr>
    </w:p>
    <w:tbl>
      <w:tblPr>
        <w:tblW w:w="10758" w:type="dxa"/>
        <w:tblInd w:w="-1152" w:type="dxa"/>
        <w:tblCellMar>
          <w:left w:w="10" w:type="dxa"/>
          <w:right w:w="10" w:type="dxa"/>
        </w:tblCellMar>
        <w:tblLook w:val="0000" w:firstRow="0" w:lastRow="0" w:firstColumn="0" w:lastColumn="0" w:noHBand="0" w:noVBand="0"/>
      </w:tblPr>
      <w:tblGrid>
        <w:gridCol w:w="3420"/>
        <w:gridCol w:w="7338"/>
      </w:tblGrid>
      <w:tr w:rsidR="008C0D61" w14:paraId="12002BA0" w14:textId="77777777" w:rsidTr="00DD4F70">
        <w:tc>
          <w:tcPr>
            <w:tcW w:w="1075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90CC74" w14:textId="77777777" w:rsidR="008C0D61" w:rsidRDefault="008C0D61" w:rsidP="00DD4F70">
            <w:pPr>
              <w:tabs>
                <w:tab w:val="left" w:pos="5850"/>
              </w:tabs>
            </w:pPr>
            <w:r>
              <w:rPr>
                <w:rFonts w:eastAsia="Times New Roman"/>
                <w:b/>
                <w:sz w:val="18"/>
                <w:szCs w:val="18"/>
              </w:rPr>
              <w:t>Personal Evaluation</w:t>
            </w:r>
            <w:r>
              <w:rPr>
                <w:rFonts w:eastAsia="Times New Roman"/>
                <w:b/>
                <w:bCs/>
                <w:sz w:val="18"/>
                <w:szCs w:val="18"/>
              </w:rPr>
              <w:t xml:space="preserve"> – to support your academic progress please complete the section below </w:t>
            </w:r>
            <w:r>
              <w:rPr>
                <w:rFonts w:eastAsia="Times New Roman"/>
                <w:b/>
                <w:bCs/>
                <w:sz w:val="18"/>
                <w:szCs w:val="18"/>
                <w:u w:val="single"/>
              </w:rPr>
              <w:t>BEFORE</w:t>
            </w:r>
            <w:r>
              <w:rPr>
                <w:rFonts w:eastAsia="Times New Roman"/>
                <w:b/>
                <w:bCs/>
                <w:sz w:val="18"/>
                <w:szCs w:val="18"/>
              </w:rPr>
              <w:t xml:space="preserve"> submitting your work.</w:t>
            </w:r>
          </w:p>
        </w:tc>
      </w:tr>
      <w:tr w:rsidR="008C0D61" w14:paraId="1C529378" w14:textId="77777777" w:rsidTr="00DD4F70">
        <w:tc>
          <w:tcPr>
            <w:tcW w:w="3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96566B" w14:textId="77777777" w:rsidR="008C0D61" w:rsidRDefault="008C0D61" w:rsidP="00DD4F70">
            <w:pPr>
              <w:rPr>
                <w:rFonts w:eastAsia="Times New Roman"/>
                <w:b/>
                <w:bCs/>
                <w:sz w:val="18"/>
                <w:szCs w:val="18"/>
              </w:rPr>
            </w:pPr>
            <w:r>
              <w:rPr>
                <w:rFonts w:eastAsia="Times New Roman"/>
                <w:b/>
                <w:bCs/>
                <w:sz w:val="18"/>
                <w:szCs w:val="18"/>
              </w:rPr>
              <w:t>What do you consider to be the best aspects of this work?</w:t>
            </w:r>
          </w:p>
        </w:tc>
        <w:tc>
          <w:tcPr>
            <w:tcW w:w="73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7E10AD" w14:textId="54CB91DE" w:rsidR="008C0D61" w:rsidRDefault="00E5642C" w:rsidP="00DD4F70">
            <w:pPr>
              <w:tabs>
                <w:tab w:val="left" w:pos="5850"/>
              </w:tabs>
              <w:rPr>
                <w:rFonts w:eastAsia="Times New Roman"/>
                <w:sz w:val="18"/>
                <w:szCs w:val="18"/>
              </w:rPr>
            </w:pPr>
            <w:r>
              <w:rPr>
                <w:rFonts w:eastAsia="Times New Roman"/>
                <w:sz w:val="18"/>
                <w:szCs w:val="18"/>
              </w:rPr>
              <w:t xml:space="preserve">I felt that I presented a good range of references </w:t>
            </w:r>
          </w:p>
        </w:tc>
      </w:tr>
      <w:tr w:rsidR="008C0D61" w14:paraId="4EC23451" w14:textId="77777777" w:rsidTr="00DD4F70">
        <w:tc>
          <w:tcPr>
            <w:tcW w:w="3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F0152C" w14:textId="77777777" w:rsidR="008C0D61" w:rsidRDefault="008C0D61" w:rsidP="00DD4F70">
            <w:pPr>
              <w:rPr>
                <w:rFonts w:eastAsia="Times New Roman"/>
                <w:b/>
                <w:bCs/>
                <w:sz w:val="18"/>
                <w:szCs w:val="18"/>
              </w:rPr>
            </w:pPr>
            <w:r>
              <w:rPr>
                <w:rFonts w:eastAsia="Times New Roman"/>
                <w:b/>
                <w:bCs/>
                <w:sz w:val="18"/>
                <w:szCs w:val="18"/>
              </w:rPr>
              <w:t>Which aspects do you consider could have been improved in this piece of work?</w:t>
            </w:r>
          </w:p>
        </w:tc>
        <w:tc>
          <w:tcPr>
            <w:tcW w:w="73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6903C3" w14:textId="1FA6955B" w:rsidR="008C0D61" w:rsidRDefault="00E5642C" w:rsidP="00E5642C">
            <w:pPr>
              <w:tabs>
                <w:tab w:val="left" w:pos="5850"/>
              </w:tabs>
              <w:rPr>
                <w:rFonts w:eastAsia="Times New Roman"/>
                <w:sz w:val="18"/>
                <w:szCs w:val="18"/>
              </w:rPr>
            </w:pPr>
            <w:r>
              <w:rPr>
                <w:rFonts w:eastAsia="Times New Roman"/>
                <w:sz w:val="18"/>
                <w:szCs w:val="18"/>
              </w:rPr>
              <w:t xml:space="preserve">I could of spoke more about policies, I felt restrained to the word count </w:t>
            </w:r>
          </w:p>
        </w:tc>
      </w:tr>
      <w:tr w:rsidR="008C0D61" w14:paraId="674678CA" w14:textId="77777777" w:rsidTr="00DD4F70">
        <w:tc>
          <w:tcPr>
            <w:tcW w:w="342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5DF786" w14:textId="77777777" w:rsidR="008C0D61" w:rsidRDefault="008C0D61" w:rsidP="00DD4F70">
            <w:pPr>
              <w:rPr>
                <w:rFonts w:eastAsia="Times New Roman"/>
                <w:b/>
                <w:bCs/>
                <w:sz w:val="18"/>
                <w:szCs w:val="18"/>
              </w:rPr>
            </w:pPr>
            <w:r>
              <w:rPr>
                <w:rFonts w:eastAsia="Times New Roman"/>
                <w:b/>
                <w:bCs/>
                <w:sz w:val="18"/>
                <w:szCs w:val="18"/>
              </w:rPr>
              <w:t>What have you found most satisfying whilst undertaking this submission?</w:t>
            </w:r>
          </w:p>
        </w:tc>
        <w:tc>
          <w:tcPr>
            <w:tcW w:w="73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ED78F7" w14:textId="0595D6D9" w:rsidR="008C0D61" w:rsidRDefault="00E5642C" w:rsidP="00DD4F70">
            <w:pPr>
              <w:tabs>
                <w:tab w:val="left" w:pos="5850"/>
              </w:tabs>
              <w:rPr>
                <w:rFonts w:eastAsia="Times New Roman"/>
                <w:sz w:val="18"/>
                <w:szCs w:val="18"/>
              </w:rPr>
            </w:pPr>
            <w:r>
              <w:rPr>
                <w:rFonts w:eastAsia="Times New Roman"/>
                <w:sz w:val="18"/>
                <w:szCs w:val="18"/>
              </w:rPr>
              <w:t>I have learnt a lot, during the course of this module, very interesting</w:t>
            </w:r>
          </w:p>
        </w:tc>
      </w:tr>
    </w:tbl>
    <w:p w14:paraId="1594CE27" w14:textId="77777777" w:rsidR="008C0D61" w:rsidRDefault="008C0D61" w:rsidP="008C0D61">
      <w:pPr>
        <w:rPr>
          <w:rFonts w:eastAsia="Times New Roman"/>
          <w:sz w:val="16"/>
          <w:szCs w:val="16"/>
        </w:rPr>
      </w:pPr>
    </w:p>
    <w:tbl>
      <w:tblPr>
        <w:tblW w:w="10045" w:type="dxa"/>
        <w:tblInd w:w="-1117" w:type="dxa"/>
        <w:tblLayout w:type="fixed"/>
        <w:tblCellMar>
          <w:left w:w="10" w:type="dxa"/>
          <w:right w:w="10" w:type="dxa"/>
        </w:tblCellMar>
        <w:tblLook w:val="0000" w:firstRow="0" w:lastRow="0" w:firstColumn="0" w:lastColumn="0" w:noHBand="0" w:noVBand="0"/>
      </w:tblPr>
      <w:tblGrid>
        <w:gridCol w:w="2123"/>
        <w:gridCol w:w="540"/>
        <w:gridCol w:w="1262"/>
        <w:gridCol w:w="1163"/>
        <w:gridCol w:w="187"/>
        <w:gridCol w:w="1440"/>
        <w:gridCol w:w="1440"/>
        <w:gridCol w:w="531"/>
        <w:gridCol w:w="639"/>
        <w:gridCol w:w="720"/>
      </w:tblGrid>
      <w:tr w:rsidR="008C0D61" w14:paraId="5C730D0F" w14:textId="77777777" w:rsidTr="00DD4F70">
        <w:trPr>
          <w:cantSplit/>
        </w:trPr>
        <w:tc>
          <w:tcPr>
            <w:tcW w:w="2123" w:type="dxa"/>
            <w:vMerge w:val="restart"/>
            <w:tcBorders>
              <w:top w:val="double" w:sz="12" w:space="0" w:color="000000"/>
              <w:left w:val="double" w:sz="12" w:space="0" w:color="000000"/>
              <w:bottom w:val="single" w:sz="6" w:space="0" w:color="000000"/>
              <w:right w:val="single" w:sz="4" w:space="0" w:color="000000"/>
            </w:tcBorders>
            <w:shd w:val="clear" w:color="auto" w:fill="auto"/>
            <w:tcMar>
              <w:top w:w="0" w:type="dxa"/>
              <w:left w:w="108" w:type="dxa"/>
              <w:bottom w:w="0" w:type="dxa"/>
              <w:right w:w="108" w:type="dxa"/>
            </w:tcMar>
          </w:tcPr>
          <w:p w14:paraId="08B56FCF" w14:textId="77777777" w:rsidR="008C0D61" w:rsidRDefault="008C0D61" w:rsidP="00DD4F70">
            <w:pPr>
              <w:rPr>
                <w:rFonts w:eastAsia="Times New Roman"/>
                <w:szCs w:val="20"/>
              </w:rPr>
            </w:pPr>
          </w:p>
          <w:p w14:paraId="338F102C" w14:textId="77777777" w:rsidR="008C0D61" w:rsidRDefault="008C0D61" w:rsidP="00DD4F70">
            <w:pPr>
              <w:jc w:val="center"/>
              <w:rPr>
                <w:rFonts w:eastAsia="Times New Roman"/>
                <w:szCs w:val="20"/>
              </w:rPr>
            </w:pPr>
            <w:r>
              <w:rPr>
                <w:rFonts w:eastAsia="Times New Roman"/>
                <w:szCs w:val="20"/>
              </w:rPr>
              <w:t>CRITERIA</w:t>
            </w:r>
          </w:p>
          <w:p w14:paraId="126C35C3" w14:textId="77777777" w:rsidR="008C0D61" w:rsidRDefault="008C0D61" w:rsidP="00DD4F70">
            <w:pPr>
              <w:jc w:val="center"/>
              <w:rPr>
                <w:rFonts w:eastAsia="Times New Roman"/>
                <w:szCs w:val="20"/>
              </w:rPr>
            </w:pPr>
          </w:p>
        </w:tc>
        <w:tc>
          <w:tcPr>
            <w:tcW w:w="540" w:type="dxa"/>
            <w:vMerge w:val="restart"/>
            <w:tcBorders>
              <w:top w:val="double" w:sz="12"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textDirection w:val="btLr"/>
          </w:tcPr>
          <w:p w14:paraId="5C574225" w14:textId="77777777" w:rsidR="008C0D61" w:rsidRDefault="008C0D61" w:rsidP="00DD4F70">
            <w:pPr>
              <w:ind w:left="113" w:right="113"/>
              <w:rPr>
                <w:rFonts w:eastAsia="Times New Roman"/>
                <w:sz w:val="16"/>
                <w:szCs w:val="16"/>
              </w:rPr>
            </w:pPr>
            <w:r>
              <w:rPr>
                <w:rFonts w:eastAsia="Times New Roman"/>
                <w:sz w:val="16"/>
                <w:szCs w:val="16"/>
              </w:rPr>
              <w:t>Learning</w:t>
            </w:r>
          </w:p>
          <w:p w14:paraId="1A916A26" w14:textId="77777777" w:rsidR="008C0D61" w:rsidRDefault="008C0D61" w:rsidP="00DD4F70">
            <w:pPr>
              <w:ind w:left="113" w:right="113"/>
              <w:rPr>
                <w:rFonts w:eastAsia="Times New Roman"/>
                <w:sz w:val="16"/>
                <w:szCs w:val="16"/>
              </w:rPr>
            </w:pPr>
            <w:r>
              <w:rPr>
                <w:rFonts w:eastAsia="Times New Roman"/>
                <w:sz w:val="16"/>
                <w:szCs w:val="16"/>
              </w:rPr>
              <w:t>Outcome</w:t>
            </w:r>
          </w:p>
          <w:p w14:paraId="57A1EC13" w14:textId="77777777" w:rsidR="008C0D61" w:rsidRDefault="008C0D61" w:rsidP="00DD4F70">
            <w:pPr>
              <w:ind w:left="113" w:right="113"/>
              <w:rPr>
                <w:rFonts w:eastAsia="Times New Roman"/>
                <w:sz w:val="16"/>
                <w:szCs w:val="16"/>
              </w:rPr>
            </w:pPr>
          </w:p>
          <w:p w14:paraId="79EA7E8C" w14:textId="77777777" w:rsidR="008C0D61" w:rsidRDefault="008C0D61" w:rsidP="00DD4F70">
            <w:pPr>
              <w:ind w:left="113" w:right="113"/>
              <w:jc w:val="center"/>
              <w:rPr>
                <w:rFonts w:eastAsia="Times New Roman"/>
                <w:sz w:val="16"/>
                <w:szCs w:val="16"/>
              </w:rPr>
            </w:pPr>
          </w:p>
        </w:tc>
        <w:tc>
          <w:tcPr>
            <w:tcW w:w="7382" w:type="dxa"/>
            <w:gridSpan w:val="8"/>
            <w:tcBorders>
              <w:top w:val="double" w:sz="12" w:space="0" w:color="000000"/>
              <w:left w:val="single" w:sz="6" w:space="0" w:color="000000"/>
              <w:bottom w:val="single" w:sz="6" w:space="0" w:color="000000"/>
              <w:right w:val="double" w:sz="12" w:space="0" w:color="000000"/>
            </w:tcBorders>
            <w:shd w:val="clear" w:color="auto" w:fill="auto"/>
            <w:tcMar>
              <w:top w:w="0" w:type="dxa"/>
              <w:left w:w="108" w:type="dxa"/>
              <w:bottom w:w="0" w:type="dxa"/>
              <w:right w:w="108" w:type="dxa"/>
            </w:tcMar>
          </w:tcPr>
          <w:p w14:paraId="3405C569" w14:textId="77777777" w:rsidR="008C0D61" w:rsidRDefault="008C0D61" w:rsidP="00DD4F70">
            <w:pPr>
              <w:jc w:val="center"/>
              <w:rPr>
                <w:rFonts w:eastAsia="Times New Roman"/>
                <w:szCs w:val="20"/>
              </w:rPr>
            </w:pPr>
            <w:r>
              <w:rPr>
                <w:rFonts w:eastAsia="Times New Roman"/>
                <w:szCs w:val="20"/>
              </w:rPr>
              <w:t>GRADE</w:t>
            </w:r>
          </w:p>
        </w:tc>
      </w:tr>
      <w:tr w:rsidR="008C0D61" w14:paraId="74EB3C62" w14:textId="77777777" w:rsidTr="00DD4F70">
        <w:trPr>
          <w:cantSplit/>
        </w:trPr>
        <w:tc>
          <w:tcPr>
            <w:tcW w:w="2123" w:type="dxa"/>
            <w:vMerge/>
            <w:tcBorders>
              <w:top w:val="double" w:sz="12" w:space="0" w:color="000000"/>
              <w:left w:val="double" w:sz="12" w:space="0" w:color="000000"/>
              <w:bottom w:val="single" w:sz="6" w:space="0" w:color="000000"/>
              <w:right w:val="single" w:sz="4" w:space="0" w:color="000000"/>
            </w:tcBorders>
            <w:shd w:val="clear" w:color="auto" w:fill="auto"/>
            <w:tcMar>
              <w:top w:w="0" w:type="dxa"/>
              <w:left w:w="108" w:type="dxa"/>
              <w:bottom w:w="0" w:type="dxa"/>
              <w:right w:w="108" w:type="dxa"/>
            </w:tcMar>
          </w:tcPr>
          <w:p w14:paraId="44C8CFF7" w14:textId="77777777" w:rsidR="008C0D61" w:rsidRDefault="008C0D61" w:rsidP="00DD4F70">
            <w:pPr>
              <w:rPr>
                <w:rFonts w:eastAsia="Times New Roman"/>
                <w:szCs w:val="20"/>
              </w:rPr>
            </w:pPr>
          </w:p>
        </w:tc>
        <w:tc>
          <w:tcPr>
            <w:tcW w:w="540" w:type="dxa"/>
            <w:vMerge/>
            <w:tcBorders>
              <w:top w:val="double" w:sz="12"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textDirection w:val="btLr"/>
          </w:tcPr>
          <w:p w14:paraId="66DF1690" w14:textId="77777777" w:rsidR="008C0D61" w:rsidRDefault="008C0D61" w:rsidP="00DD4F70">
            <w:pPr>
              <w:rPr>
                <w:rFonts w:eastAsia="Times New Roman"/>
                <w:szCs w:val="20"/>
              </w:rPr>
            </w:pPr>
          </w:p>
        </w:tc>
        <w:tc>
          <w:tcPr>
            <w:tcW w:w="126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1771785E" w14:textId="77777777" w:rsidR="008C0D61" w:rsidRDefault="008C0D61" w:rsidP="00DD4F70">
            <w:pPr>
              <w:jc w:val="center"/>
              <w:rPr>
                <w:rFonts w:eastAsia="Times New Roman"/>
                <w:sz w:val="18"/>
                <w:szCs w:val="18"/>
              </w:rPr>
            </w:pPr>
            <w:r>
              <w:rPr>
                <w:rFonts w:eastAsia="Times New Roman"/>
                <w:sz w:val="18"/>
                <w:szCs w:val="18"/>
              </w:rPr>
              <w:t>Unsatisfactory</w:t>
            </w:r>
          </w:p>
          <w:p w14:paraId="772370C2" w14:textId="77777777" w:rsidR="008C0D61" w:rsidRDefault="008C0D61" w:rsidP="00DD4F70">
            <w:pPr>
              <w:jc w:val="center"/>
              <w:rPr>
                <w:rFonts w:eastAsia="Times New Roman"/>
                <w:sz w:val="20"/>
                <w:szCs w:val="20"/>
              </w:rPr>
            </w:pPr>
            <w:r>
              <w:rPr>
                <w:rFonts w:eastAsia="Times New Roman"/>
                <w:sz w:val="20"/>
                <w:szCs w:val="20"/>
              </w:rPr>
              <w:t>- 39%</w:t>
            </w:r>
          </w:p>
        </w:tc>
        <w:tc>
          <w:tcPr>
            <w:tcW w:w="135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5A9AEAD" w14:textId="77777777" w:rsidR="008C0D61" w:rsidRDefault="008C0D61" w:rsidP="00DD4F70">
            <w:pPr>
              <w:jc w:val="center"/>
              <w:rPr>
                <w:rFonts w:eastAsia="Times New Roman"/>
                <w:sz w:val="20"/>
                <w:szCs w:val="20"/>
              </w:rPr>
            </w:pPr>
            <w:r>
              <w:rPr>
                <w:rFonts w:eastAsia="Times New Roman"/>
                <w:sz w:val="20"/>
                <w:szCs w:val="20"/>
              </w:rPr>
              <w:t>Satisfactory</w:t>
            </w:r>
          </w:p>
          <w:p w14:paraId="799EE169" w14:textId="77777777" w:rsidR="008C0D61" w:rsidRDefault="008C0D61" w:rsidP="00DD4F70">
            <w:pPr>
              <w:jc w:val="center"/>
              <w:rPr>
                <w:rFonts w:eastAsia="Times New Roman"/>
                <w:sz w:val="20"/>
                <w:szCs w:val="20"/>
              </w:rPr>
            </w:pPr>
            <w:r>
              <w:rPr>
                <w:rFonts w:eastAsia="Times New Roman"/>
                <w:sz w:val="20"/>
                <w:szCs w:val="20"/>
              </w:rPr>
              <w:t>40 – 49%</w:t>
            </w: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F3A6CAF" w14:textId="77777777" w:rsidR="008C0D61" w:rsidRDefault="008C0D61" w:rsidP="00DD4F70">
            <w:pPr>
              <w:jc w:val="center"/>
              <w:rPr>
                <w:rFonts w:eastAsia="Times New Roman"/>
                <w:sz w:val="20"/>
                <w:szCs w:val="20"/>
              </w:rPr>
            </w:pPr>
            <w:r>
              <w:rPr>
                <w:rFonts w:eastAsia="Times New Roman"/>
                <w:sz w:val="20"/>
                <w:szCs w:val="20"/>
              </w:rPr>
              <w:t>Good</w:t>
            </w:r>
          </w:p>
          <w:p w14:paraId="5F685302" w14:textId="77777777" w:rsidR="008C0D61" w:rsidRDefault="008C0D61" w:rsidP="00DD4F70">
            <w:pPr>
              <w:jc w:val="center"/>
              <w:rPr>
                <w:rFonts w:eastAsia="Times New Roman"/>
                <w:sz w:val="20"/>
                <w:szCs w:val="20"/>
              </w:rPr>
            </w:pPr>
            <w:r>
              <w:rPr>
                <w:rFonts w:eastAsia="Times New Roman"/>
                <w:sz w:val="20"/>
                <w:szCs w:val="20"/>
              </w:rPr>
              <w:t>50 – 59%</w:t>
            </w: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404560F9" w14:textId="77777777" w:rsidR="008C0D61" w:rsidRDefault="008C0D61" w:rsidP="00DD4F70">
            <w:pPr>
              <w:jc w:val="center"/>
              <w:rPr>
                <w:rFonts w:eastAsia="Times New Roman"/>
                <w:sz w:val="20"/>
                <w:szCs w:val="20"/>
              </w:rPr>
            </w:pPr>
            <w:r>
              <w:rPr>
                <w:rFonts w:eastAsia="Times New Roman"/>
                <w:sz w:val="20"/>
                <w:szCs w:val="20"/>
              </w:rPr>
              <w:t>Very Good</w:t>
            </w:r>
          </w:p>
          <w:p w14:paraId="40A603DA" w14:textId="77777777" w:rsidR="008C0D61" w:rsidRDefault="008C0D61" w:rsidP="00DD4F70">
            <w:pPr>
              <w:jc w:val="center"/>
              <w:rPr>
                <w:rFonts w:eastAsia="Times New Roman"/>
                <w:sz w:val="20"/>
                <w:szCs w:val="20"/>
              </w:rPr>
            </w:pPr>
            <w:r>
              <w:rPr>
                <w:rFonts w:eastAsia="Times New Roman"/>
                <w:sz w:val="20"/>
                <w:szCs w:val="20"/>
              </w:rPr>
              <w:t>60 – 69%</w:t>
            </w:r>
          </w:p>
        </w:tc>
        <w:tc>
          <w:tcPr>
            <w:tcW w:w="117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3BEEA267" w14:textId="77777777" w:rsidR="008C0D61" w:rsidRDefault="008C0D61" w:rsidP="00DD4F70">
            <w:pPr>
              <w:jc w:val="center"/>
              <w:rPr>
                <w:rFonts w:eastAsia="Times New Roman"/>
                <w:sz w:val="20"/>
                <w:szCs w:val="20"/>
              </w:rPr>
            </w:pPr>
            <w:r>
              <w:rPr>
                <w:rFonts w:eastAsia="Times New Roman"/>
                <w:sz w:val="20"/>
                <w:szCs w:val="20"/>
              </w:rPr>
              <w:t>Excellent</w:t>
            </w:r>
          </w:p>
          <w:p w14:paraId="4CD92BF3" w14:textId="77777777" w:rsidR="008C0D61" w:rsidRDefault="008C0D61" w:rsidP="00DD4F70">
            <w:pPr>
              <w:jc w:val="center"/>
              <w:rPr>
                <w:rFonts w:eastAsia="Times New Roman"/>
                <w:sz w:val="20"/>
                <w:szCs w:val="20"/>
              </w:rPr>
            </w:pPr>
            <w:r>
              <w:rPr>
                <w:rFonts w:eastAsia="Times New Roman"/>
                <w:sz w:val="20"/>
                <w:szCs w:val="20"/>
              </w:rPr>
              <w:t>70% +</w:t>
            </w:r>
          </w:p>
          <w:p w14:paraId="4277DDA6" w14:textId="77777777" w:rsidR="008C0D61" w:rsidRDefault="008C0D61" w:rsidP="00DD4F70">
            <w:pPr>
              <w:jc w:val="center"/>
              <w:rPr>
                <w:rFonts w:eastAsia="Times New Roman"/>
                <w:sz w:val="20"/>
                <w:szCs w:val="20"/>
              </w:rPr>
            </w:pPr>
          </w:p>
        </w:tc>
        <w:tc>
          <w:tcPr>
            <w:tcW w:w="720" w:type="dxa"/>
            <w:tcBorders>
              <w:top w:val="single" w:sz="6" w:space="0" w:color="000000"/>
              <w:left w:val="single" w:sz="6" w:space="0" w:color="000000"/>
              <w:bottom w:val="single" w:sz="6" w:space="0" w:color="000000"/>
              <w:right w:val="double" w:sz="12" w:space="0" w:color="000000"/>
            </w:tcBorders>
            <w:shd w:val="clear" w:color="auto" w:fill="auto"/>
            <w:tcMar>
              <w:top w:w="0" w:type="dxa"/>
              <w:left w:w="108" w:type="dxa"/>
              <w:bottom w:w="0" w:type="dxa"/>
              <w:right w:w="108" w:type="dxa"/>
            </w:tcMar>
          </w:tcPr>
          <w:p w14:paraId="0B7EF104" w14:textId="77777777" w:rsidR="008C0D61" w:rsidRDefault="008C0D61" w:rsidP="00DD4F70">
            <w:pPr>
              <w:rPr>
                <w:rFonts w:eastAsia="Times New Roman"/>
                <w:sz w:val="18"/>
                <w:szCs w:val="18"/>
              </w:rPr>
            </w:pPr>
          </w:p>
          <w:p w14:paraId="1FF0D36A" w14:textId="77777777" w:rsidR="008C0D61" w:rsidRDefault="008C0D61" w:rsidP="00DD4F70">
            <w:pPr>
              <w:rPr>
                <w:rFonts w:eastAsia="Times New Roman"/>
                <w:sz w:val="18"/>
                <w:szCs w:val="18"/>
              </w:rPr>
            </w:pPr>
            <w:r>
              <w:rPr>
                <w:rFonts w:eastAsia="Times New Roman"/>
                <w:sz w:val="18"/>
                <w:szCs w:val="18"/>
              </w:rPr>
              <w:t xml:space="preserve">  %</w:t>
            </w:r>
          </w:p>
        </w:tc>
      </w:tr>
      <w:tr w:rsidR="008C0D61" w14:paraId="72DDDC2F" w14:textId="77777777" w:rsidTr="00DD4F70">
        <w:tc>
          <w:tcPr>
            <w:tcW w:w="2123" w:type="dxa"/>
            <w:tcBorders>
              <w:top w:val="single" w:sz="6" w:space="0" w:color="000000"/>
              <w:left w:val="double" w:sz="12" w:space="0" w:color="000000"/>
              <w:bottom w:val="single" w:sz="6" w:space="0" w:color="000000"/>
              <w:right w:val="single" w:sz="4" w:space="0" w:color="000000"/>
            </w:tcBorders>
            <w:shd w:val="clear" w:color="auto" w:fill="auto"/>
            <w:tcMar>
              <w:top w:w="0" w:type="dxa"/>
              <w:left w:w="108" w:type="dxa"/>
              <w:bottom w:w="0" w:type="dxa"/>
              <w:right w:w="108" w:type="dxa"/>
            </w:tcMar>
          </w:tcPr>
          <w:p w14:paraId="7F786240" w14:textId="77777777" w:rsidR="008C0D61" w:rsidRDefault="008C0D61" w:rsidP="00DD4F70">
            <w:pPr>
              <w:ind w:left="-15"/>
              <w:rPr>
                <w:rFonts w:eastAsia="Times New Roman"/>
                <w:bCs/>
                <w:sz w:val="20"/>
                <w:szCs w:val="20"/>
              </w:rPr>
            </w:pPr>
            <w:r>
              <w:rPr>
                <w:rFonts w:eastAsia="Times New Roman"/>
                <w:bCs/>
                <w:sz w:val="20"/>
                <w:szCs w:val="20"/>
              </w:rPr>
              <w:t>Background knowledge and understanding of the chosen aspect of Health and Inclusion, setting the theme in appropriate context</w:t>
            </w:r>
          </w:p>
        </w:tc>
        <w:tc>
          <w:tcPr>
            <w:tcW w:w="540" w:type="dxa"/>
            <w:tcBorders>
              <w:top w:val="single" w:sz="6"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tcPr>
          <w:p w14:paraId="485E2BC2" w14:textId="77777777" w:rsidR="008C0D61" w:rsidRDefault="008C0D61" w:rsidP="00DD4F70">
            <w:pPr>
              <w:jc w:val="center"/>
              <w:rPr>
                <w:rFonts w:eastAsia="Times New Roman"/>
                <w:bCs/>
                <w:sz w:val="18"/>
                <w:szCs w:val="18"/>
              </w:rPr>
            </w:pPr>
          </w:p>
          <w:p w14:paraId="5FC18AB7" w14:textId="77777777" w:rsidR="008C0D61" w:rsidRDefault="008C0D61" w:rsidP="00DD4F70">
            <w:pPr>
              <w:jc w:val="center"/>
              <w:rPr>
                <w:rFonts w:eastAsia="Times New Roman"/>
                <w:bCs/>
                <w:sz w:val="18"/>
                <w:szCs w:val="18"/>
              </w:rPr>
            </w:pPr>
            <w:r>
              <w:rPr>
                <w:rFonts w:eastAsia="Times New Roman"/>
                <w:bCs/>
                <w:sz w:val="18"/>
                <w:szCs w:val="18"/>
              </w:rPr>
              <w:t>3</w:t>
            </w:r>
          </w:p>
        </w:tc>
        <w:tc>
          <w:tcPr>
            <w:tcW w:w="126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1EF37522" w14:textId="77777777" w:rsidR="008C0D61" w:rsidRDefault="008C0D61" w:rsidP="00DD4F70">
            <w:pPr>
              <w:jc w:val="center"/>
              <w:rPr>
                <w:rFonts w:eastAsia="Times New Roman"/>
                <w:b/>
                <w:sz w:val="18"/>
                <w:szCs w:val="18"/>
              </w:rPr>
            </w:pPr>
          </w:p>
          <w:p w14:paraId="7CE16D58" w14:textId="77777777" w:rsidR="008C0D61" w:rsidRDefault="008C0D61" w:rsidP="00DD4F70">
            <w:pPr>
              <w:jc w:val="center"/>
              <w:rPr>
                <w:rFonts w:eastAsia="Times New Roman"/>
                <w:b/>
                <w:sz w:val="18"/>
                <w:szCs w:val="18"/>
              </w:rPr>
            </w:pPr>
          </w:p>
        </w:tc>
        <w:tc>
          <w:tcPr>
            <w:tcW w:w="135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F2CBA8F" w14:textId="77777777" w:rsidR="008C0D61" w:rsidRDefault="008C0D61" w:rsidP="00DD4F70">
            <w:pPr>
              <w:jc w:val="right"/>
              <w:rPr>
                <w:rFonts w:eastAsia="Times New Roman"/>
                <w:b/>
                <w:sz w:val="18"/>
                <w:szCs w:val="1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1FDE7E0" w14:textId="77777777" w:rsidR="008C0D61" w:rsidRDefault="008C0D61" w:rsidP="00DD4F70">
            <w:pPr>
              <w:jc w:val="right"/>
              <w:rPr>
                <w:rFonts w:eastAsia="Times New Roman"/>
                <w:b/>
                <w:sz w:val="18"/>
                <w:szCs w:val="1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4B553D1" w14:textId="77777777" w:rsidR="008C0D61" w:rsidRDefault="008C0D61" w:rsidP="00DD4F70">
            <w:pPr>
              <w:rPr>
                <w:rFonts w:eastAsia="Times New Roman"/>
                <w:szCs w:val="20"/>
              </w:rPr>
            </w:pPr>
          </w:p>
        </w:tc>
        <w:tc>
          <w:tcPr>
            <w:tcW w:w="117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B5D51CA" w14:textId="77777777" w:rsidR="008C0D61" w:rsidRDefault="008C0D61" w:rsidP="00DD4F70">
            <w:pPr>
              <w:jc w:val="center"/>
              <w:rPr>
                <w:rFonts w:eastAsia="Times New Roman"/>
                <w:b/>
                <w:sz w:val="18"/>
                <w:szCs w:val="18"/>
              </w:rPr>
            </w:pPr>
          </w:p>
        </w:tc>
        <w:tc>
          <w:tcPr>
            <w:tcW w:w="720" w:type="dxa"/>
            <w:tcBorders>
              <w:top w:val="single" w:sz="6" w:space="0" w:color="000000"/>
              <w:left w:val="single" w:sz="6" w:space="0" w:color="000000"/>
              <w:bottom w:val="single" w:sz="6" w:space="0" w:color="000000"/>
              <w:right w:val="double" w:sz="12" w:space="0" w:color="000000"/>
            </w:tcBorders>
            <w:shd w:val="clear" w:color="auto" w:fill="auto"/>
            <w:tcMar>
              <w:top w:w="0" w:type="dxa"/>
              <w:left w:w="108" w:type="dxa"/>
              <w:bottom w:w="0" w:type="dxa"/>
              <w:right w:w="108" w:type="dxa"/>
            </w:tcMar>
          </w:tcPr>
          <w:p w14:paraId="26179C8F" w14:textId="77777777" w:rsidR="008C0D61" w:rsidRDefault="008C0D61" w:rsidP="00DD4F70">
            <w:pPr>
              <w:rPr>
                <w:rFonts w:eastAsia="Times New Roman"/>
                <w:bCs/>
                <w:sz w:val="18"/>
                <w:szCs w:val="18"/>
              </w:rPr>
            </w:pPr>
            <w:r>
              <w:rPr>
                <w:rFonts w:eastAsia="Times New Roman"/>
                <w:bCs/>
                <w:sz w:val="18"/>
                <w:szCs w:val="18"/>
              </w:rPr>
              <w:t>30%</w:t>
            </w:r>
          </w:p>
        </w:tc>
      </w:tr>
      <w:tr w:rsidR="008C0D61" w14:paraId="2F21934B" w14:textId="77777777" w:rsidTr="00DD4F70">
        <w:tc>
          <w:tcPr>
            <w:tcW w:w="2123" w:type="dxa"/>
            <w:tcBorders>
              <w:top w:val="single" w:sz="6" w:space="0" w:color="000000"/>
              <w:left w:val="double" w:sz="12" w:space="0" w:color="000000"/>
              <w:bottom w:val="single" w:sz="6" w:space="0" w:color="000000"/>
              <w:right w:val="single" w:sz="4" w:space="0" w:color="000000"/>
            </w:tcBorders>
            <w:shd w:val="clear" w:color="auto" w:fill="auto"/>
            <w:tcMar>
              <w:top w:w="0" w:type="dxa"/>
              <w:left w:w="108" w:type="dxa"/>
              <w:bottom w:w="0" w:type="dxa"/>
              <w:right w:w="108" w:type="dxa"/>
            </w:tcMar>
          </w:tcPr>
          <w:p w14:paraId="4454E6CB" w14:textId="77777777" w:rsidR="008C0D61" w:rsidRDefault="008C0D61" w:rsidP="00DD4F70">
            <w:pPr>
              <w:rPr>
                <w:rFonts w:eastAsia="Times New Roman"/>
                <w:sz w:val="20"/>
                <w:szCs w:val="20"/>
              </w:rPr>
            </w:pPr>
            <w:r>
              <w:rPr>
                <w:rFonts w:eastAsia="Times New Roman"/>
                <w:sz w:val="20"/>
                <w:szCs w:val="20"/>
              </w:rPr>
              <w:t>Ability to select, synthesise and evaluate appropriate sources relating to chosen theme</w:t>
            </w:r>
          </w:p>
        </w:tc>
        <w:tc>
          <w:tcPr>
            <w:tcW w:w="540" w:type="dxa"/>
            <w:tcBorders>
              <w:top w:val="single" w:sz="6"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tcPr>
          <w:p w14:paraId="0826CCFF" w14:textId="77777777" w:rsidR="008C0D61" w:rsidRDefault="008C0D61" w:rsidP="00DD4F70">
            <w:pPr>
              <w:jc w:val="center"/>
              <w:rPr>
                <w:rFonts w:eastAsia="Times New Roman"/>
                <w:sz w:val="20"/>
                <w:szCs w:val="20"/>
              </w:rPr>
            </w:pPr>
            <w:r>
              <w:rPr>
                <w:rFonts w:eastAsia="Times New Roman"/>
                <w:sz w:val="20"/>
                <w:szCs w:val="20"/>
              </w:rPr>
              <w:t>1</w:t>
            </w:r>
          </w:p>
        </w:tc>
        <w:tc>
          <w:tcPr>
            <w:tcW w:w="126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392FE8B" w14:textId="77777777" w:rsidR="008C0D61" w:rsidRDefault="008C0D61" w:rsidP="00DD4F70">
            <w:pPr>
              <w:rPr>
                <w:rFonts w:eastAsia="Times New Roman"/>
                <w:b/>
                <w:sz w:val="28"/>
                <w:szCs w:val="28"/>
              </w:rPr>
            </w:pPr>
          </w:p>
          <w:p w14:paraId="493C0545" w14:textId="77777777" w:rsidR="008C0D61" w:rsidRDefault="008C0D61" w:rsidP="00DD4F70">
            <w:pPr>
              <w:jc w:val="center"/>
              <w:rPr>
                <w:rFonts w:eastAsia="Times New Roman"/>
                <w:b/>
                <w:sz w:val="28"/>
                <w:szCs w:val="28"/>
              </w:rPr>
            </w:pPr>
          </w:p>
        </w:tc>
        <w:tc>
          <w:tcPr>
            <w:tcW w:w="135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1EA2FBB0" w14:textId="77777777" w:rsidR="008C0D61" w:rsidRDefault="008C0D61" w:rsidP="00DD4F70">
            <w:pPr>
              <w:jc w:val="right"/>
              <w:rPr>
                <w:rFonts w:eastAsia="Times New Roman"/>
                <w:b/>
                <w:sz w:val="28"/>
                <w:szCs w:val="28"/>
              </w:rPr>
            </w:pPr>
            <w:r>
              <w:rPr>
                <w:rFonts w:eastAsia="Times New Roman"/>
                <w:b/>
                <w:sz w:val="28"/>
                <w:szCs w:val="28"/>
              </w:rPr>
              <w:t xml:space="preserve"> </w:t>
            </w: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D9E5DAF" w14:textId="77777777" w:rsidR="008C0D61" w:rsidRDefault="008C0D61" w:rsidP="00DD4F70">
            <w:pPr>
              <w:jc w:val="right"/>
              <w:rPr>
                <w:rFonts w:eastAsia="Times New Roman"/>
                <w:b/>
                <w:sz w:val="28"/>
                <w:szCs w:val="2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F7CFF1A" w14:textId="77777777" w:rsidR="008C0D61" w:rsidRDefault="008C0D61" w:rsidP="00DD4F70">
            <w:pPr>
              <w:jc w:val="center"/>
              <w:rPr>
                <w:rFonts w:eastAsia="Times New Roman"/>
                <w:b/>
                <w:sz w:val="28"/>
                <w:szCs w:val="28"/>
              </w:rPr>
            </w:pPr>
          </w:p>
          <w:p w14:paraId="29538474" w14:textId="77777777" w:rsidR="008C0D61" w:rsidRDefault="008C0D61" w:rsidP="00DD4F70">
            <w:pPr>
              <w:jc w:val="center"/>
              <w:rPr>
                <w:rFonts w:eastAsia="Times New Roman"/>
                <w:b/>
                <w:sz w:val="28"/>
                <w:szCs w:val="28"/>
              </w:rPr>
            </w:pPr>
          </w:p>
        </w:tc>
        <w:tc>
          <w:tcPr>
            <w:tcW w:w="117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040D214C" w14:textId="77777777" w:rsidR="008C0D61" w:rsidRDefault="008C0D61" w:rsidP="00DD4F70">
            <w:pPr>
              <w:jc w:val="center"/>
              <w:rPr>
                <w:rFonts w:eastAsia="Times New Roman"/>
                <w:b/>
                <w:sz w:val="28"/>
                <w:szCs w:val="28"/>
              </w:rPr>
            </w:pPr>
          </w:p>
          <w:p w14:paraId="06C31B35" w14:textId="77777777" w:rsidR="008C0D61" w:rsidRDefault="008C0D61" w:rsidP="00DD4F70">
            <w:pPr>
              <w:jc w:val="center"/>
              <w:rPr>
                <w:rFonts w:eastAsia="Times New Roman"/>
                <w:b/>
                <w:sz w:val="28"/>
                <w:szCs w:val="28"/>
              </w:rPr>
            </w:pPr>
          </w:p>
        </w:tc>
        <w:tc>
          <w:tcPr>
            <w:tcW w:w="720" w:type="dxa"/>
            <w:tcBorders>
              <w:top w:val="single" w:sz="6" w:space="0" w:color="000000"/>
              <w:left w:val="single" w:sz="6" w:space="0" w:color="000000"/>
              <w:bottom w:val="single" w:sz="6" w:space="0" w:color="000000"/>
              <w:right w:val="double" w:sz="12" w:space="0" w:color="000000"/>
            </w:tcBorders>
            <w:shd w:val="clear" w:color="auto" w:fill="auto"/>
            <w:tcMar>
              <w:top w:w="0" w:type="dxa"/>
              <w:left w:w="108" w:type="dxa"/>
              <w:bottom w:w="0" w:type="dxa"/>
              <w:right w:w="108" w:type="dxa"/>
            </w:tcMar>
          </w:tcPr>
          <w:p w14:paraId="05F77562" w14:textId="77777777" w:rsidR="008C0D61" w:rsidRDefault="008C0D61" w:rsidP="00DD4F70">
            <w:pPr>
              <w:rPr>
                <w:rFonts w:eastAsia="Times New Roman"/>
                <w:sz w:val="18"/>
                <w:szCs w:val="20"/>
              </w:rPr>
            </w:pPr>
          </w:p>
          <w:p w14:paraId="015EDBC4" w14:textId="77777777" w:rsidR="008C0D61" w:rsidRDefault="008C0D61" w:rsidP="00DD4F70">
            <w:pPr>
              <w:rPr>
                <w:rFonts w:eastAsia="Times New Roman"/>
                <w:sz w:val="18"/>
                <w:szCs w:val="20"/>
              </w:rPr>
            </w:pPr>
            <w:r>
              <w:rPr>
                <w:rFonts w:eastAsia="Times New Roman"/>
                <w:sz w:val="18"/>
                <w:szCs w:val="20"/>
              </w:rPr>
              <w:t>30%</w:t>
            </w:r>
          </w:p>
        </w:tc>
      </w:tr>
      <w:tr w:rsidR="008C0D61" w14:paraId="6255E75C" w14:textId="77777777" w:rsidTr="00DD4F70">
        <w:tc>
          <w:tcPr>
            <w:tcW w:w="2123" w:type="dxa"/>
            <w:tcBorders>
              <w:top w:val="single" w:sz="6" w:space="0" w:color="000000"/>
              <w:left w:val="double" w:sz="12" w:space="0" w:color="000000"/>
              <w:bottom w:val="single" w:sz="6" w:space="0" w:color="000000"/>
              <w:right w:val="single" w:sz="4" w:space="0" w:color="000000"/>
            </w:tcBorders>
            <w:shd w:val="clear" w:color="auto" w:fill="auto"/>
            <w:tcMar>
              <w:top w:w="0" w:type="dxa"/>
              <w:left w:w="108" w:type="dxa"/>
              <w:bottom w:w="0" w:type="dxa"/>
              <w:right w:w="108" w:type="dxa"/>
            </w:tcMar>
          </w:tcPr>
          <w:p w14:paraId="361C7AB7" w14:textId="77777777" w:rsidR="008C0D61" w:rsidRDefault="008C0D61" w:rsidP="00DD4F70">
            <w:pPr>
              <w:rPr>
                <w:rFonts w:eastAsia="Times New Roman"/>
                <w:sz w:val="20"/>
                <w:szCs w:val="20"/>
              </w:rPr>
            </w:pPr>
            <w:r>
              <w:rPr>
                <w:rFonts w:eastAsia="Times New Roman"/>
                <w:sz w:val="20"/>
                <w:szCs w:val="20"/>
              </w:rPr>
              <w:t>Evidence of independent research using a range of sources and the ability to present key findings clearly</w:t>
            </w:r>
          </w:p>
        </w:tc>
        <w:tc>
          <w:tcPr>
            <w:tcW w:w="540" w:type="dxa"/>
            <w:tcBorders>
              <w:top w:val="single" w:sz="6"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tcPr>
          <w:p w14:paraId="7D9C94FB" w14:textId="77777777" w:rsidR="008C0D61" w:rsidRDefault="008C0D61" w:rsidP="00DD4F70">
            <w:pPr>
              <w:jc w:val="center"/>
              <w:rPr>
                <w:rFonts w:eastAsia="Times New Roman"/>
                <w:sz w:val="20"/>
                <w:szCs w:val="20"/>
              </w:rPr>
            </w:pPr>
            <w:r>
              <w:rPr>
                <w:rFonts w:eastAsia="Times New Roman"/>
                <w:sz w:val="20"/>
                <w:szCs w:val="20"/>
              </w:rPr>
              <w:t>1,2,3</w:t>
            </w:r>
          </w:p>
        </w:tc>
        <w:tc>
          <w:tcPr>
            <w:tcW w:w="126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7B0C6940" w14:textId="77777777" w:rsidR="008C0D61" w:rsidRDefault="008C0D61" w:rsidP="00DD4F70">
            <w:pPr>
              <w:jc w:val="center"/>
              <w:rPr>
                <w:rFonts w:eastAsia="Times New Roman"/>
                <w:b/>
                <w:sz w:val="28"/>
                <w:szCs w:val="28"/>
              </w:rPr>
            </w:pPr>
          </w:p>
        </w:tc>
        <w:tc>
          <w:tcPr>
            <w:tcW w:w="135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62EB70F" w14:textId="77777777" w:rsidR="008C0D61" w:rsidRDefault="008C0D61" w:rsidP="00DD4F70">
            <w:pPr>
              <w:jc w:val="right"/>
              <w:rPr>
                <w:rFonts w:eastAsia="Times New Roman"/>
                <w:b/>
                <w:sz w:val="28"/>
                <w:szCs w:val="2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9318932" w14:textId="77777777" w:rsidR="008C0D61" w:rsidRDefault="008C0D61" w:rsidP="00DD4F70">
            <w:pPr>
              <w:jc w:val="center"/>
              <w:rPr>
                <w:rFonts w:eastAsia="Times New Roman"/>
                <w:b/>
                <w:sz w:val="28"/>
                <w:szCs w:val="2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C693FB2" w14:textId="77777777" w:rsidR="008C0D61" w:rsidRDefault="008C0D61" w:rsidP="00DD4F70">
            <w:pPr>
              <w:jc w:val="center"/>
              <w:rPr>
                <w:rFonts w:eastAsia="Times New Roman"/>
                <w:b/>
                <w:sz w:val="28"/>
                <w:szCs w:val="28"/>
              </w:rPr>
            </w:pPr>
          </w:p>
        </w:tc>
        <w:tc>
          <w:tcPr>
            <w:tcW w:w="117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CBD6528" w14:textId="77777777" w:rsidR="008C0D61" w:rsidRDefault="008C0D61" w:rsidP="00DD4F70">
            <w:pPr>
              <w:jc w:val="center"/>
              <w:rPr>
                <w:rFonts w:eastAsia="Times New Roman"/>
                <w:b/>
                <w:sz w:val="28"/>
                <w:szCs w:val="28"/>
              </w:rPr>
            </w:pPr>
          </w:p>
        </w:tc>
        <w:tc>
          <w:tcPr>
            <w:tcW w:w="720" w:type="dxa"/>
            <w:tcBorders>
              <w:top w:val="single" w:sz="6" w:space="0" w:color="000000"/>
              <w:left w:val="single" w:sz="6" w:space="0" w:color="000000"/>
              <w:bottom w:val="single" w:sz="6" w:space="0" w:color="000000"/>
              <w:right w:val="double" w:sz="12" w:space="0" w:color="000000"/>
            </w:tcBorders>
            <w:shd w:val="clear" w:color="auto" w:fill="auto"/>
            <w:tcMar>
              <w:top w:w="0" w:type="dxa"/>
              <w:left w:w="108" w:type="dxa"/>
              <w:bottom w:w="0" w:type="dxa"/>
              <w:right w:w="108" w:type="dxa"/>
            </w:tcMar>
          </w:tcPr>
          <w:p w14:paraId="68DE9309" w14:textId="77777777" w:rsidR="008C0D61" w:rsidRDefault="008C0D61" w:rsidP="00DD4F70">
            <w:pPr>
              <w:rPr>
                <w:rFonts w:eastAsia="Times New Roman"/>
                <w:sz w:val="18"/>
                <w:szCs w:val="20"/>
              </w:rPr>
            </w:pPr>
          </w:p>
          <w:p w14:paraId="3DBBA280" w14:textId="77777777" w:rsidR="008C0D61" w:rsidRDefault="008C0D61" w:rsidP="00DD4F70">
            <w:pPr>
              <w:rPr>
                <w:rFonts w:eastAsia="Times New Roman"/>
                <w:sz w:val="18"/>
                <w:szCs w:val="20"/>
              </w:rPr>
            </w:pPr>
            <w:r>
              <w:rPr>
                <w:rFonts w:eastAsia="Times New Roman"/>
                <w:sz w:val="18"/>
                <w:szCs w:val="20"/>
              </w:rPr>
              <w:t>30%</w:t>
            </w:r>
          </w:p>
        </w:tc>
      </w:tr>
      <w:tr w:rsidR="008C0D61" w14:paraId="7E6282C6" w14:textId="77777777" w:rsidTr="00DD4F70">
        <w:tc>
          <w:tcPr>
            <w:tcW w:w="2123" w:type="dxa"/>
            <w:tcBorders>
              <w:top w:val="single" w:sz="6" w:space="0" w:color="000000"/>
              <w:left w:val="double" w:sz="12" w:space="0" w:color="000000"/>
              <w:bottom w:val="single" w:sz="6" w:space="0" w:color="000000"/>
              <w:right w:val="single" w:sz="4" w:space="0" w:color="000000"/>
            </w:tcBorders>
            <w:shd w:val="clear" w:color="auto" w:fill="auto"/>
            <w:tcMar>
              <w:top w:w="0" w:type="dxa"/>
              <w:left w:w="108" w:type="dxa"/>
              <w:bottom w:w="0" w:type="dxa"/>
              <w:right w:w="108" w:type="dxa"/>
            </w:tcMar>
          </w:tcPr>
          <w:p w14:paraId="14998C9E" w14:textId="77777777" w:rsidR="008C0D61" w:rsidRDefault="008C0D61" w:rsidP="00DD4F70">
            <w:pPr>
              <w:rPr>
                <w:rFonts w:eastAsia="Times New Roman"/>
                <w:sz w:val="20"/>
                <w:szCs w:val="20"/>
              </w:rPr>
            </w:pPr>
            <w:r>
              <w:rPr>
                <w:rFonts w:eastAsia="Times New Roman"/>
                <w:sz w:val="20"/>
                <w:szCs w:val="20"/>
              </w:rPr>
              <w:t>Problem-solving skills in locating appropriate material within secondary sources, internet and primary material.</w:t>
            </w:r>
          </w:p>
        </w:tc>
        <w:tc>
          <w:tcPr>
            <w:tcW w:w="540" w:type="dxa"/>
            <w:tcBorders>
              <w:top w:val="single" w:sz="6" w:space="0" w:color="000000"/>
              <w:left w:val="single" w:sz="4" w:space="0" w:color="000000"/>
              <w:bottom w:val="single" w:sz="6" w:space="0" w:color="000000"/>
              <w:right w:val="single" w:sz="6" w:space="0" w:color="000000"/>
            </w:tcBorders>
            <w:shd w:val="clear" w:color="auto" w:fill="auto"/>
            <w:tcMar>
              <w:top w:w="0" w:type="dxa"/>
              <w:left w:w="108" w:type="dxa"/>
              <w:bottom w:w="0" w:type="dxa"/>
              <w:right w:w="108" w:type="dxa"/>
            </w:tcMar>
          </w:tcPr>
          <w:p w14:paraId="61B434DB" w14:textId="77777777" w:rsidR="008C0D61" w:rsidRDefault="008C0D61" w:rsidP="00DD4F70">
            <w:pPr>
              <w:jc w:val="center"/>
              <w:rPr>
                <w:rFonts w:eastAsia="Times New Roman"/>
                <w:sz w:val="20"/>
                <w:szCs w:val="20"/>
              </w:rPr>
            </w:pPr>
          </w:p>
          <w:p w14:paraId="595C9CE2" w14:textId="77777777" w:rsidR="008C0D61" w:rsidRDefault="008C0D61" w:rsidP="00DD4F70">
            <w:pPr>
              <w:jc w:val="center"/>
              <w:rPr>
                <w:rFonts w:eastAsia="Times New Roman"/>
                <w:sz w:val="20"/>
                <w:szCs w:val="20"/>
              </w:rPr>
            </w:pPr>
            <w:r>
              <w:rPr>
                <w:rFonts w:eastAsia="Times New Roman"/>
                <w:sz w:val="20"/>
                <w:szCs w:val="20"/>
              </w:rPr>
              <w:t>3</w:t>
            </w:r>
          </w:p>
        </w:tc>
        <w:tc>
          <w:tcPr>
            <w:tcW w:w="126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0FB7672" w14:textId="77777777" w:rsidR="008C0D61" w:rsidRDefault="008C0D61" w:rsidP="00DD4F70">
            <w:pPr>
              <w:jc w:val="center"/>
              <w:rPr>
                <w:rFonts w:eastAsia="Times New Roman"/>
                <w:b/>
                <w:sz w:val="28"/>
                <w:szCs w:val="28"/>
              </w:rPr>
            </w:pPr>
          </w:p>
          <w:p w14:paraId="59FBE647" w14:textId="77777777" w:rsidR="008C0D61" w:rsidRDefault="008C0D61" w:rsidP="00DD4F70">
            <w:pPr>
              <w:jc w:val="center"/>
              <w:rPr>
                <w:rFonts w:eastAsia="Times New Roman"/>
                <w:b/>
                <w:sz w:val="28"/>
                <w:szCs w:val="28"/>
              </w:rPr>
            </w:pPr>
          </w:p>
        </w:tc>
        <w:tc>
          <w:tcPr>
            <w:tcW w:w="135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FBE1D17" w14:textId="77777777" w:rsidR="008C0D61" w:rsidRDefault="008C0D61" w:rsidP="00DD4F70">
            <w:pPr>
              <w:jc w:val="center"/>
              <w:rPr>
                <w:rFonts w:eastAsia="Times New Roman"/>
                <w:b/>
                <w:sz w:val="28"/>
                <w:szCs w:val="2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2B6ED964" w14:textId="77777777" w:rsidR="008C0D61" w:rsidRDefault="008C0D61" w:rsidP="00DD4F70">
            <w:pPr>
              <w:jc w:val="center"/>
              <w:rPr>
                <w:rFonts w:eastAsia="Times New Roman"/>
                <w:b/>
                <w:sz w:val="28"/>
                <w:szCs w:val="28"/>
              </w:rPr>
            </w:pPr>
          </w:p>
        </w:tc>
        <w:tc>
          <w:tcPr>
            <w:tcW w:w="1440"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696A998" w14:textId="77777777" w:rsidR="008C0D61" w:rsidRDefault="008C0D61" w:rsidP="00DD4F70">
            <w:pPr>
              <w:jc w:val="center"/>
              <w:rPr>
                <w:rFonts w:eastAsia="Times New Roman"/>
                <w:b/>
                <w:sz w:val="28"/>
                <w:szCs w:val="28"/>
              </w:rPr>
            </w:pPr>
          </w:p>
        </w:tc>
        <w:tc>
          <w:tcPr>
            <w:tcW w:w="1170"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6CF50502" w14:textId="77777777" w:rsidR="008C0D61" w:rsidRDefault="008C0D61" w:rsidP="00DD4F70">
            <w:pPr>
              <w:jc w:val="center"/>
              <w:rPr>
                <w:rFonts w:eastAsia="Times New Roman"/>
                <w:b/>
                <w:sz w:val="28"/>
                <w:szCs w:val="28"/>
              </w:rPr>
            </w:pPr>
          </w:p>
          <w:p w14:paraId="0ECE00EF" w14:textId="77777777" w:rsidR="008C0D61" w:rsidRDefault="008C0D61" w:rsidP="00DD4F70">
            <w:pPr>
              <w:jc w:val="center"/>
              <w:rPr>
                <w:rFonts w:eastAsia="Times New Roman"/>
                <w:b/>
                <w:sz w:val="28"/>
                <w:szCs w:val="28"/>
              </w:rPr>
            </w:pPr>
          </w:p>
        </w:tc>
        <w:tc>
          <w:tcPr>
            <w:tcW w:w="720" w:type="dxa"/>
            <w:tcBorders>
              <w:top w:val="single" w:sz="6" w:space="0" w:color="000000"/>
              <w:left w:val="single" w:sz="6" w:space="0" w:color="000000"/>
              <w:bottom w:val="single" w:sz="6" w:space="0" w:color="000000"/>
              <w:right w:val="double" w:sz="12" w:space="0" w:color="000000"/>
            </w:tcBorders>
            <w:shd w:val="clear" w:color="auto" w:fill="auto"/>
            <w:tcMar>
              <w:top w:w="0" w:type="dxa"/>
              <w:left w:w="108" w:type="dxa"/>
              <w:bottom w:w="0" w:type="dxa"/>
              <w:right w:w="108" w:type="dxa"/>
            </w:tcMar>
          </w:tcPr>
          <w:p w14:paraId="1006972F" w14:textId="77777777" w:rsidR="008C0D61" w:rsidRDefault="008C0D61" w:rsidP="00DD4F70">
            <w:pPr>
              <w:rPr>
                <w:rFonts w:eastAsia="Times New Roman"/>
                <w:sz w:val="18"/>
                <w:szCs w:val="20"/>
              </w:rPr>
            </w:pPr>
          </w:p>
          <w:p w14:paraId="67E2AF0D" w14:textId="77777777" w:rsidR="008C0D61" w:rsidRDefault="008C0D61" w:rsidP="00DD4F70">
            <w:pPr>
              <w:rPr>
                <w:rFonts w:eastAsia="Times New Roman"/>
                <w:sz w:val="18"/>
                <w:szCs w:val="20"/>
              </w:rPr>
            </w:pPr>
            <w:r>
              <w:rPr>
                <w:rFonts w:eastAsia="Times New Roman"/>
                <w:sz w:val="18"/>
                <w:szCs w:val="20"/>
              </w:rPr>
              <w:t>10%</w:t>
            </w:r>
          </w:p>
        </w:tc>
      </w:tr>
      <w:tr w:rsidR="008C0D61" w14:paraId="3A8CD8B7" w14:textId="77777777" w:rsidTr="00DD4F70">
        <w:tc>
          <w:tcPr>
            <w:tcW w:w="9325" w:type="dxa"/>
            <w:gridSpan w:val="9"/>
            <w:tcBorders>
              <w:left w:val="double" w:sz="12" w:space="0" w:color="000000"/>
              <w:bottom w:val="single" w:sz="6" w:space="0" w:color="000000"/>
              <w:right w:val="single" w:sz="4" w:space="0" w:color="000000"/>
            </w:tcBorders>
            <w:shd w:val="clear" w:color="auto" w:fill="auto"/>
            <w:tcMar>
              <w:top w:w="0" w:type="dxa"/>
              <w:left w:w="108" w:type="dxa"/>
              <w:bottom w:w="0" w:type="dxa"/>
              <w:right w:w="108" w:type="dxa"/>
            </w:tcMar>
            <w:vAlign w:val="center"/>
          </w:tcPr>
          <w:p w14:paraId="243FEC34" w14:textId="77777777" w:rsidR="008C0D61" w:rsidRDefault="008C0D61" w:rsidP="00DD4F70">
            <w:r>
              <w:rPr>
                <w:rFonts w:eastAsia="Times New Roman"/>
                <w:i/>
                <w:sz w:val="18"/>
                <w:szCs w:val="18"/>
              </w:rPr>
              <w:t xml:space="preserve">It is expected that students will present work that is proof read and follows the </w:t>
            </w:r>
            <w:r>
              <w:rPr>
                <w:rFonts w:eastAsia="Times New Roman"/>
                <w:b/>
                <w:bCs/>
                <w:i/>
                <w:sz w:val="18"/>
                <w:szCs w:val="18"/>
                <w:u w:val="single"/>
              </w:rPr>
              <w:t>School Reference Guide</w:t>
            </w:r>
            <w:r>
              <w:rPr>
                <w:rFonts w:eastAsia="Times New Roman"/>
                <w:i/>
                <w:sz w:val="18"/>
                <w:szCs w:val="18"/>
              </w:rPr>
              <w:t xml:space="preserve"> and </w:t>
            </w:r>
            <w:r>
              <w:rPr>
                <w:rFonts w:eastAsia="Times New Roman"/>
                <w:b/>
                <w:i/>
                <w:sz w:val="18"/>
                <w:szCs w:val="18"/>
                <w:u w:val="single"/>
              </w:rPr>
              <w:t xml:space="preserve">Assessment Checklist. </w:t>
            </w:r>
            <w:proofErr w:type="gramStart"/>
            <w:r>
              <w:rPr>
                <w:rFonts w:eastAsia="Times New Roman"/>
                <w:i/>
                <w:sz w:val="18"/>
                <w:szCs w:val="18"/>
              </w:rPr>
              <w:t>Therefore</w:t>
            </w:r>
            <w:proofErr w:type="gramEnd"/>
            <w:r>
              <w:rPr>
                <w:rFonts w:eastAsia="Times New Roman"/>
                <w:i/>
                <w:sz w:val="18"/>
                <w:szCs w:val="18"/>
              </w:rPr>
              <w:t xml:space="preserve"> a range of 0 – 10 marks will be deducted for poor </w:t>
            </w:r>
            <w:r>
              <w:rPr>
                <w:rFonts w:eastAsia="Times New Roman"/>
                <w:bCs/>
                <w:i/>
                <w:sz w:val="18"/>
                <w:szCs w:val="18"/>
              </w:rPr>
              <w:t>referencing</w:t>
            </w:r>
            <w:r>
              <w:rPr>
                <w:rFonts w:eastAsia="Times New Roman"/>
                <w:i/>
                <w:sz w:val="18"/>
                <w:szCs w:val="18"/>
              </w:rPr>
              <w:t>, spelling, grammar, punctuation, and presentation</w:t>
            </w:r>
          </w:p>
        </w:tc>
        <w:tc>
          <w:tcPr>
            <w:tcW w:w="720" w:type="dxa"/>
            <w:tcBorders>
              <w:left w:val="single" w:sz="4" w:space="0" w:color="000000"/>
              <w:bottom w:val="single" w:sz="6" w:space="0" w:color="000000"/>
              <w:right w:val="double" w:sz="12" w:space="0" w:color="000000"/>
            </w:tcBorders>
            <w:shd w:val="clear" w:color="auto" w:fill="auto"/>
            <w:tcMar>
              <w:top w:w="0" w:type="dxa"/>
              <w:left w:w="108" w:type="dxa"/>
              <w:bottom w:w="0" w:type="dxa"/>
              <w:right w:w="108" w:type="dxa"/>
            </w:tcMar>
            <w:vAlign w:val="center"/>
          </w:tcPr>
          <w:p w14:paraId="43554D8C" w14:textId="77777777" w:rsidR="008C0D61" w:rsidRDefault="008C0D61" w:rsidP="00DD4F70">
            <w:pPr>
              <w:rPr>
                <w:rFonts w:eastAsia="Times New Roman"/>
                <w:sz w:val="18"/>
                <w:szCs w:val="20"/>
              </w:rPr>
            </w:pPr>
            <w:r>
              <w:rPr>
                <w:rFonts w:eastAsia="Times New Roman"/>
                <w:sz w:val="18"/>
                <w:szCs w:val="20"/>
              </w:rPr>
              <w:t>0/10</w:t>
            </w:r>
          </w:p>
        </w:tc>
      </w:tr>
      <w:tr w:rsidR="008C0D61" w14:paraId="397795C9" w14:textId="77777777" w:rsidTr="00DD4F70">
        <w:trPr>
          <w:cantSplit/>
          <w:trHeight w:val="3915"/>
        </w:trPr>
        <w:tc>
          <w:tcPr>
            <w:tcW w:w="10045" w:type="dxa"/>
            <w:gridSpan w:val="10"/>
            <w:tcBorders>
              <w:top w:val="single" w:sz="6" w:space="0" w:color="000000"/>
              <w:left w:val="double" w:sz="12" w:space="0" w:color="000000"/>
              <w:bottom w:val="single" w:sz="4" w:space="0" w:color="000000"/>
              <w:right w:val="double" w:sz="12" w:space="0" w:color="000000"/>
            </w:tcBorders>
            <w:shd w:val="clear" w:color="auto" w:fill="auto"/>
            <w:tcMar>
              <w:top w:w="0" w:type="dxa"/>
              <w:left w:w="108" w:type="dxa"/>
              <w:bottom w:w="0" w:type="dxa"/>
              <w:right w:w="108" w:type="dxa"/>
            </w:tcMar>
          </w:tcPr>
          <w:p w14:paraId="4862AAB0" w14:textId="77777777" w:rsidR="008C0D61" w:rsidRDefault="008C0D61" w:rsidP="00DD4F70">
            <w:pPr>
              <w:tabs>
                <w:tab w:val="left" w:pos="9829"/>
              </w:tabs>
              <w:rPr>
                <w:rFonts w:eastAsia="Times New Roman"/>
                <w:szCs w:val="20"/>
              </w:rPr>
            </w:pPr>
          </w:p>
          <w:p w14:paraId="0C3B0359" w14:textId="77777777" w:rsidR="008C0D61" w:rsidRDefault="008C0D61" w:rsidP="00DD4F70">
            <w:pPr>
              <w:rPr>
                <w:rFonts w:eastAsia="Times New Roman"/>
                <w:szCs w:val="20"/>
              </w:rPr>
            </w:pPr>
            <w:r>
              <w:rPr>
                <w:rFonts w:eastAsia="Times New Roman"/>
                <w:szCs w:val="20"/>
              </w:rPr>
              <w:t>TUTOR COMMENTS:</w:t>
            </w:r>
          </w:p>
          <w:p w14:paraId="4EFC25E7" w14:textId="77777777" w:rsidR="008C0D61" w:rsidRDefault="008C0D61" w:rsidP="00DD4F70">
            <w:pPr>
              <w:ind w:firstLine="281"/>
              <w:rPr>
                <w:rFonts w:eastAsia="Times New Roman"/>
                <w:szCs w:val="20"/>
              </w:rPr>
            </w:pPr>
          </w:p>
          <w:p w14:paraId="3A46EE14" w14:textId="77777777" w:rsidR="008C0D61" w:rsidRDefault="008C0D61" w:rsidP="00DD4F70">
            <w:pPr>
              <w:rPr>
                <w:rFonts w:eastAsia="Times New Roman"/>
                <w:szCs w:val="20"/>
              </w:rPr>
            </w:pPr>
          </w:p>
          <w:p w14:paraId="4E2842F7" w14:textId="77777777" w:rsidR="008C0D61" w:rsidRDefault="008C0D61" w:rsidP="00DD4F70">
            <w:pPr>
              <w:rPr>
                <w:rFonts w:eastAsia="Times New Roman"/>
                <w:szCs w:val="20"/>
              </w:rPr>
            </w:pPr>
          </w:p>
          <w:p w14:paraId="799DE56E" w14:textId="77777777" w:rsidR="008C0D61" w:rsidRDefault="008C0D61" w:rsidP="00DD4F70">
            <w:pPr>
              <w:tabs>
                <w:tab w:val="left" w:pos="10117"/>
              </w:tabs>
              <w:rPr>
                <w:rFonts w:eastAsia="Times New Roman"/>
                <w:szCs w:val="20"/>
              </w:rPr>
            </w:pPr>
          </w:p>
        </w:tc>
      </w:tr>
      <w:tr w:rsidR="008C0D61" w14:paraId="5177A833" w14:textId="77777777" w:rsidTr="00DD4F70">
        <w:trPr>
          <w:cantSplit/>
          <w:trHeight w:val="365"/>
        </w:trPr>
        <w:tc>
          <w:tcPr>
            <w:tcW w:w="2663" w:type="dxa"/>
            <w:gridSpan w:val="2"/>
            <w:tcBorders>
              <w:top w:val="single" w:sz="4" w:space="0" w:color="000000"/>
              <w:left w:val="double" w:sz="12" w:space="0" w:color="000000"/>
              <w:bottom w:val="double" w:sz="12" w:space="0" w:color="000000"/>
              <w:right w:val="single" w:sz="4" w:space="0" w:color="000000"/>
            </w:tcBorders>
            <w:shd w:val="clear" w:color="auto" w:fill="auto"/>
            <w:tcMar>
              <w:top w:w="0" w:type="dxa"/>
              <w:left w:w="108" w:type="dxa"/>
              <w:bottom w:w="0" w:type="dxa"/>
              <w:right w:w="108" w:type="dxa"/>
            </w:tcMar>
          </w:tcPr>
          <w:p w14:paraId="3BBA1E5B" w14:textId="08CD3434" w:rsidR="008C0D61" w:rsidRDefault="008C0D61" w:rsidP="00DD4F70">
            <w:pPr>
              <w:rPr>
                <w:rFonts w:eastAsia="Times New Roman"/>
                <w:bCs/>
                <w:sz w:val="18"/>
                <w:szCs w:val="18"/>
              </w:rPr>
            </w:pPr>
            <w:r>
              <w:rPr>
                <w:rFonts w:eastAsia="Times New Roman"/>
                <w:bCs/>
                <w:sz w:val="18"/>
                <w:szCs w:val="18"/>
              </w:rPr>
              <w:t xml:space="preserve"> Submission date: 4/1/19</w:t>
            </w:r>
          </w:p>
          <w:p w14:paraId="6E2B56D5" w14:textId="77777777" w:rsidR="008C0D61" w:rsidRDefault="008C0D61" w:rsidP="00DD4F70">
            <w:pPr>
              <w:rPr>
                <w:rFonts w:eastAsia="Times New Roman"/>
                <w:bCs/>
                <w:sz w:val="18"/>
                <w:szCs w:val="18"/>
              </w:rPr>
            </w:pPr>
            <w:r>
              <w:rPr>
                <w:rFonts w:eastAsia="Times New Roman"/>
                <w:bCs/>
                <w:sz w:val="18"/>
                <w:szCs w:val="18"/>
              </w:rPr>
              <w:t xml:space="preserve">via </w:t>
            </w:r>
            <w:proofErr w:type="spellStart"/>
            <w:r>
              <w:rPr>
                <w:rFonts w:eastAsia="Times New Roman"/>
                <w:bCs/>
                <w:sz w:val="18"/>
                <w:szCs w:val="18"/>
              </w:rPr>
              <w:t>Turnitin</w:t>
            </w:r>
            <w:proofErr w:type="spellEnd"/>
            <w:r>
              <w:rPr>
                <w:rFonts w:eastAsia="Times New Roman"/>
                <w:bCs/>
                <w:sz w:val="18"/>
                <w:szCs w:val="18"/>
              </w:rPr>
              <w:t xml:space="preserve"> </w:t>
            </w:r>
          </w:p>
        </w:tc>
        <w:tc>
          <w:tcPr>
            <w:tcW w:w="2425" w:type="dxa"/>
            <w:gridSpan w:val="2"/>
            <w:tcBorders>
              <w:top w:val="single" w:sz="4" w:space="0" w:color="000000"/>
              <w:left w:val="single" w:sz="4" w:space="0" w:color="000000"/>
              <w:bottom w:val="double" w:sz="12" w:space="0" w:color="000000"/>
              <w:right w:val="single" w:sz="4" w:space="0" w:color="000000"/>
            </w:tcBorders>
            <w:shd w:val="clear" w:color="auto" w:fill="auto"/>
            <w:tcMar>
              <w:top w:w="0" w:type="dxa"/>
              <w:left w:w="108" w:type="dxa"/>
              <w:bottom w:w="0" w:type="dxa"/>
              <w:right w:w="108" w:type="dxa"/>
            </w:tcMar>
          </w:tcPr>
          <w:p w14:paraId="0FAF180D" w14:textId="77777777" w:rsidR="008C0D61" w:rsidRDefault="008C0D61" w:rsidP="00DD4F70">
            <w:pPr>
              <w:rPr>
                <w:rFonts w:eastAsia="Times New Roman"/>
                <w:bCs/>
                <w:sz w:val="18"/>
                <w:szCs w:val="18"/>
              </w:rPr>
            </w:pPr>
            <w:r>
              <w:rPr>
                <w:rFonts w:eastAsia="Times New Roman"/>
                <w:bCs/>
                <w:sz w:val="18"/>
                <w:szCs w:val="18"/>
              </w:rPr>
              <w:t>Return date: 17</w:t>
            </w:r>
          </w:p>
          <w:p w14:paraId="4B3A6923" w14:textId="77777777" w:rsidR="008C0D61" w:rsidRDefault="008C0D61" w:rsidP="00DD4F70">
            <w:pPr>
              <w:rPr>
                <w:rFonts w:eastAsia="Times New Roman"/>
                <w:bCs/>
                <w:sz w:val="18"/>
                <w:szCs w:val="18"/>
              </w:rPr>
            </w:pPr>
            <w:r>
              <w:rPr>
                <w:rFonts w:eastAsia="Times New Roman"/>
                <w:bCs/>
                <w:sz w:val="18"/>
                <w:szCs w:val="18"/>
              </w:rPr>
              <w:t>(at least within 4 weeks)</w:t>
            </w:r>
          </w:p>
        </w:tc>
        <w:tc>
          <w:tcPr>
            <w:tcW w:w="3598" w:type="dxa"/>
            <w:gridSpan w:val="4"/>
            <w:tcBorders>
              <w:top w:val="single" w:sz="4" w:space="0" w:color="000000"/>
              <w:left w:val="single" w:sz="4" w:space="0" w:color="000000"/>
              <w:bottom w:val="double" w:sz="12" w:space="0" w:color="000000"/>
              <w:right w:val="single" w:sz="4" w:space="0" w:color="000000"/>
            </w:tcBorders>
            <w:shd w:val="clear" w:color="auto" w:fill="auto"/>
            <w:tcMar>
              <w:top w:w="0" w:type="dxa"/>
              <w:left w:w="108" w:type="dxa"/>
              <w:bottom w:w="0" w:type="dxa"/>
              <w:right w:w="108" w:type="dxa"/>
            </w:tcMar>
          </w:tcPr>
          <w:p w14:paraId="1AE04952" w14:textId="77777777" w:rsidR="008C0D61" w:rsidRDefault="008C0D61" w:rsidP="00DD4F70">
            <w:pPr>
              <w:rPr>
                <w:rFonts w:eastAsia="Times New Roman"/>
                <w:bCs/>
                <w:sz w:val="18"/>
                <w:szCs w:val="18"/>
              </w:rPr>
            </w:pPr>
            <w:r>
              <w:rPr>
                <w:rFonts w:eastAsia="Times New Roman"/>
                <w:bCs/>
                <w:sz w:val="18"/>
                <w:szCs w:val="18"/>
              </w:rPr>
              <w:t xml:space="preserve">Tutor: </w:t>
            </w:r>
            <w:proofErr w:type="spellStart"/>
            <w:r>
              <w:rPr>
                <w:rFonts w:eastAsia="Times New Roman"/>
                <w:bCs/>
                <w:sz w:val="18"/>
                <w:szCs w:val="18"/>
              </w:rPr>
              <w:t>C.</w:t>
            </w:r>
            <w:proofErr w:type="gramStart"/>
            <w:r>
              <w:rPr>
                <w:rFonts w:eastAsia="Times New Roman"/>
                <w:bCs/>
                <w:sz w:val="18"/>
                <w:szCs w:val="18"/>
              </w:rPr>
              <w:t>R.Davies</w:t>
            </w:r>
            <w:proofErr w:type="spellEnd"/>
            <w:proofErr w:type="gramEnd"/>
          </w:p>
        </w:tc>
        <w:tc>
          <w:tcPr>
            <w:tcW w:w="1359" w:type="dxa"/>
            <w:gridSpan w:val="2"/>
            <w:tcBorders>
              <w:top w:val="single" w:sz="4" w:space="0" w:color="000000"/>
              <w:left w:val="single" w:sz="4" w:space="0" w:color="000000"/>
              <w:bottom w:val="double" w:sz="12" w:space="0" w:color="000000"/>
              <w:right w:val="double" w:sz="12" w:space="0" w:color="000000"/>
            </w:tcBorders>
            <w:shd w:val="clear" w:color="auto" w:fill="auto"/>
            <w:tcMar>
              <w:top w:w="0" w:type="dxa"/>
              <w:left w:w="108" w:type="dxa"/>
              <w:bottom w:w="0" w:type="dxa"/>
              <w:right w:w="108" w:type="dxa"/>
            </w:tcMar>
          </w:tcPr>
          <w:p w14:paraId="29698DF5" w14:textId="77777777" w:rsidR="008C0D61" w:rsidRDefault="008C0D61" w:rsidP="00DD4F70">
            <w:pPr>
              <w:rPr>
                <w:rFonts w:eastAsia="Times New Roman"/>
                <w:bCs/>
                <w:sz w:val="18"/>
                <w:szCs w:val="18"/>
              </w:rPr>
            </w:pPr>
          </w:p>
        </w:tc>
      </w:tr>
    </w:tbl>
    <w:p w14:paraId="767C8F34" w14:textId="77777777" w:rsidR="008C0D61" w:rsidRDefault="008C0D61" w:rsidP="008C0D61">
      <w:pPr>
        <w:rPr>
          <w:rFonts w:eastAsia="Times New Roman"/>
          <w:szCs w:val="20"/>
        </w:rPr>
      </w:pPr>
    </w:p>
    <w:p w14:paraId="238EC690" w14:textId="77777777" w:rsidR="008C0D61" w:rsidRDefault="008C0D61" w:rsidP="008C0D61"/>
    <w:p w14:paraId="376441C7" w14:textId="77777777" w:rsidR="008C0D61" w:rsidRDefault="008C0D61" w:rsidP="008C0D61"/>
    <w:p w14:paraId="1C3C435D" w14:textId="77777777" w:rsidR="008C0D61" w:rsidRDefault="008C0D61" w:rsidP="008C0D61"/>
    <w:p w14:paraId="4EF118FB" w14:textId="77777777" w:rsidR="008C0D61" w:rsidRDefault="008C0D61" w:rsidP="008C0D61"/>
    <w:p w14:paraId="125838FE" w14:textId="77777777" w:rsidR="008C0D61" w:rsidRDefault="008C0D61" w:rsidP="008C0D61"/>
    <w:p w14:paraId="5D8F19A6" w14:textId="77777777" w:rsidR="008C0D61" w:rsidRDefault="008C0D61" w:rsidP="008C0D61"/>
    <w:p w14:paraId="55D7EA0B" w14:textId="77777777" w:rsidR="008C0D61" w:rsidRDefault="008C0D61" w:rsidP="008C0D61"/>
    <w:p w14:paraId="573A81AF" w14:textId="77777777" w:rsidR="008C0D61" w:rsidRDefault="008C0D61" w:rsidP="008C0D61">
      <w:pPr>
        <w:jc w:val="center"/>
        <w:rPr>
          <w:sz w:val="28"/>
          <w:szCs w:val="28"/>
        </w:rPr>
      </w:pPr>
    </w:p>
    <w:p w14:paraId="7A8E00AB" w14:textId="77777777" w:rsidR="008C0D61" w:rsidRDefault="008C0D61" w:rsidP="008C0D61">
      <w:pPr>
        <w:jc w:val="center"/>
        <w:rPr>
          <w:sz w:val="28"/>
          <w:szCs w:val="28"/>
        </w:rPr>
      </w:pPr>
    </w:p>
    <w:p w14:paraId="34BCA81E" w14:textId="77777777" w:rsidR="008C0D61" w:rsidRDefault="008C0D61" w:rsidP="008C0D61">
      <w:pPr>
        <w:jc w:val="center"/>
        <w:rPr>
          <w:sz w:val="28"/>
          <w:szCs w:val="28"/>
        </w:rPr>
      </w:pPr>
    </w:p>
    <w:p w14:paraId="448A5473" w14:textId="77777777" w:rsidR="008C0D61" w:rsidRDefault="008C0D61" w:rsidP="008C0D61">
      <w:pPr>
        <w:jc w:val="center"/>
        <w:rPr>
          <w:sz w:val="28"/>
          <w:szCs w:val="28"/>
        </w:rPr>
      </w:pPr>
    </w:p>
    <w:p w14:paraId="539276EC" w14:textId="77777777" w:rsidR="008C0D61" w:rsidRDefault="008C0D61" w:rsidP="00147F14">
      <w:pPr>
        <w:outlineLvl w:val="0"/>
        <w:rPr>
          <w:b/>
          <w:sz w:val="28"/>
          <w:szCs w:val="28"/>
        </w:rPr>
      </w:pPr>
    </w:p>
    <w:p w14:paraId="34E91B58" w14:textId="77777777" w:rsidR="008C0D61" w:rsidRDefault="008C0D61" w:rsidP="00147F14">
      <w:pPr>
        <w:outlineLvl w:val="0"/>
        <w:rPr>
          <w:b/>
          <w:sz w:val="28"/>
          <w:szCs w:val="28"/>
        </w:rPr>
      </w:pPr>
    </w:p>
    <w:p w14:paraId="16E092DB" w14:textId="77777777" w:rsidR="00147F14" w:rsidRPr="004D44A7" w:rsidRDefault="00147F14" w:rsidP="008D270C">
      <w:pPr>
        <w:jc w:val="both"/>
        <w:outlineLvl w:val="0"/>
        <w:rPr>
          <w:b/>
          <w:sz w:val="28"/>
          <w:szCs w:val="28"/>
        </w:rPr>
      </w:pPr>
      <w:r w:rsidRPr="004D44A7">
        <w:rPr>
          <w:b/>
          <w:sz w:val="28"/>
          <w:szCs w:val="28"/>
        </w:rPr>
        <w:t>Health and Social Inclusion</w:t>
      </w:r>
    </w:p>
    <w:p w14:paraId="406E8F2F" w14:textId="77777777" w:rsidR="00147F14" w:rsidRDefault="00147F14" w:rsidP="008D270C">
      <w:pPr>
        <w:jc w:val="both"/>
        <w:outlineLvl w:val="0"/>
      </w:pPr>
    </w:p>
    <w:p w14:paraId="6C77DDAE" w14:textId="77777777" w:rsidR="00147F14" w:rsidRPr="00271A30" w:rsidRDefault="00147F14" w:rsidP="008D270C">
      <w:pPr>
        <w:jc w:val="both"/>
        <w:outlineLvl w:val="0"/>
        <w:rPr>
          <w:b/>
          <w:color w:val="000000" w:themeColor="text1"/>
          <w:sz w:val="28"/>
          <w:szCs w:val="28"/>
          <w:u w:val="single"/>
        </w:rPr>
      </w:pPr>
      <w:r w:rsidRPr="00271A30">
        <w:rPr>
          <w:b/>
          <w:color w:val="000000" w:themeColor="text1"/>
          <w:sz w:val="28"/>
          <w:szCs w:val="28"/>
          <w:u w:val="single"/>
        </w:rPr>
        <w:t>Introduction</w:t>
      </w:r>
    </w:p>
    <w:p w14:paraId="4D8053B9" w14:textId="77777777" w:rsidR="00147F14" w:rsidRPr="00271A30" w:rsidRDefault="00147F14" w:rsidP="008D270C">
      <w:pPr>
        <w:jc w:val="both"/>
        <w:rPr>
          <w:color w:val="000000" w:themeColor="text1"/>
        </w:rPr>
      </w:pPr>
    </w:p>
    <w:p w14:paraId="4F18AF41" w14:textId="77777777" w:rsidR="00147F14" w:rsidRPr="00271A30" w:rsidRDefault="00147F14" w:rsidP="008D270C">
      <w:pPr>
        <w:jc w:val="both"/>
        <w:rPr>
          <w:color w:val="000000" w:themeColor="text1"/>
        </w:rPr>
      </w:pPr>
    </w:p>
    <w:p w14:paraId="010842A9" w14:textId="77777777" w:rsidR="00147F14" w:rsidRDefault="00147F14" w:rsidP="008D270C">
      <w:pPr>
        <w:spacing w:line="360" w:lineRule="auto"/>
        <w:jc w:val="both"/>
        <w:rPr>
          <w:color w:val="000000" w:themeColor="text1"/>
        </w:rPr>
      </w:pPr>
      <w:r w:rsidRPr="00271A30">
        <w:rPr>
          <w:color w:val="000000" w:themeColor="text1"/>
        </w:rPr>
        <w:t xml:space="preserve">Firstly, this literature will identify what health is, the significance of health and the variety of influences that can affect health amongst numerous groups, in relation to their situation.  Additional discussion will focus on the circumstances which can have an impact on the health of individuals and groups, and the effect this could have on health prevention strategies, with a clarification as to why ‘normal’ health differs between groups. When undertaking a consideration of what the definition of ‘health’ is, individuals from a diverse range of ages and groups have mixed opinions, therefore, the ideas of health amongst different groups will also be debated in the literature. Finally, the most current policies which reflect health and behaviour maintenance will be emphasised. To illustrate the above points further, this literature </w:t>
      </w:r>
      <w:r w:rsidRPr="00271A30">
        <w:rPr>
          <w:color w:val="000000" w:themeColor="text1"/>
        </w:rPr>
        <w:lastRenderedPageBreak/>
        <w:t>will discuss the health issues, obesity and how obesity is significantly impacting on certain groups.</w:t>
      </w:r>
    </w:p>
    <w:p w14:paraId="49753E8F" w14:textId="77777777" w:rsidR="008D270C" w:rsidRDefault="008D270C" w:rsidP="008D270C">
      <w:pPr>
        <w:spacing w:line="360" w:lineRule="auto"/>
        <w:jc w:val="both"/>
        <w:rPr>
          <w:b/>
          <w:color w:val="000000" w:themeColor="text1"/>
          <w:sz w:val="28"/>
          <w:szCs w:val="28"/>
          <w:u w:val="single"/>
        </w:rPr>
      </w:pPr>
    </w:p>
    <w:p w14:paraId="34F1EC0B" w14:textId="77777777" w:rsidR="00147F14" w:rsidRPr="004D44A7" w:rsidRDefault="00147F14" w:rsidP="008D270C">
      <w:pPr>
        <w:spacing w:line="360" w:lineRule="auto"/>
        <w:jc w:val="both"/>
        <w:rPr>
          <w:b/>
          <w:color w:val="000000" w:themeColor="text1"/>
          <w:sz w:val="28"/>
          <w:szCs w:val="28"/>
          <w:u w:val="single"/>
        </w:rPr>
      </w:pPr>
      <w:r w:rsidRPr="004D44A7">
        <w:rPr>
          <w:b/>
          <w:color w:val="000000" w:themeColor="text1"/>
          <w:sz w:val="28"/>
          <w:szCs w:val="28"/>
          <w:u w:val="single"/>
        </w:rPr>
        <w:t>Background</w:t>
      </w:r>
    </w:p>
    <w:p w14:paraId="3FF920A3" w14:textId="77777777" w:rsidR="00147F14" w:rsidRDefault="00147F14" w:rsidP="008D270C">
      <w:pPr>
        <w:spacing w:line="360" w:lineRule="auto"/>
        <w:jc w:val="both"/>
        <w:rPr>
          <w:color w:val="000000" w:themeColor="text1"/>
        </w:rPr>
      </w:pPr>
    </w:p>
    <w:p w14:paraId="5365ECDC" w14:textId="084D2EA5" w:rsidR="00147F14" w:rsidRDefault="00147F14" w:rsidP="008D270C">
      <w:pPr>
        <w:spacing w:line="360" w:lineRule="auto"/>
        <w:jc w:val="both"/>
        <w:rPr>
          <w:rFonts w:eastAsia="Times New Roman"/>
          <w:color w:val="000000" w:themeColor="text1"/>
        </w:rPr>
      </w:pPr>
      <w:r w:rsidRPr="006B228A">
        <w:rPr>
          <w:color w:val="000000" w:themeColor="text1"/>
        </w:rPr>
        <w:t>This literature will also reflect on The Marmot Review (2010) into health inequalities which was published on 11</w:t>
      </w:r>
      <w:r w:rsidRPr="006B228A">
        <w:rPr>
          <w:color w:val="000000" w:themeColor="text1"/>
          <w:vertAlign w:val="superscript"/>
        </w:rPr>
        <w:t>th</w:t>
      </w:r>
      <w:r w:rsidRPr="006B228A">
        <w:rPr>
          <w:color w:val="000000" w:themeColor="text1"/>
        </w:rPr>
        <w:t xml:space="preserve"> February 2010. It proposes an evidence based strategy to address the social determinants of health, the conditions in which individuals are born, grow, live and age and which can lead to health inequalities. </w:t>
      </w:r>
      <w:r>
        <w:rPr>
          <w:rFonts w:eastAsia="Times New Roman"/>
          <w:color w:val="000000" w:themeColor="text1"/>
        </w:rPr>
        <w:t xml:space="preserve">Based on </w:t>
      </w:r>
      <w:r w:rsidRPr="009A7A0F">
        <w:rPr>
          <w:rFonts w:eastAsia="Times New Roman"/>
          <w:color w:val="000000" w:themeColor="text1"/>
        </w:rPr>
        <w:t xml:space="preserve">2013 report of the European review of social determinants of health and the health divide, </w:t>
      </w:r>
      <w:r>
        <w:rPr>
          <w:rFonts w:eastAsia="Times New Roman"/>
          <w:color w:val="000000" w:themeColor="text1"/>
        </w:rPr>
        <w:t>steered</w:t>
      </w:r>
      <w:r w:rsidRPr="009A7A0F">
        <w:rPr>
          <w:rFonts w:eastAsia="Times New Roman"/>
          <w:color w:val="000000" w:themeColor="text1"/>
        </w:rPr>
        <w:t xml:space="preserve"> by Professor Sir Michael Marmot and his team</w:t>
      </w:r>
      <w:r>
        <w:rPr>
          <w:rFonts w:eastAsia="Times New Roman"/>
          <w:color w:val="000000" w:themeColor="text1"/>
        </w:rPr>
        <w:t>.</w:t>
      </w:r>
      <w:r>
        <w:rPr>
          <w:color w:val="000000" w:themeColor="text1"/>
        </w:rPr>
        <w:t xml:space="preserve"> Led to </w:t>
      </w:r>
      <w:r w:rsidRPr="009A7A0F">
        <w:rPr>
          <w:rFonts w:eastAsia="Times New Roman"/>
          <w:color w:val="000000" w:themeColor="text1"/>
        </w:rPr>
        <w:t>Health 2020 is a new value-and evidence-based health policy framework for Europe,</w:t>
      </w:r>
      <w:r>
        <w:rPr>
          <w:rFonts w:eastAsia="Times New Roman"/>
          <w:color w:val="000000" w:themeColor="text1"/>
        </w:rPr>
        <w:t xml:space="preserve"> it recommends for government and society to promote health and wellbeing and the reduction in health inequalities. </w:t>
      </w:r>
      <w:r w:rsidRPr="009A7A0F">
        <w:rPr>
          <w:rFonts w:eastAsia="Times New Roman"/>
          <w:color w:val="000000" w:themeColor="text1"/>
        </w:rPr>
        <w:t>It was adopted at the 62nd session of the Regional Committee held in Malta in September 2012</w:t>
      </w:r>
      <w:r>
        <w:rPr>
          <w:rFonts w:eastAsia="Times New Roman"/>
          <w:color w:val="000000" w:themeColor="text1"/>
        </w:rPr>
        <w:t xml:space="preserve">. It sets out to tackle the root causes of health inequalities within countries. However, </w:t>
      </w:r>
      <w:r w:rsidRPr="009A7A0F">
        <w:rPr>
          <w:rFonts w:eastAsia="Times New Roman"/>
          <w:color w:val="000000" w:themeColor="text1"/>
        </w:rPr>
        <w:t>opportunities to be healthy are</w:t>
      </w:r>
      <w:r>
        <w:rPr>
          <w:rFonts w:eastAsia="Times New Roman"/>
          <w:color w:val="000000" w:themeColor="text1"/>
        </w:rPr>
        <w:t xml:space="preserve"> not remotely </w:t>
      </w:r>
      <w:r w:rsidRPr="009A7A0F">
        <w:rPr>
          <w:rFonts w:eastAsia="Times New Roman"/>
          <w:color w:val="000000" w:themeColor="text1"/>
        </w:rPr>
        <w:t>being equally distributed in our countries</w:t>
      </w:r>
      <w:r>
        <w:rPr>
          <w:rFonts w:eastAsia="Times New Roman"/>
          <w:color w:val="000000" w:themeColor="text1"/>
        </w:rPr>
        <w:t xml:space="preserve">, and remain closely connected to </w:t>
      </w:r>
      <w:r w:rsidRPr="009A7A0F">
        <w:rPr>
          <w:rFonts w:eastAsia="Times New Roman"/>
          <w:color w:val="000000" w:themeColor="text1"/>
        </w:rPr>
        <w:t>respectable upbringing and education, decent work, housing and income support during</w:t>
      </w:r>
      <w:r>
        <w:rPr>
          <w:rFonts w:eastAsia="Times New Roman"/>
          <w:color w:val="000000" w:themeColor="text1"/>
        </w:rPr>
        <w:t xml:space="preserve"> our life course </w:t>
      </w:r>
      <w:r w:rsidRPr="009A7A0F">
        <w:rPr>
          <w:color w:val="000000" w:themeColor="text1"/>
        </w:rPr>
        <w:t>(</w:t>
      </w:r>
      <w:r w:rsidR="00D82B3F">
        <w:rPr>
          <w:color w:val="000000" w:themeColor="text1"/>
        </w:rPr>
        <w:t>World Health Organisation (</w:t>
      </w:r>
      <w:r w:rsidRPr="009A7A0F">
        <w:rPr>
          <w:color w:val="000000" w:themeColor="text1"/>
        </w:rPr>
        <w:t>WHO</w:t>
      </w:r>
      <w:r w:rsidR="008B7BEA">
        <w:rPr>
          <w:color w:val="000000" w:themeColor="text1"/>
        </w:rPr>
        <w:t>)</w:t>
      </w:r>
      <w:r w:rsidRPr="009A7A0F">
        <w:rPr>
          <w:color w:val="000000" w:themeColor="text1"/>
        </w:rPr>
        <w:t>, 2014).</w:t>
      </w:r>
      <w:r w:rsidRPr="009A7A0F">
        <w:rPr>
          <w:rFonts w:eastAsia="Times New Roman"/>
          <w:color w:val="000000" w:themeColor="text1"/>
        </w:rPr>
        <w:t xml:space="preserve"> </w:t>
      </w:r>
    </w:p>
    <w:p w14:paraId="1830CB55" w14:textId="4CEA41D3" w:rsidR="00147F14" w:rsidRPr="00FF2AF2" w:rsidRDefault="00147F14" w:rsidP="008D270C">
      <w:pPr>
        <w:spacing w:line="360" w:lineRule="auto"/>
        <w:jc w:val="both"/>
        <w:rPr>
          <w:rFonts w:eastAsia="Times New Roman"/>
        </w:rPr>
      </w:pPr>
      <w:r>
        <w:rPr>
          <w:rFonts w:eastAsia="Times New Roman"/>
        </w:rPr>
        <w:t>The majority of individuals associate the word ‘health’ with doctors and hospitals. Whilst considering ‘good health’ they incline to think simply of an absence of illness.  Good health in a broader sense is a person’s level of good physical and mental health, to the degree to which people in society are able to live healthy flourishing lives. A healthy individual is somebody with the opportunity for secure housing, meaningful work, healthy behaviours,</w:t>
      </w:r>
      <w:r w:rsidRPr="009F2F30">
        <w:rPr>
          <w:rFonts w:eastAsia="Times New Roman"/>
        </w:rPr>
        <w:t xml:space="preserve"> </w:t>
      </w:r>
      <w:r>
        <w:rPr>
          <w:rFonts w:eastAsia="Times New Roman"/>
        </w:rPr>
        <w:t>stable relationships and high self-esteem.  Positivity within family life offers a child</w:t>
      </w:r>
      <w:r w:rsidR="00FF2AF2">
        <w:rPr>
          <w:rFonts w:eastAsia="Times New Roman"/>
        </w:rPr>
        <w:t xml:space="preserve"> </w:t>
      </w:r>
      <w:r>
        <w:rPr>
          <w:rFonts w:eastAsia="Times New Roman"/>
        </w:rPr>
        <w:t>opportunities for a healthy life by making the early life foundations for them to feel loved and cherished</w:t>
      </w:r>
      <w:r w:rsidR="00FF2AF2">
        <w:rPr>
          <w:rFonts w:eastAsia="Times New Roman"/>
        </w:rPr>
        <w:t xml:space="preserve"> (Allen and Donkin, 2015, cited in </w:t>
      </w:r>
      <w:r w:rsidR="00FF2AF2">
        <w:rPr>
          <w:rFonts w:eastAsia="Times New Roman"/>
          <w:color w:val="000000" w:themeColor="text1"/>
          <w:shd w:val="clear" w:color="auto" w:fill="FFFFFF"/>
        </w:rPr>
        <w:t xml:space="preserve">The Health Foundation, 2018); </w:t>
      </w:r>
      <w:r>
        <w:rPr>
          <w:rFonts w:eastAsia="Times New Roman"/>
        </w:rPr>
        <w:t>building supportive relations; develop intellectual, social and emotional skills</w:t>
      </w:r>
      <w:r w:rsidR="00FF2AF2">
        <w:rPr>
          <w:rFonts w:eastAsia="Times New Roman"/>
        </w:rPr>
        <w:t xml:space="preserve"> (Dyson </w:t>
      </w:r>
      <w:r w:rsidR="00FF2AF2" w:rsidRPr="00FF2AF2">
        <w:rPr>
          <w:rFonts w:eastAsia="Times New Roman"/>
          <w:i/>
        </w:rPr>
        <w:t>et al.,</w:t>
      </w:r>
      <w:r w:rsidR="00FF2AF2">
        <w:rPr>
          <w:rFonts w:eastAsia="Times New Roman"/>
        </w:rPr>
        <w:t xml:space="preserve"> no date, cited in </w:t>
      </w:r>
      <w:r w:rsidR="00FF2AF2">
        <w:rPr>
          <w:rFonts w:eastAsia="Times New Roman"/>
          <w:color w:val="000000" w:themeColor="text1"/>
          <w:shd w:val="clear" w:color="auto" w:fill="FFFFFF"/>
        </w:rPr>
        <w:t>The Health Foundation, 2018)</w:t>
      </w:r>
      <w:r>
        <w:rPr>
          <w:rFonts w:eastAsia="Times New Roman"/>
        </w:rPr>
        <w:t xml:space="preserve"> and develop lifelong healthy habits</w:t>
      </w:r>
      <w:r w:rsidR="00FF2AF2">
        <w:rPr>
          <w:rFonts w:eastAsia="Times New Roman"/>
        </w:rPr>
        <w:t xml:space="preserve"> (Bellis </w:t>
      </w:r>
      <w:r w:rsidR="00FF2AF2" w:rsidRPr="00B82E80">
        <w:rPr>
          <w:rFonts w:eastAsia="Times New Roman"/>
          <w:i/>
        </w:rPr>
        <w:t>et</w:t>
      </w:r>
      <w:r w:rsidR="00B82E80" w:rsidRPr="00B82E80">
        <w:rPr>
          <w:rFonts w:eastAsia="Times New Roman"/>
          <w:i/>
        </w:rPr>
        <w:t xml:space="preserve"> </w:t>
      </w:r>
      <w:r w:rsidR="00FF2AF2" w:rsidRPr="00B82E80">
        <w:rPr>
          <w:rFonts w:eastAsia="Times New Roman"/>
          <w:i/>
        </w:rPr>
        <w:t>al.,</w:t>
      </w:r>
      <w:r w:rsidR="00FF2AF2">
        <w:rPr>
          <w:rFonts w:eastAsia="Times New Roman"/>
        </w:rPr>
        <w:t xml:space="preserve"> 2014, </w:t>
      </w:r>
      <w:r w:rsidR="00B82E80">
        <w:rPr>
          <w:rFonts w:eastAsia="Times New Roman"/>
        </w:rPr>
        <w:t xml:space="preserve">cited in </w:t>
      </w:r>
      <w:r w:rsidR="00B82E80">
        <w:rPr>
          <w:rFonts w:eastAsia="Times New Roman"/>
          <w:color w:val="000000" w:themeColor="text1"/>
          <w:shd w:val="clear" w:color="auto" w:fill="FFFFFF"/>
        </w:rPr>
        <w:t xml:space="preserve">The Health Foundation, 2018) </w:t>
      </w:r>
      <w:r>
        <w:rPr>
          <w:rFonts w:eastAsia="Times New Roman"/>
        </w:rPr>
        <w:t>throughout adulthood</w:t>
      </w:r>
      <w:bookmarkStart w:id="0" w:name="_Hlk534209046"/>
      <w:r w:rsidR="00FF2AF2">
        <w:rPr>
          <w:rFonts w:eastAsia="Times New Roman"/>
          <w:color w:val="000000" w:themeColor="text1"/>
          <w:shd w:val="clear" w:color="auto" w:fill="FFFFFF"/>
        </w:rPr>
        <w:t>.</w:t>
      </w:r>
    </w:p>
    <w:bookmarkEnd w:id="0"/>
    <w:p w14:paraId="22F52B89" w14:textId="77777777" w:rsidR="00147F14" w:rsidRDefault="00147F14" w:rsidP="008D270C">
      <w:pPr>
        <w:jc w:val="both"/>
        <w:rPr>
          <w:rFonts w:eastAsia="Times New Roman"/>
          <w:color w:val="FF0000"/>
        </w:rPr>
      </w:pPr>
    </w:p>
    <w:p w14:paraId="3293EE54" w14:textId="77777777" w:rsidR="00147F14" w:rsidRDefault="00147F14" w:rsidP="008D270C">
      <w:pPr>
        <w:jc w:val="both"/>
        <w:rPr>
          <w:rFonts w:eastAsia="Times New Roman"/>
          <w:color w:val="000000" w:themeColor="text1"/>
        </w:rPr>
      </w:pPr>
    </w:p>
    <w:p w14:paraId="702AD1E6" w14:textId="77777777" w:rsidR="00147F14" w:rsidRDefault="00147F14" w:rsidP="008D270C">
      <w:pPr>
        <w:spacing w:line="360" w:lineRule="auto"/>
        <w:jc w:val="both"/>
      </w:pPr>
      <w:r w:rsidRPr="00833F49">
        <w:rPr>
          <w:rFonts w:eastAsia="Times New Roman"/>
          <w:shd w:val="clear" w:color="auto" w:fill="FFFFFF"/>
        </w:rPr>
        <w:t xml:space="preserve">There are a range of factors that combine together to affect the health of people and communities </w:t>
      </w:r>
      <w:r w:rsidRPr="00833F49">
        <w:t xml:space="preserve">(The Open University, 2016). </w:t>
      </w:r>
      <w:r w:rsidRPr="00833F49">
        <w:rPr>
          <w:rFonts w:eastAsia="Times New Roman"/>
          <w:shd w:val="clear" w:color="auto" w:fill="FFFFFF"/>
        </w:rPr>
        <w:t>Whether people are healthy or not, is determined by their circumstances and environment</w:t>
      </w:r>
      <w:r w:rsidRPr="00833F49">
        <w:t>.</w:t>
      </w:r>
      <w:r w:rsidRPr="00833F49">
        <w:rPr>
          <w:rFonts w:eastAsia="Times New Roman"/>
          <w:shd w:val="clear" w:color="auto" w:fill="FFFFFF"/>
        </w:rPr>
        <w:t xml:space="preserve"> The diagram below </w:t>
      </w:r>
      <w:r w:rsidRPr="00833F49">
        <w:t xml:space="preserve">(The Open University, 2016) </w:t>
      </w:r>
      <w:r w:rsidRPr="00833F49">
        <w:rPr>
          <w:rFonts w:eastAsia="Times New Roman"/>
          <w:shd w:val="clear" w:color="auto" w:fill="FFFFFF"/>
        </w:rPr>
        <w:lastRenderedPageBreak/>
        <w:t xml:space="preserve">consists of inherited attributes relating to age, </w:t>
      </w:r>
      <w:r w:rsidRPr="00833F49">
        <w:t>sex and hereditary factors. The inner layer indicates that health is somewhat determined by individual lifestyle factors, such as poor diet, lack of exercise, alcohol and smoking. The next layer of the diagram focuses on income, education level, and our relationship with family and friends within the local community, which all can have a major impact on health. Living and working conditions include accessibility to housing, food, clean water, and health services, as well as the opportunities to education and employment. The concluding two layers relay to the upstream determinant of health. For example, cut backs in welfare services that may affect individuals’ access to adequate housing, work, and healthcare (The Open University, 2016).</w:t>
      </w:r>
    </w:p>
    <w:p w14:paraId="35C3460A" w14:textId="77777777" w:rsidR="00147F14" w:rsidRDefault="00147F14" w:rsidP="008D270C">
      <w:pPr>
        <w:spacing w:line="360" w:lineRule="auto"/>
        <w:jc w:val="both"/>
        <w:rPr>
          <w:rFonts w:eastAsia="Times New Roman"/>
          <w:color w:val="000000" w:themeColor="text1"/>
        </w:rPr>
      </w:pPr>
    </w:p>
    <w:p w14:paraId="1F62AD40" w14:textId="77777777" w:rsidR="00147F14" w:rsidRDefault="00147F14" w:rsidP="008D270C">
      <w:pPr>
        <w:spacing w:line="360" w:lineRule="auto"/>
        <w:jc w:val="both"/>
        <w:rPr>
          <w:rFonts w:eastAsia="Times New Roman"/>
          <w:color w:val="000000" w:themeColor="text1"/>
          <w:shd w:val="clear" w:color="auto" w:fill="FFFFFF"/>
        </w:rPr>
      </w:pPr>
    </w:p>
    <w:p w14:paraId="279D2BE5" w14:textId="77777777" w:rsidR="00147F14" w:rsidRPr="000359B5" w:rsidRDefault="00147F14" w:rsidP="008D270C">
      <w:pPr>
        <w:spacing w:line="360" w:lineRule="auto"/>
        <w:jc w:val="both"/>
        <w:rPr>
          <w:color w:val="000000" w:themeColor="text1"/>
        </w:rPr>
      </w:pPr>
    </w:p>
    <w:p w14:paraId="53A9BA25" w14:textId="77777777" w:rsidR="00147F14" w:rsidRDefault="00147F14" w:rsidP="008D270C">
      <w:pPr>
        <w:spacing w:line="360" w:lineRule="auto"/>
        <w:jc w:val="both"/>
        <w:rPr>
          <w:rFonts w:eastAsia="Times New Roman"/>
          <w:color w:val="FF0000"/>
        </w:rPr>
      </w:pPr>
    </w:p>
    <w:p w14:paraId="315701FF" w14:textId="77777777" w:rsidR="00147F14" w:rsidRDefault="00147F14" w:rsidP="008D270C">
      <w:pPr>
        <w:spacing w:line="360" w:lineRule="auto"/>
        <w:jc w:val="both"/>
      </w:pPr>
    </w:p>
    <w:p w14:paraId="71F46455" w14:textId="77777777" w:rsidR="00147F14" w:rsidRDefault="00147F14" w:rsidP="008D270C">
      <w:pPr>
        <w:tabs>
          <w:tab w:val="left" w:pos="5745"/>
        </w:tabs>
        <w:spacing w:line="360" w:lineRule="auto"/>
        <w:jc w:val="both"/>
      </w:pPr>
      <w:r>
        <w:rPr>
          <w:noProof/>
        </w:rPr>
        <w:drawing>
          <wp:inline distT="0" distB="0" distL="0" distR="0" wp14:anchorId="2B929A99" wp14:editId="32419ED3">
            <wp:extent cx="4133088" cy="2840736"/>
            <wp:effectExtent l="0" t="0" r="1270" b="0"/>
            <wp:docPr id="1" name="Picture 1"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200047f7g20500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33088" cy="2840736"/>
                    </a:xfrm>
                    <a:prstGeom prst="rect">
                      <a:avLst/>
                    </a:prstGeom>
                  </pic:spPr>
                </pic:pic>
              </a:graphicData>
            </a:graphic>
          </wp:inline>
        </w:drawing>
      </w:r>
    </w:p>
    <w:p w14:paraId="454ED8AE" w14:textId="77777777" w:rsidR="00201FED" w:rsidRDefault="00201FED" w:rsidP="008D270C">
      <w:pPr>
        <w:tabs>
          <w:tab w:val="left" w:pos="5745"/>
        </w:tabs>
        <w:spacing w:line="360" w:lineRule="auto"/>
        <w:jc w:val="both"/>
      </w:pPr>
    </w:p>
    <w:p w14:paraId="46091D00" w14:textId="77777777" w:rsidR="00147F14" w:rsidRDefault="00147F14" w:rsidP="008D270C">
      <w:pPr>
        <w:tabs>
          <w:tab w:val="left" w:pos="5745"/>
        </w:tabs>
        <w:spacing w:line="360" w:lineRule="auto"/>
        <w:jc w:val="both"/>
      </w:pPr>
      <w:r w:rsidRPr="00DD69CC">
        <w:t>Determinants of health (Dahlgren and Whitehead, 1992</w:t>
      </w:r>
      <w:r>
        <w:t xml:space="preserve">, cited </w:t>
      </w:r>
      <w:r w:rsidRPr="00833F49">
        <w:t>in The Open University, 2016).</w:t>
      </w:r>
    </w:p>
    <w:p w14:paraId="66AA763E" w14:textId="77777777" w:rsidR="00147F14" w:rsidRDefault="00147F14" w:rsidP="008D270C">
      <w:pPr>
        <w:spacing w:line="360" w:lineRule="auto"/>
        <w:jc w:val="both"/>
        <w:rPr>
          <w:rFonts w:eastAsia="Times New Roman"/>
          <w:color w:val="000000" w:themeColor="text1"/>
        </w:rPr>
      </w:pPr>
    </w:p>
    <w:p w14:paraId="34872248" w14:textId="77777777" w:rsidR="00147F14" w:rsidRPr="006B228A" w:rsidRDefault="00147F14" w:rsidP="008D270C">
      <w:pPr>
        <w:spacing w:line="360" w:lineRule="auto"/>
        <w:jc w:val="both"/>
        <w:rPr>
          <w:color w:val="000000" w:themeColor="text1"/>
        </w:rPr>
      </w:pPr>
    </w:p>
    <w:p w14:paraId="3F3B045D" w14:textId="77777777" w:rsidR="00147F14" w:rsidRPr="006B228A" w:rsidRDefault="00147F14" w:rsidP="008D270C">
      <w:pPr>
        <w:spacing w:line="360" w:lineRule="auto"/>
        <w:jc w:val="both"/>
        <w:rPr>
          <w:color w:val="000000" w:themeColor="text1"/>
        </w:rPr>
      </w:pPr>
      <w:r w:rsidRPr="006B228A">
        <w:rPr>
          <w:color w:val="000000" w:themeColor="text1"/>
        </w:rPr>
        <w:t>Sir Michael Marmot (2010) announced that approximately 550 people a day in the UK would die prematurely because of social inequalities that are becoming entrenched.</w:t>
      </w:r>
    </w:p>
    <w:p w14:paraId="56234651" w14:textId="77777777" w:rsidR="00147F14" w:rsidRPr="006B228A" w:rsidRDefault="00147F14" w:rsidP="008D270C">
      <w:pPr>
        <w:spacing w:line="360" w:lineRule="auto"/>
        <w:jc w:val="both"/>
        <w:rPr>
          <w:rFonts w:eastAsia="Times New Roman"/>
          <w:color w:val="000000" w:themeColor="text1"/>
        </w:rPr>
      </w:pPr>
      <w:r w:rsidRPr="006B228A">
        <w:rPr>
          <w:rFonts w:eastAsia="Times New Roman"/>
          <w:color w:val="000000" w:themeColor="text1"/>
        </w:rPr>
        <w:t>According to Marmot (2010) everyone deserves the opportunity to live a long, healthy life free from preventable disease and injury</w:t>
      </w:r>
      <w:r w:rsidRPr="006B228A">
        <w:rPr>
          <w:color w:val="000000" w:themeColor="text1"/>
        </w:rPr>
        <w:t xml:space="preserve">. </w:t>
      </w:r>
      <w:r w:rsidRPr="006B228A">
        <w:rPr>
          <w:rFonts w:eastAsia="Times New Roman"/>
          <w:color w:val="000000" w:themeColor="text1"/>
        </w:rPr>
        <w:t xml:space="preserve">However, </w:t>
      </w:r>
      <w:r w:rsidRPr="006B228A">
        <w:rPr>
          <w:color w:val="000000" w:themeColor="text1"/>
        </w:rPr>
        <w:t xml:space="preserve">significant health inequalities, have been well </w:t>
      </w:r>
      <w:r w:rsidRPr="006B228A">
        <w:rPr>
          <w:color w:val="000000" w:themeColor="text1"/>
        </w:rPr>
        <w:lastRenderedPageBreak/>
        <w:t>documented for decades, which exist among different groups. For example, association among health and social class has continually been an issue, and despite improvements in health and the welfare state in all sectors of society throughout the years, this inconsistency remains (</w:t>
      </w:r>
      <w:r w:rsidRPr="006B228A">
        <w:rPr>
          <w:rFonts w:eastAsia="Times New Roman"/>
          <w:color w:val="000000" w:themeColor="text1"/>
        </w:rPr>
        <w:t>Marmot, 2010).</w:t>
      </w:r>
    </w:p>
    <w:p w14:paraId="224D65CC" w14:textId="77777777" w:rsidR="00147F14" w:rsidRDefault="00147F14" w:rsidP="008D270C">
      <w:pPr>
        <w:spacing w:line="360" w:lineRule="auto"/>
        <w:jc w:val="both"/>
        <w:rPr>
          <w:rFonts w:eastAsia="Times New Roman"/>
          <w:color w:val="000000" w:themeColor="text1"/>
        </w:rPr>
      </w:pPr>
    </w:p>
    <w:p w14:paraId="0E470AD2" w14:textId="77777777" w:rsidR="00147F14" w:rsidRPr="006B228A" w:rsidRDefault="00147F14" w:rsidP="008D270C">
      <w:pPr>
        <w:spacing w:line="360" w:lineRule="auto"/>
        <w:jc w:val="both"/>
        <w:rPr>
          <w:rStyle w:val="Hyperlink"/>
          <w:color w:val="000000" w:themeColor="text1"/>
          <w:sz w:val="28"/>
          <w:szCs w:val="28"/>
        </w:rPr>
      </w:pPr>
      <w:r w:rsidRPr="006B228A">
        <w:rPr>
          <w:rFonts w:eastAsia="Times New Roman"/>
          <w:color w:val="000000" w:themeColor="text1"/>
        </w:rPr>
        <w:t xml:space="preserve">Throughout the 20th century, the United Kingdom saw a pattern of premature deaths that started around the beginning of the 19th century. The period for life expectancy at birth in the mid-19th century was around 42 years for females, and 40 years for males (Gallop, 2006). </w:t>
      </w:r>
    </w:p>
    <w:p w14:paraId="5676C73F" w14:textId="77777777" w:rsidR="00147F14" w:rsidRDefault="00147F14" w:rsidP="008D270C">
      <w:pPr>
        <w:spacing w:line="360" w:lineRule="auto"/>
        <w:jc w:val="both"/>
      </w:pPr>
      <w:r w:rsidRPr="006B228A">
        <w:rPr>
          <w:rFonts w:eastAsia="Times New Roman"/>
          <w:color w:val="000000" w:themeColor="text1"/>
        </w:rPr>
        <w:t>The UK were at the forefront of researching health, social and inequality, which they were attempting to tackle. In the early 1980s, the publication of the Black Report showed a clear correlation between levels of illness and mortality rates and social circumstances (Black, 1982, cited in Hutt and Gilmour, 2010). In today’s world, most individuals can assume to live into their 60s and beyond (</w:t>
      </w:r>
      <w:proofErr w:type="spellStart"/>
      <w:r w:rsidRPr="006B228A">
        <w:rPr>
          <w:rFonts w:eastAsia="Times New Roman"/>
          <w:color w:val="000000" w:themeColor="text1"/>
        </w:rPr>
        <w:t>Leveillee</w:t>
      </w:r>
      <w:proofErr w:type="spellEnd"/>
      <w:r w:rsidRPr="006B228A">
        <w:rPr>
          <w:rFonts w:eastAsia="Times New Roman"/>
          <w:color w:val="000000" w:themeColor="text1"/>
        </w:rPr>
        <w:t xml:space="preserve"> </w:t>
      </w:r>
      <w:r w:rsidRPr="006B228A">
        <w:rPr>
          <w:rFonts w:eastAsia="Times New Roman"/>
          <w:i/>
          <w:color w:val="000000" w:themeColor="text1"/>
        </w:rPr>
        <w:t>et al.</w:t>
      </w:r>
      <w:r w:rsidRPr="006B228A">
        <w:rPr>
          <w:rFonts w:eastAsia="Times New Roman"/>
          <w:color w:val="000000" w:themeColor="text1"/>
        </w:rPr>
        <w:t xml:space="preserve">, 2000, cited in WHO, 2015). In low and middle-income countries, this is mainly the result of large drops in mortality at younger ages, especially during childhood and childbirth, and from infectious diseases (Rodrigues, </w:t>
      </w:r>
      <w:r w:rsidRPr="006B228A">
        <w:rPr>
          <w:rFonts w:eastAsia="Times New Roman"/>
          <w:i/>
          <w:color w:val="000000" w:themeColor="text1"/>
        </w:rPr>
        <w:t>et al.,</w:t>
      </w:r>
      <w:r w:rsidRPr="006B228A">
        <w:rPr>
          <w:rFonts w:eastAsia="Times New Roman"/>
          <w:color w:val="000000" w:themeColor="text1"/>
        </w:rPr>
        <w:t xml:space="preserve"> 2009, cited in WHO, 2015). In high-income countries, continuing increases in life expectancy are now mostly due to declining mortality among those who are older (WHO, 2002, cited in WHO, 2015).</w:t>
      </w:r>
      <w:r w:rsidRPr="00AE625F">
        <w:rPr>
          <w:color w:val="000000" w:themeColor="text1"/>
        </w:rPr>
        <w:t xml:space="preserve"> </w:t>
      </w:r>
      <w:r w:rsidRPr="009A7A0F">
        <w:rPr>
          <w:color w:val="000000" w:themeColor="text1"/>
        </w:rPr>
        <w:t xml:space="preserve">Public Health England (2018) in 2014 to 2016, discovered the level of inequality in life expectancy amongst the most and least deprived areas of England was 9.3 years for males and 7.3 years for females (Public Health England, 2018).  </w:t>
      </w:r>
      <w:r w:rsidRPr="006B228A">
        <w:rPr>
          <w:rFonts w:eastAsia="Times New Roman"/>
          <w:color w:val="000000" w:themeColor="text1"/>
        </w:rPr>
        <w:t>(OECD, 2017).</w:t>
      </w:r>
      <w:r>
        <w:rPr>
          <w:rFonts w:eastAsia="Times New Roman"/>
          <w:color w:val="000000" w:themeColor="text1"/>
        </w:rPr>
        <w:t xml:space="preserve"> </w:t>
      </w:r>
      <w:r w:rsidRPr="00C010F4">
        <w:rPr>
          <w:rFonts w:eastAsia="Times New Roman"/>
          <w:bCs/>
          <w:color w:val="000000"/>
        </w:rPr>
        <w:t>Recent projections, published in 2017, statisticians at the office for National statistics (ONS)</w:t>
      </w:r>
      <w:r>
        <w:rPr>
          <w:rFonts w:eastAsia="Times New Roman"/>
          <w:bCs/>
          <w:color w:val="000000"/>
        </w:rPr>
        <w:t xml:space="preserve"> announced that life expectancy in the UK remained lower than in several other comparable countries internationally. life expectancy at birth declined by 0.1 years in 2015 to 2017 for males and females in Wales and Scotland. However, life expectancy at birth showed no change for male and females from 2014 to 2016 in Northern Ireland and England</w:t>
      </w:r>
      <w:r w:rsidRPr="00F21069">
        <w:t xml:space="preserve"> </w:t>
      </w:r>
    </w:p>
    <w:p w14:paraId="25C69521" w14:textId="77777777" w:rsidR="00147F14" w:rsidRDefault="00147F14" w:rsidP="008D270C">
      <w:pPr>
        <w:spacing w:line="360" w:lineRule="auto"/>
        <w:jc w:val="both"/>
        <w:rPr>
          <w:color w:val="000000" w:themeColor="text1"/>
        </w:rPr>
      </w:pPr>
    </w:p>
    <w:p w14:paraId="4E53D347" w14:textId="77777777" w:rsidR="00147F14" w:rsidRPr="009A7A0F" w:rsidRDefault="00147F14" w:rsidP="008D270C">
      <w:pPr>
        <w:spacing w:line="360" w:lineRule="auto"/>
        <w:jc w:val="both"/>
        <w:rPr>
          <w:rFonts w:eastAsia="Times New Roman"/>
          <w:bCs/>
          <w:color w:val="000000" w:themeColor="text1"/>
        </w:rPr>
      </w:pPr>
      <w:r w:rsidRPr="006B228A">
        <w:rPr>
          <w:rFonts w:eastAsia="Times New Roman"/>
          <w:color w:val="000000" w:themeColor="text1"/>
        </w:rPr>
        <w:t xml:space="preserve">According to the Report (Marmot 2010) individuals in the lower group will die on average seven years earlier than individuals living in the higher group. Even more worrying, the average difference in disability free life expectancy is 17 years </w:t>
      </w:r>
      <w:bookmarkStart w:id="1" w:name="_Hlk532228201"/>
      <w:r w:rsidRPr="006B228A">
        <w:rPr>
          <w:color w:val="000000" w:themeColor="text1"/>
        </w:rPr>
        <w:t>(</w:t>
      </w:r>
      <w:r w:rsidRPr="006B228A">
        <w:rPr>
          <w:rFonts w:eastAsia="Times New Roman"/>
          <w:color w:val="000000" w:themeColor="text1"/>
        </w:rPr>
        <w:t xml:space="preserve">Marmot, 2010). </w:t>
      </w:r>
      <w:bookmarkEnd w:id="1"/>
      <w:r w:rsidRPr="006B228A">
        <w:rPr>
          <w:rFonts w:eastAsia="Times New Roman"/>
          <w:color w:val="000000" w:themeColor="text1"/>
        </w:rPr>
        <w:t xml:space="preserve">Marmot (2010) mentions that it is expected that inequality in sickness accounts for productivity losses of £31-33 billion per year, lost taxes and higher welfare payments in the range of £20-32 billion per year </w:t>
      </w:r>
      <w:r w:rsidRPr="006B228A">
        <w:rPr>
          <w:color w:val="000000" w:themeColor="text1"/>
        </w:rPr>
        <w:t xml:space="preserve">(Frontier Economics, 2009, </w:t>
      </w:r>
      <w:bookmarkStart w:id="2" w:name="_Hlk532228287"/>
      <w:r w:rsidRPr="006B228A">
        <w:rPr>
          <w:color w:val="000000" w:themeColor="text1"/>
        </w:rPr>
        <w:t xml:space="preserve">cited in </w:t>
      </w:r>
      <w:r w:rsidRPr="006B228A">
        <w:rPr>
          <w:rFonts w:eastAsia="Times New Roman"/>
          <w:color w:val="000000" w:themeColor="text1"/>
        </w:rPr>
        <w:t xml:space="preserve">Marmot, 2010) </w:t>
      </w:r>
      <w:bookmarkEnd w:id="2"/>
      <w:r w:rsidRPr="006B228A">
        <w:rPr>
          <w:rFonts w:eastAsia="Times New Roman"/>
          <w:color w:val="000000" w:themeColor="text1"/>
        </w:rPr>
        <w:t xml:space="preserve">and additional NHS healthcare costs connected with inequality are well in excess of £5.5 billion per year (Morris, 2009, </w:t>
      </w:r>
      <w:r w:rsidRPr="006B228A">
        <w:rPr>
          <w:color w:val="000000" w:themeColor="text1"/>
        </w:rPr>
        <w:t xml:space="preserve">cited in </w:t>
      </w:r>
      <w:r w:rsidRPr="006B228A">
        <w:rPr>
          <w:rFonts w:eastAsia="Times New Roman"/>
          <w:color w:val="000000" w:themeColor="text1"/>
        </w:rPr>
        <w:t xml:space="preserve">Marmot, 2010). If these issues are not dealt with the total expenditure of treating the many </w:t>
      </w:r>
      <w:r w:rsidRPr="006B228A">
        <w:rPr>
          <w:rFonts w:eastAsia="Times New Roman"/>
          <w:color w:val="000000" w:themeColor="text1"/>
        </w:rPr>
        <w:lastRenderedPageBreak/>
        <w:t xml:space="preserve">illnesses that relate from inequalities in the level of obesity alone will increase from £2 billion per year to nearly £5 billion per year in 2025 (McPherson and Brown, 2009, </w:t>
      </w:r>
      <w:r w:rsidRPr="006B228A">
        <w:rPr>
          <w:color w:val="000000" w:themeColor="text1"/>
        </w:rPr>
        <w:t xml:space="preserve">cited in </w:t>
      </w:r>
      <w:r w:rsidRPr="006B228A">
        <w:rPr>
          <w:rFonts w:eastAsia="Times New Roman"/>
          <w:color w:val="000000" w:themeColor="text1"/>
        </w:rPr>
        <w:t>Marmot, 2010). The poorer you are, no matter what age the more likely you are to see your local doctor, or have a public health outpatient appointment, or to be admitted into hospital to receive a funded treatment</w:t>
      </w:r>
      <w:r>
        <w:rPr>
          <w:rFonts w:eastAsia="Times New Roman"/>
          <w:color w:val="000000" w:themeColor="text1"/>
        </w:rPr>
        <w:t>.</w:t>
      </w:r>
    </w:p>
    <w:p w14:paraId="00DD1ECB" w14:textId="77777777" w:rsidR="00147F14" w:rsidRDefault="00147F14" w:rsidP="008D270C">
      <w:pPr>
        <w:spacing w:line="360" w:lineRule="auto"/>
        <w:jc w:val="both"/>
        <w:rPr>
          <w:rFonts w:eastAsia="Times New Roman"/>
          <w:color w:val="000000" w:themeColor="text1"/>
        </w:rPr>
      </w:pPr>
    </w:p>
    <w:p w14:paraId="3DF2F69C" w14:textId="77777777" w:rsidR="00147F14" w:rsidRDefault="00147F14" w:rsidP="008D270C">
      <w:pPr>
        <w:spacing w:line="360" w:lineRule="auto"/>
        <w:jc w:val="both"/>
        <w:rPr>
          <w:rFonts w:eastAsia="Times New Roman"/>
          <w:color w:val="000000" w:themeColor="text1"/>
        </w:rPr>
      </w:pPr>
      <w:r w:rsidRPr="00B618AE">
        <w:rPr>
          <w:rFonts w:eastAsia="Times New Roman"/>
          <w:color w:val="000000" w:themeColor="text1"/>
        </w:rPr>
        <w:t xml:space="preserve">There is a social gradient in health, individuals with higher socioeconomic position in society have better health, life chances and far more opportunities to lead a flourishing life. For example, studies have shown that individuals that have a good education such as a degree have longer lives than those without </w:t>
      </w:r>
      <w:r w:rsidRPr="00B618AE">
        <w:rPr>
          <w:color w:val="000000" w:themeColor="text1"/>
        </w:rPr>
        <w:t>(</w:t>
      </w:r>
      <w:r w:rsidRPr="00B618AE">
        <w:rPr>
          <w:rFonts w:eastAsia="Times New Roman"/>
          <w:color w:val="000000" w:themeColor="text1"/>
        </w:rPr>
        <w:t xml:space="preserve">Marmot, 2010). In educational and economic studies, it has been established that background variables including family type, family income, family size, and maternal education are factors of the amount and quality of education children receive over their lifespan (Jones and O’Brien, 1999, cited in </w:t>
      </w:r>
      <w:proofErr w:type="spellStart"/>
      <w:r w:rsidRPr="00B618AE">
        <w:rPr>
          <w:rFonts w:eastAsia="Times New Roman"/>
          <w:color w:val="000000" w:themeColor="text1"/>
        </w:rPr>
        <w:t>DeSerf</w:t>
      </w:r>
      <w:proofErr w:type="spellEnd"/>
      <w:r w:rsidRPr="00B618AE">
        <w:rPr>
          <w:rFonts w:eastAsia="Times New Roman"/>
          <w:color w:val="000000" w:themeColor="text1"/>
        </w:rPr>
        <w:t xml:space="preserve">, 2002); </w:t>
      </w:r>
      <w:proofErr w:type="spellStart"/>
      <w:r w:rsidRPr="00B618AE">
        <w:rPr>
          <w:rFonts w:eastAsia="Times New Roman"/>
          <w:color w:val="000000" w:themeColor="text1"/>
        </w:rPr>
        <w:t>Rosetti</w:t>
      </w:r>
      <w:proofErr w:type="spellEnd"/>
      <w:r w:rsidRPr="00B618AE">
        <w:rPr>
          <w:rFonts w:eastAsia="Times New Roman"/>
          <w:color w:val="000000" w:themeColor="text1"/>
        </w:rPr>
        <w:t xml:space="preserve"> and </w:t>
      </w:r>
      <w:proofErr w:type="spellStart"/>
      <w:r w:rsidRPr="00B618AE">
        <w:rPr>
          <w:rFonts w:eastAsia="Times New Roman"/>
          <w:color w:val="000000" w:themeColor="text1"/>
        </w:rPr>
        <w:t>Tanda</w:t>
      </w:r>
      <w:proofErr w:type="spellEnd"/>
      <w:r w:rsidRPr="00B618AE">
        <w:rPr>
          <w:rFonts w:eastAsia="Times New Roman"/>
          <w:color w:val="000000" w:themeColor="text1"/>
        </w:rPr>
        <w:t xml:space="preserve">, 2000, cited in </w:t>
      </w:r>
      <w:proofErr w:type="spellStart"/>
      <w:r w:rsidRPr="00B618AE">
        <w:rPr>
          <w:rFonts w:eastAsia="Times New Roman"/>
          <w:color w:val="000000" w:themeColor="text1"/>
        </w:rPr>
        <w:t>DeSerf</w:t>
      </w:r>
      <w:proofErr w:type="spellEnd"/>
      <w:r w:rsidRPr="00B618AE">
        <w:rPr>
          <w:rFonts w:eastAsia="Times New Roman"/>
          <w:color w:val="000000" w:themeColor="text1"/>
        </w:rPr>
        <w:t>, 2002). Education is significant factor in earnings. This fact is why education has become increasingly important to future generations (</w:t>
      </w:r>
      <w:proofErr w:type="spellStart"/>
      <w:r w:rsidRPr="00B618AE">
        <w:rPr>
          <w:rFonts w:eastAsia="Times New Roman"/>
          <w:color w:val="000000" w:themeColor="text1"/>
        </w:rPr>
        <w:t>DeSerf</w:t>
      </w:r>
      <w:proofErr w:type="spellEnd"/>
      <w:r w:rsidRPr="00B618AE">
        <w:rPr>
          <w:rFonts w:eastAsia="Times New Roman"/>
          <w:color w:val="000000" w:themeColor="text1"/>
        </w:rPr>
        <w:t>, 2002).</w:t>
      </w:r>
      <w:r>
        <w:rPr>
          <w:rFonts w:eastAsia="Times New Roman"/>
          <w:color w:val="000000" w:themeColor="text1"/>
        </w:rPr>
        <w:t xml:space="preserve"> </w:t>
      </w:r>
    </w:p>
    <w:p w14:paraId="2CEBA69A" w14:textId="77777777" w:rsidR="00147F14" w:rsidRDefault="00147F14" w:rsidP="008D270C">
      <w:pPr>
        <w:spacing w:line="360" w:lineRule="auto"/>
        <w:jc w:val="both"/>
        <w:rPr>
          <w:rFonts w:eastAsia="Times New Roman"/>
          <w:color w:val="000000" w:themeColor="text1"/>
        </w:rPr>
      </w:pPr>
    </w:p>
    <w:p w14:paraId="67631E69" w14:textId="79000A8C" w:rsidR="00147F14" w:rsidRDefault="00147F14" w:rsidP="008D270C">
      <w:pPr>
        <w:spacing w:line="360" w:lineRule="auto"/>
        <w:jc w:val="both"/>
        <w:rPr>
          <w:rFonts w:eastAsia="Times New Roman"/>
          <w:color w:val="FF0000"/>
        </w:rPr>
      </w:pPr>
      <w:r>
        <w:rPr>
          <w:rFonts w:eastAsia="Times New Roman"/>
        </w:rPr>
        <w:t>Economists are involved in inequalities in health, consumption,</w:t>
      </w:r>
      <w:r w:rsidRPr="00F20B83">
        <w:rPr>
          <w:rFonts w:eastAsia="Times New Roman"/>
        </w:rPr>
        <w:t xml:space="preserve"> </w:t>
      </w:r>
      <w:r>
        <w:rPr>
          <w:rFonts w:eastAsia="Times New Roman"/>
        </w:rPr>
        <w:t>educational,</w:t>
      </w:r>
      <w:r w:rsidRPr="00F20B83">
        <w:rPr>
          <w:rFonts w:eastAsia="Times New Roman"/>
        </w:rPr>
        <w:t xml:space="preserve"> </w:t>
      </w:r>
      <w:r>
        <w:rPr>
          <w:rFonts w:eastAsia="Times New Roman"/>
        </w:rPr>
        <w:t xml:space="preserve">educational performance and housing, </w:t>
      </w:r>
      <w:r w:rsidRPr="00B73E22">
        <w:rPr>
          <w:rFonts w:eastAsia="Times New Roman"/>
          <w:color w:val="000000" w:themeColor="text1"/>
        </w:rPr>
        <w:t>to name just a few</w:t>
      </w:r>
      <w:r w:rsidRPr="006D071B">
        <w:rPr>
          <w:rFonts w:eastAsia="Times New Roman"/>
        </w:rPr>
        <w:t>,</w:t>
      </w:r>
      <w:r w:rsidRPr="00F20B83">
        <w:rPr>
          <w:rFonts w:eastAsia="Times New Roman"/>
          <w:color w:val="FF0000"/>
        </w:rPr>
        <w:t xml:space="preserve"> </w:t>
      </w:r>
      <w:r>
        <w:rPr>
          <w:rFonts w:eastAsia="Times New Roman"/>
        </w:rPr>
        <w:t xml:space="preserve">inequalities regarding income is equally high </w:t>
      </w:r>
      <w:r w:rsidRPr="003A1C45">
        <w:rPr>
          <w:rFonts w:eastAsia="Times New Roman"/>
          <w:color w:val="000000" w:themeColor="text1"/>
        </w:rPr>
        <w:t>priority in the UK</w:t>
      </w:r>
      <w:r w:rsidR="002C551F" w:rsidRPr="002C551F">
        <w:t xml:space="preserve"> </w:t>
      </w:r>
      <w:bookmarkStart w:id="3" w:name="_Hlk534209541"/>
      <w:r w:rsidR="002C551F">
        <w:t>(Cribb, 2013</w:t>
      </w:r>
      <w:bookmarkEnd w:id="3"/>
      <w:r w:rsidR="002C551F" w:rsidRPr="002C551F">
        <w:t>)</w:t>
      </w:r>
      <w:r w:rsidRPr="002C551F">
        <w:rPr>
          <w:rFonts w:eastAsia="Times New Roman"/>
        </w:rPr>
        <w:t>.</w:t>
      </w:r>
      <w:r>
        <w:rPr>
          <w:rFonts w:eastAsia="Times New Roman"/>
          <w:color w:val="FF0000"/>
        </w:rPr>
        <w:t xml:space="preserve"> </w:t>
      </w:r>
      <w:r w:rsidRPr="00426F15">
        <w:rPr>
          <w:rFonts w:eastAsia="Times New Roman"/>
          <w:color w:val="000000" w:themeColor="text1"/>
        </w:rPr>
        <w:t>In</w:t>
      </w:r>
      <w:r>
        <w:rPr>
          <w:rFonts w:eastAsia="Times New Roman"/>
          <w:color w:val="FF0000"/>
        </w:rPr>
        <w:t xml:space="preserve"> </w:t>
      </w:r>
      <w:r>
        <w:rPr>
          <w:rFonts w:eastAsia="Times New Roman"/>
        </w:rPr>
        <w:t xml:space="preserve">2010-11 </w:t>
      </w:r>
      <w:r w:rsidRPr="00426F15">
        <w:rPr>
          <w:rFonts w:eastAsia="Times New Roman"/>
          <w:color w:val="000000" w:themeColor="text1"/>
        </w:rPr>
        <w:t xml:space="preserve">the middle </w:t>
      </w:r>
      <w:r>
        <w:rPr>
          <w:rFonts w:eastAsia="Times New Roman"/>
          <w:color w:val="000000" w:themeColor="text1"/>
        </w:rPr>
        <w:t xml:space="preserve">full-time salary was </w:t>
      </w:r>
      <w:r>
        <w:rPr>
          <w:rFonts w:eastAsia="Times New Roman"/>
        </w:rPr>
        <w:t>£26,200 per an</w:t>
      </w:r>
      <w:r w:rsidR="006D071B">
        <w:rPr>
          <w:rFonts w:eastAsia="Times New Roman"/>
        </w:rPr>
        <w:t>num</w:t>
      </w:r>
      <w:r>
        <w:rPr>
          <w:rFonts w:eastAsia="Times New Roman"/>
        </w:rPr>
        <w:t>, the minimum wage would just be around £11,000, whereas the top 10% earned over £52,600</w:t>
      </w:r>
      <w:r w:rsidR="002C551F">
        <w:rPr>
          <w:rFonts w:eastAsia="Times New Roman"/>
        </w:rPr>
        <w:t xml:space="preserve"> </w:t>
      </w:r>
      <w:r w:rsidR="002C551F">
        <w:t>(Cribb, 2013).</w:t>
      </w:r>
    </w:p>
    <w:p w14:paraId="2F834FE9" w14:textId="77777777" w:rsidR="002C551F" w:rsidRPr="003A1C45" w:rsidRDefault="002C551F" w:rsidP="008D270C">
      <w:pPr>
        <w:spacing w:line="360" w:lineRule="auto"/>
        <w:jc w:val="both"/>
        <w:rPr>
          <w:rFonts w:eastAsia="Times New Roman"/>
          <w:color w:val="FF0000"/>
        </w:rPr>
      </w:pPr>
    </w:p>
    <w:p w14:paraId="60929263" w14:textId="03240A73" w:rsidR="00147F14" w:rsidRDefault="00147F14" w:rsidP="008D270C">
      <w:pPr>
        <w:spacing w:line="360" w:lineRule="auto"/>
        <w:jc w:val="both"/>
        <w:rPr>
          <w:rFonts w:eastAsia="Times New Roman"/>
        </w:rPr>
      </w:pPr>
      <w:r>
        <w:rPr>
          <w:rFonts w:eastAsia="Times New Roman"/>
        </w:rPr>
        <w:t xml:space="preserve">Furthermore, </w:t>
      </w:r>
      <w:r w:rsidR="002C551F">
        <w:rPr>
          <w:rFonts w:eastAsia="Times New Roman"/>
        </w:rPr>
        <w:t>e</w:t>
      </w:r>
      <w:r>
        <w:rPr>
          <w:rFonts w:eastAsia="Times New Roman"/>
        </w:rPr>
        <w:t>mployment earnings and working conditions make a substantial contribution to the development of social inequalities in health, leaving those in lower socioeconomic positions at higher risk of poor health and injuries</w:t>
      </w:r>
      <w:r w:rsidR="002C551F">
        <w:rPr>
          <w:rFonts w:eastAsia="Times New Roman"/>
        </w:rPr>
        <w:t xml:space="preserve"> (</w:t>
      </w:r>
      <w:r w:rsidR="00C938D9">
        <w:rPr>
          <w:rFonts w:eastAsia="Times New Roman"/>
        </w:rPr>
        <w:t xml:space="preserve">Siegrist </w:t>
      </w:r>
      <w:r w:rsidR="00C938D9" w:rsidRPr="00C938D9">
        <w:rPr>
          <w:rFonts w:eastAsia="Times New Roman"/>
          <w:i/>
        </w:rPr>
        <w:t>et al.,</w:t>
      </w:r>
      <w:r w:rsidR="00C938D9">
        <w:rPr>
          <w:rFonts w:eastAsia="Times New Roman"/>
        </w:rPr>
        <w:t xml:space="preserve"> 2010).</w:t>
      </w:r>
    </w:p>
    <w:p w14:paraId="6F29BBC5" w14:textId="77777777" w:rsidR="00C938D9" w:rsidRDefault="00C938D9" w:rsidP="008D270C">
      <w:pPr>
        <w:tabs>
          <w:tab w:val="left" w:pos="5745"/>
        </w:tabs>
        <w:spacing w:line="360" w:lineRule="auto"/>
        <w:jc w:val="both"/>
        <w:rPr>
          <w:rFonts w:eastAsia="Times New Roman"/>
          <w:color w:val="FF0000"/>
        </w:rPr>
      </w:pPr>
    </w:p>
    <w:p w14:paraId="07A29F0C" w14:textId="718AFDB3" w:rsidR="00147F14" w:rsidRPr="00357710" w:rsidRDefault="00147F14" w:rsidP="008D270C">
      <w:pPr>
        <w:tabs>
          <w:tab w:val="left" w:pos="5745"/>
        </w:tabs>
        <w:spacing w:line="360" w:lineRule="auto"/>
        <w:jc w:val="both"/>
        <w:rPr>
          <w:color w:val="000000" w:themeColor="text1"/>
        </w:rPr>
      </w:pPr>
      <w:r>
        <w:rPr>
          <w:color w:val="000000" w:themeColor="text1"/>
        </w:rPr>
        <w:t>T</w:t>
      </w:r>
      <w:r w:rsidRPr="00357710">
        <w:rPr>
          <w:color w:val="000000" w:themeColor="text1"/>
        </w:rPr>
        <w:t>he British Government introduced occupational questionnaires, that would allow research to be undertaken on the population of Britain to view the disparity in health equality. As a result of this, five social classes in Britain were defined as the Register General’s Social class (RGSC) and were put into a social class as a result of their occupation</w:t>
      </w:r>
      <w:r w:rsidR="009538B7">
        <w:rPr>
          <w:color w:val="000000" w:themeColor="text1"/>
        </w:rPr>
        <w:t xml:space="preserve"> (</w:t>
      </w:r>
      <w:r w:rsidR="009538B7">
        <w:t>Rose, 1995)</w:t>
      </w:r>
      <w:r w:rsidRPr="00357710">
        <w:rPr>
          <w:color w:val="000000" w:themeColor="text1"/>
        </w:rPr>
        <w:t>.</w:t>
      </w:r>
      <w:r>
        <w:rPr>
          <w:color w:val="000000" w:themeColor="text1"/>
        </w:rPr>
        <w:t xml:space="preserve"> </w:t>
      </w:r>
      <w:r w:rsidRPr="00357710">
        <w:rPr>
          <w:color w:val="000000" w:themeColor="text1"/>
        </w:rPr>
        <w:t>As time progressed, the national statistics socio-economic classification (NS-SEC) was born, and its purpose was to measure the conditions and employment relations of occupations. It has been rebased from SOC2010</w:t>
      </w:r>
      <w:r w:rsidR="009538B7">
        <w:rPr>
          <w:color w:val="000000" w:themeColor="text1"/>
        </w:rPr>
        <w:t xml:space="preserve"> (</w:t>
      </w:r>
      <w:r w:rsidR="00CD746B" w:rsidRPr="00CD746B">
        <w:rPr>
          <w:rStyle w:val="Hyperlink"/>
          <w:color w:val="auto"/>
          <w:u w:val="none"/>
        </w:rPr>
        <w:t>Office for National Statistics</w:t>
      </w:r>
      <w:r w:rsidR="00CD746B">
        <w:rPr>
          <w:rStyle w:val="Hyperlink"/>
          <w:color w:val="auto"/>
          <w:u w:val="none"/>
        </w:rPr>
        <w:t xml:space="preserve">, </w:t>
      </w:r>
      <w:r w:rsidR="00CD746B" w:rsidRPr="00CD746B">
        <w:rPr>
          <w:rStyle w:val="Hyperlink"/>
          <w:color w:val="auto"/>
          <w:u w:val="none"/>
        </w:rPr>
        <w:t>2018)</w:t>
      </w:r>
      <w:r w:rsidR="00CD746B">
        <w:rPr>
          <w:rStyle w:val="Hyperlink"/>
          <w:color w:val="auto"/>
          <w:u w:val="none"/>
        </w:rPr>
        <w:t>.</w:t>
      </w:r>
    </w:p>
    <w:p w14:paraId="65D4CBAE" w14:textId="77777777" w:rsidR="00CD746B" w:rsidRDefault="00CD746B" w:rsidP="008D270C">
      <w:pPr>
        <w:spacing w:line="360" w:lineRule="auto"/>
        <w:jc w:val="both"/>
        <w:rPr>
          <w:rFonts w:eastAsia="Times New Roman"/>
          <w:color w:val="FF0000"/>
        </w:rPr>
      </w:pPr>
    </w:p>
    <w:p w14:paraId="432976C3" w14:textId="536CF004" w:rsidR="00147F14" w:rsidRDefault="00147F14" w:rsidP="008D270C">
      <w:pPr>
        <w:spacing w:line="360" w:lineRule="auto"/>
        <w:jc w:val="both"/>
        <w:rPr>
          <w:rFonts w:eastAsia="Times New Roman"/>
        </w:rPr>
      </w:pPr>
      <w:r w:rsidRPr="00B73E22">
        <w:rPr>
          <w:rFonts w:eastAsia="Times New Roman"/>
          <w:color w:val="000000" w:themeColor="text1"/>
        </w:rPr>
        <w:lastRenderedPageBreak/>
        <w:t xml:space="preserve">The UK contains several areas of immense wealth, being the fifth largest economy, its capital is a leading centre of global finance. It thus seems patently unjust and contrary to British values that so many people are living in poverty. </w:t>
      </w:r>
      <w:r w:rsidRPr="00314260">
        <w:rPr>
          <w:rFonts w:eastAsia="Times New Roman"/>
          <w:color w:val="000000" w:themeColor="text1"/>
        </w:rPr>
        <w:t xml:space="preserve">Latest </w:t>
      </w:r>
      <w:r w:rsidRPr="006C1702">
        <w:rPr>
          <w:rFonts w:eastAsia="Times New Roman"/>
        </w:rPr>
        <w:t xml:space="preserve">figures </w:t>
      </w:r>
      <w:bookmarkStart w:id="4" w:name="_Hlk534211050"/>
      <w:r w:rsidR="006C1702" w:rsidRPr="006C1702">
        <w:rPr>
          <w:rFonts w:eastAsia="Times New Roman"/>
        </w:rPr>
        <w:t>(</w:t>
      </w:r>
      <w:r w:rsidR="006C1702" w:rsidRPr="006C1702">
        <w:t>Alston</w:t>
      </w:r>
      <w:r w:rsidR="006C1702">
        <w:t xml:space="preserve">, 2018) </w:t>
      </w:r>
      <w:bookmarkEnd w:id="4"/>
      <w:r w:rsidRPr="00314260">
        <w:rPr>
          <w:rFonts w:eastAsia="Times New Roman"/>
          <w:color w:val="000000" w:themeColor="text1"/>
        </w:rPr>
        <w:t xml:space="preserve">show that </w:t>
      </w:r>
      <w:r>
        <w:rPr>
          <w:rFonts w:eastAsia="Times New Roman"/>
          <w:color w:val="000000" w:themeColor="text1"/>
        </w:rPr>
        <w:t xml:space="preserve">14 million individuals, a fifth of the population are living in poverty. Four million of these are more than 50% are beneath the poverty line </w:t>
      </w:r>
      <w:r w:rsidR="006C1702">
        <w:rPr>
          <w:rFonts w:eastAsia="Times New Roman"/>
          <w:color w:val="000000" w:themeColor="text1"/>
        </w:rPr>
        <w:t>(Social Metrics Commission, 2018</w:t>
      </w:r>
      <w:bookmarkStart w:id="5" w:name="_Hlk534211164"/>
      <w:r w:rsidR="006C1702">
        <w:rPr>
          <w:rFonts w:eastAsia="Times New Roman"/>
          <w:color w:val="000000" w:themeColor="text1"/>
        </w:rPr>
        <w:t xml:space="preserve">, cited in </w:t>
      </w:r>
      <w:r w:rsidR="006C1702" w:rsidRPr="006C1702">
        <w:t>Alston</w:t>
      </w:r>
      <w:r w:rsidR="006C1702">
        <w:t>, 2018)</w:t>
      </w:r>
      <w:bookmarkEnd w:id="5"/>
      <w:r w:rsidR="006C1702">
        <w:t xml:space="preserve"> </w:t>
      </w:r>
      <w:r>
        <w:rPr>
          <w:rFonts w:eastAsia="Times New Roman"/>
          <w:color w:val="000000" w:themeColor="text1"/>
        </w:rPr>
        <w:t xml:space="preserve">and 1.5 million are impoverished, incapable of buying essentials </w:t>
      </w:r>
      <w:r w:rsidR="006C1702">
        <w:rPr>
          <w:rFonts w:eastAsia="Times New Roman"/>
          <w:color w:val="000000" w:themeColor="text1"/>
        </w:rPr>
        <w:t xml:space="preserve">(Fitzpatrick and Bramley </w:t>
      </w:r>
      <w:r w:rsidR="006C1702" w:rsidRPr="00AC1688">
        <w:rPr>
          <w:rFonts w:eastAsia="Times New Roman"/>
          <w:i/>
          <w:color w:val="000000" w:themeColor="text1"/>
        </w:rPr>
        <w:t>et al</w:t>
      </w:r>
      <w:r w:rsidR="006C1702">
        <w:rPr>
          <w:rFonts w:eastAsia="Times New Roman"/>
          <w:color w:val="000000" w:themeColor="text1"/>
        </w:rPr>
        <w:t xml:space="preserve">., 2018, cited in </w:t>
      </w:r>
      <w:r w:rsidR="006C1702" w:rsidRPr="006C1702">
        <w:t>Alston</w:t>
      </w:r>
      <w:r w:rsidR="006C1702">
        <w:t>, 2018)</w:t>
      </w:r>
      <w:r w:rsidR="006C1702">
        <w:rPr>
          <w:rFonts w:eastAsia="Times New Roman"/>
          <w:color w:val="FF0000"/>
        </w:rPr>
        <w:t xml:space="preserve">. </w:t>
      </w:r>
      <w:proofErr w:type="spellStart"/>
      <w:r>
        <w:rPr>
          <w:rFonts w:eastAsia="Times New Roman"/>
        </w:rPr>
        <w:t>Fi</w:t>
      </w:r>
      <w:r w:rsidR="00AC1688">
        <w:rPr>
          <w:rFonts w:eastAsia="Times New Roman"/>
        </w:rPr>
        <w:t>a</w:t>
      </w:r>
      <w:r>
        <w:rPr>
          <w:rFonts w:eastAsia="Times New Roman"/>
        </w:rPr>
        <w:t>scal</w:t>
      </w:r>
      <w:proofErr w:type="spellEnd"/>
      <w:r>
        <w:rPr>
          <w:rFonts w:eastAsia="Times New Roman"/>
        </w:rPr>
        <w:t xml:space="preserve"> Studies forecasts a 7% increase in child poverty between 2015 and 2022, and many sources foresee child poverty percentages as excessive as 40%. </w:t>
      </w:r>
      <w:r w:rsidR="00AC1688">
        <w:rPr>
          <w:rFonts w:eastAsia="Times New Roman"/>
        </w:rPr>
        <w:t xml:space="preserve">(Institute for </w:t>
      </w:r>
      <w:proofErr w:type="spellStart"/>
      <w:r w:rsidR="00AC1688">
        <w:rPr>
          <w:rFonts w:eastAsia="Times New Roman"/>
        </w:rPr>
        <w:t>Fiascal</w:t>
      </w:r>
      <w:proofErr w:type="spellEnd"/>
      <w:r w:rsidR="00AC1688">
        <w:rPr>
          <w:rFonts w:eastAsia="Times New Roman"/>
        </w:rPr>
        <w:t xml:space="preserve"> Studies, 2017,</w:t>
      </w:r>
      <w:r w:rsidR="00AC1688" w:rsidRPr="00AC1688">
        <w:rPr>
          <w:rFonts w:eastAsia="Times New Roman"/>
          <w:color w:val="000000" w:themeColor="text1"/>
        </w:rPr>
        <w:t xml:space="preserve"> </w:t>
      </w:r>
      <w:r w:rsidR="00AC1688">
        <w:rPr>
          <w:rFonts w:eastAsia="Times New Roman"/>
          <w:color w:val="000000" w:themeColor="text1"/>
        </w:rPr>
        <w:t xml:space="preserve">cited in </w:t>
      </w:r>
      <w:r w:rsidR="00AC1688" w:rsidRPr="006C1702">
        <w:t>Alston</w:t>
      </w:r>
      <w:r w:rsidR="00AC1688">
        <w:t>, 2018)</w:t>
      </w:r>
      <w:r w:rsidR="00AC1688">
        <w:rPr>
          <w:rFonts w:eastAsia="Times New Roman"/>
        </w:rPr>
        <w:t xml:space="preserve"> f</w:t>
      </w:r>
      <w:r>
        <w:rPr>
          <w:rFonts w:eastAsia="Times New Roman"/>
        </w:rPr>
        <w:t xml:space="preserve">or approximately one in every two children to be poor in twenty-first century. </w:t>
      </w:r>
      <w:r>
        <w:t>These figures show that compared to England, Scotland and Northern Ireland, Wales has the highest population of individuals living in poverty</w:t>
      </w:r>
      <w:r>
        <w:rPr>
          <w:rFonts w:eastAsia="Times New Roman"/>
          <w:color w:val="000000" w:themeColor="text1"/>
        </w:rPr>
        <w:t xml:space="preserve"> with approximately one in 4 individuals living in relative income poverty </w:t>
      </w:r>
      <w:r w:rsidR="00AC1688">
        <w:rPr>
          <w:rFonts w:eastAsia="Times New Roman"/>
          <w:color w:val="000000" w:themeColor="text1"/>
        </w:rPr>
        <w:t xml:space="preserve">(Welsh Government, no date, cited in </w:t>
      </w:r>
      <w:r w:rsidR="00AC1688" w:rsidRPr="006C1702">
        <w:t>Alston</w:t>
      </w:r>
      <w:r w:rsidR="00AC1688">
        <w:t>, 2018)</w:t>
      </w:r>
      <w:r>
        <w:rPr>
          <w:rFonts w:eastAsia="Times New Roman"/>
          <w:color w:val="000000" w:themeColor="text1"/>
        </w:rPr>
        <w:t>.</w:t>
      </w:r>
      <w:r>
        <w:rPr>
          <w:rFonts w:eastAsia="Times New Roman"/>
        </w:rPr>
        <w:t xml:space="preserve"> This is not just a disaster, it makes Britain a disgrace. </w:t>
      </w:r>
      <w:r w:rsidRPr="00AC1688">
        <w:rPr>
          <w:rFonts w:eastAsia="Times New Roman"/>
        </w:rPr>
        <w:t xml:space="preserve">According to the Joseph Rowntree Foundation, if the UK government does not sufficiently increase benefits to account for inflation after Brexit, up to 900,000 more people could fall into poverty </w:t>
      </w:r>
      <w:r>
        <w:rPr>
          <w:rFonts w:eastAsia="Times New Roman"/>
        </w:rPr>
        <w:t>(</w:t>
      </w:r>
      <w:r w:rsidR="00AC1688">
        <w:rPr>
          <w:rFonts w:eastAsia="Times New Roman"/>
        </w:rPr>
        <w:t xml:space="preserve">Joseph Rowntree Foundation, 2018, </w:t>
      </w:r>
      <w:r w:rsidR="00AC1688">
        <w:rPr>
          <w:rFonts w:eastAsia="Times New Roman"/>
          <w:color w:val="000000" w:themeColor="text1"/>
        </w:rPr>
        <w:t xml:space="preserve">cited in </w:t>
      </w:r>
      <w:r w:rsidR="00AC1688" w:rsidRPr="006C1702">
        <w:t>Alston</w:t>
      </w:r>
      <w:r w:rsidR="00AC1688">
        <w:t>, 2018)</w:t>
      </w:r>
      <w:r w:rsidR="00AC1688">
        <w:rPr>
          <w:rFonts w:eastAsia="Times New Roman"/>
          <w:color w:val="FF0000"/>
        </w:rPr>
        <w:t>.</w:t>
      </w:r>
    </w:p>
    <w:p w14:paraId="6A32D805" w14:textId="77777777" w:rsidR="00AC1688" w:rsidRDefault="00AC1688" w:rsidP="008D270C">
      <w:pPr>
        <w:spacing w:line="360" w:lineRule="auto"/>
        <w:jc w:val="both"/>
        <w:rPr>
          <w:rStyle w:val="Hyperlink"/>
          <w:rFonts w:eastAsia="Times New Roman"/>
        </w:rPr>
      </w:pPr>
    </w:p>
    <w:p w14:paraId="1A06520A" w14:textId="40DE9EC9" w:rsidR="00147F14" w:rsidRDefault="00147F14" w:rsidP="008D270C">
      <w:pPr>
        <w:spacing w:line="360" w:lineRule="auto"/>
        <w:jc w:val="both"/>
        <w:rPr>
          <w:rFonts w:eastAsia="Times New Roman"/>
          <w:color w:val="FF0000"/>
        </w:rPr>
      </w:pPr>
      <w:r w:rsidRPr="009A7A0F">
        <w:rPr>
          <w:rFonts w:eastAsia="Times New Roman"/>
          <w:color w:val="000000" w:themeColor="text1"/>
        </w:rPr>
        <w:t>The connection between health and social class remains a problem, even though improvements in health and the welfare state in all sectors of society throughout the years, this inconsistency remains (Knott and Cox, 2015).</w:t>
      </w:r>
      <w:r>
        <w:rPr>
          <w:rFonts w:eastAsia="Times New Roman"/>
          <w:color w:val="000000" w:themeColor="text1"/>
        </w:rPr>
        <w:t xml:space="preserve">  </w:t>
      </w:r>
      <w:r>
        <w:rPr>
          <w:rFonts w:eastAsia="Times New Roman"/>
        </w:rPr>
        <w:t>Food provisions given to individuals in crisis by the Trussell trust foodbanks allocated an astonishing 1,332,952 in the financial year 2017-2018, a 13% a rise on the previous year 484,026 of these went to children</w:t>
      </w:r>
      <w:r w:rsidR="00323547">
        <w:rPr>
          <w:rFonts w:eastAsia="Times New Roman"/>
        </w:rPr>
        <w:t xml:space="preserve"> (</w:t>
      </w:r>
      <w:r w:rsidR="00323547">
        <w:t xml:space="preserve">The Trussell Trust, 2019).  </w:t>
      </w:r>
    </w:p>
    <w:p w14:paraId="377E654E" w14:textId="77777777" w:rsidR="00323547" w:rsidRPr="00652134" w:rsidRDefault="00323547" w:rsidP="008D270C">
      <w:pPr>
        <w:spacing w:line="360" w:lineRule="auto"/>
        <w:jc w:val="both"/>
        <w:rPr>
          <w:rFonts w:eastAsia="Times New Roman"/>
          <w:color w:val="000000" w:themeColor="text1"/>
        </w:rPr>
      </w:pPr>
    </w:p>
    <w:p w14:paraId="7F861515" w14:textId="77777777" w:rsidR="00147F14" w:rsidRDefault="00147F14" w:rsidP="008D270C">
      <w:pPr>
        <w:spacing w:line="360" w:lineRule="auto"/>
        <w:jc w:val="both"/>
        <w:rPr>
          <w:rStyle w:val="Hyperlink"/>
          <w:color w:val="auto"/>
          <w:u w:val="none"/>
        </w:rPr>
      </w:pPr>
      <w:r>
        <w:rPr>
          <w:rFonts w:eastAsia="Times New Roman"/>
        </w:rPr>
        <w:t xml:space="preserve">In 2017 estimated deaths were a total of 597 of homeless people in England and Wales there was a rise of 24% since 2013 </w:t>
      </w:r>
      <w:r w:rsidRPr="0005537C">
        <w:rPr>
          <w:rStyle w:val="Hyperlink"/>
          <w:color w:val="auto"/>
          <w:u w:val="none"/>
        </w:rPr>
        <w:t>(Office for National Statistics, 2008).</w:t>
      </w:r>
    </w:p>
    <w:p w14:paraId="55E3C375" w14:textId="56C17DDF" w:rsidR="00147F14" w:rsidRDefault="00147F14" w:rsidP="008D270C">
      <w:pPr>
        <w:spacing w:line="360" w:lineRule="auto"/>
        <w:jc w:val="both"/>
        <w:rPr>
          <w:rFonts w:eastAsia="Times New Roman"/>
          <w:color w:val="FF0000"/>
        </w:rPr>
      </w:pPr>
      <w:r w:rsidRPr="009A7A0F">
        <w:rPr>
          <w:color w:val="000000" w:themeColor="text1"/>
        </w:rPr>
        <w:t>(</w:t>
      </w:r>
      <w:r w:rsidRPr="009A7A0F">
        <w:rPr>
          <w:rFonts w:eastAsia="Times New Roman"/>
          <w:color w:val="000000" w:themeColor="text1"/>
        </w:rPr>
        <w:t xml:space="preserve">Marmot, 2010) </w:t>
      </w:r>
      <w:r w:rsidRPr="009A7A0F">
        <w:rPr>
          <w:color w:val="000000" w:themeColor="text1"/>
        </w:rPr>
        <w:t>discusses the challenges</w:t>
      </w:r>
      <w:r w:rsidRPr="009A7A0F">
        <w:rPr>
          <w:rFonts w:ascii="Calibri" w:hAnsi="Calibri" w:cs="Calibri"/>
          <w:color w:val="000000" w:themeColor="text1"/>
        </w:rPr>
        <w:t xml:space="preserve"> </w:t>
      </w:r>
      <w:r w:rsidRPr="009A7A0F">
        <w:rPr>
          <w:rFonts w:eastAsia="Times New Roman"/>
          <w:color w:val="000000" w:themeColor="text1"/>
        </w:rPr>
        <w:t>that individuals face living in the poorest districts, housing has a significant influence on health inequalities. Several people do not live in a home that is warm, dry and affordable. Income, wealth and the welfare system are at the heart of the relationship between housing and health inequalities. Damp is considerably more common in homes of the lower income groups, in fact it appears virtually four times as often in residences of the lowest income group as in residences of the highest income group. Over Crowding is also an issue in the lowest income group, which can lead to poor health, including mental health, physical health, as well as higher risks of accidents within the household. Some residence often experiences noise disturbance which can result in sleep deprivation (</w:t>
      </w:r>
      <w:proofErr w:type="spellStart"/>
      <w:r w:rsidRPr="009A7A0F">
        <w:rPr>
          <w:rFonts w:eastAsia="Times New Roman"/>
          <w:color w:val="000000" w:themeColor="text1"/>
        </w:rPr>
        <w:t>Braubach</w:t>
      </w:r>
      <w:proofErr w:type="spellEnd"/>
      <w:r w:rsidRPr="009A7A0F">
        <w:rPr>
          <w:rFonts w:eastAsia="Times New Roman"/>
          <w:color w:val="000000" w:themeColor="text1"/>
        </w:rPr>
        <w:t xml:space="preserve"> </w:t>
      </w:r>
      <w:r w:rsidRPr="009A7A0F">
        <w:rPr>
          <w:rFonts w:eastAsia="Times New Roman"/>
          <w:color w:val="000000" w:themeColor="text1"/>
        </w:rPr>
        <w:lastRenderedPageBreak/>
        <w:t xml:space="preserve">and </w:t>
      </w:r>
      <w:proofErr w:type="spellStart"/>
      <w:r w:rsidRPr="009A7A0F">
        <w:rPr>
          <w:rFonts w:eastAsia="Times New Roman"/>
          <w:color w:val="000000" w:themeColor="text1"/>
        </w:rPr>
        <w:t>Savelsberg</w:t>
      </w:r>
      <w:proofErr w:type="spellEnd"/>
      <w:r w:rsidRPr="009A7A0F">
        <w:rPr>
          <w:rFonts w:eastAsia="Times New Roman"/>
          <w:color w:val="000000" w:themeColor="text1"/>
        </w:rPr>
        <w:t xml:space="preserve">, 2009). </w:t>
      </w:r>
      <w:r w:rsidRPr="007963A3">
        <w:rPr>
          <w:rFonts w:eastAsia="Times New Roman"/>
          <w:color w:val="000000" w:themeColor="text1"/>
        </w:rPr>
        <w:t>The most vulnerable individuals with the least power and money are deprived of their rights on a daily basis</w:t>
      </w:r>
      <w:r>
        <w:rPr>
          <w:rFonts w:eastAsia="Times New Roman"/>
          <w:color w:val="000000" w:themeColor="text1"/>
        </w:rPr>
        <w:t xml:space="preserve"> </w:t>
      </w:r>
      <w:r w:rsidRPr="00073747">
        <w:rPr>
          <w:rFonts w:eastAsia="Times New Roman"/>
          <w:color w:val="000000" w:themeColor="text1"/>
        </w:rPr>
        <w:t xml:space="preserve">(Capacity Global, no date, cited in CABE, 2010). </w:t>
      </w:r>
      <w:r w:rsidRPr="007963A3">
        <w:rPr>
          <w:rFonts w:eastAsia="Times New Roman"/>
          <w:color w:val="000000" w:themeColor="text1"/>
        </w:rPr>
        <w:t xml:space="preserve">Government cuts to public health and services they provide, add to the costs of health and social care as well as widen health inequalities </w:t>
      </w:r>
      <w:r w:rsidR="00F5178E">
        <w:rPr>
          <w:rFonts w:eastAsia="Times New Roman"/>
          <w:color w:val="000000" w:themeColor="text1"/>
        </w:rPr>
        <w:t>(</w:t>
      </w:r>
      <w:r w:rsidR="00F5178E" w:rsidRPr="00F44E5D">
        <w:t>Parl</w:t>
      </w:r>
      <w:r w:rsidR="00F5178E">
        <w:t xml:space="preserve">iament, House of Commons, 2017). </w:t>
      </w:r>
    </w:p>
    <w:p w14:paraId="5806AC5A" w14:textId="77777777" w:rsidR="00F5178E" w:rsidRDefault="00F5178E" w:rsidP="008D270C">
      <w:pPr>
        <w:spacing w:line="360" w:lineRule="auto"/>
        <w:jc w:val="both"/>
        <w:rPr>
          <w:rFonts w:eastAsia="Times New Roman"/>
          <w:color w:val="000000" w:themeColor="text1"/>
        </w:rPr>
      </w:pPr>
    </w:p>
    <w:p w14:paraId="7DBC1A64" w14:textId="3ADE4410" w:rsidR="00147F14" w:rsidRPr="002328EB" w:rsidRDefault="00147F14" w:rsidP="008D270C">
      <w:pPr>
        <w:spacing w:line="360" w:lineRule="auto"/>
        <w:jc w:val="both"/>
        <w:rPr>
          <w:rFonts w:eastAsia="Times New Roman"/>
        </w:rPr>
      </w:pPr>
      <w:r>
        <w:rPr>
          <w:rFonts w:ascii="Merriweather" w:eastAsia="Times New Roman" w:hAnsi="Merriweather"/>
          <w:color w:val="333333"/>
          <w:shd w:val="clear" w:color="auto" w:fill="FFFFFF"/>
        </w:rPr>
        <w:t>A combination of climate change and rising levels of inequality are significant risk factors in today’s world.</w:t>
      </w:r>
      <w:r>
        <w:rPr>
          <w:rFonts w:eastAsia="Times New Roman"/>
        </w:rPr>
        <w:t xml:space="preserve"> </w:t>
      </w:r>
      <w:r>
        <w:t>As we move into the new millennium, medical technology drives healthcare more than any other force, which will continue to enhance</w:t>
      </w:r>
      <w:r>
        <w:rPr>
          <w:rFonts w:eastAsia="Times New Roman"/>
        </w:rPr>
        <w:t xml:space="preserve"> </w:t>
      </w:r>
      <w:r>
        <w:t xml:space="preserve">the effect on the general health of the </w:t>
      </w:r>
      <w:r w:rsidRPr="00F5178E">
        <w:t>population (</w:t>
      </w:r>
      <w:proofErr w:type="spellStart"/>
      <w:r w:rsidRPr="00F5178E">
        <w:t>Thimbleby</w:t>
      </w:r>
      <w:proofErr w:type="spellEnd"/>
      <w:r>
        <w:t>, 2013). However, modern technology, such as cars, planes and power plants are pollutant and are contributing to global warming through carbon dioxide</w:t>
      </w:r>
      <w:r w:rsidR="00F5178E">
        <w:t xml:space="preserve">, </w:t>
      </w:r>
      <w:bookmarkStart w:id="6" w:name="_Hlk534212127"/>
      <w:r w:rsidR="00F5178E" w:rsidRPr="002328EB">
        <w:t xml:space="preserve">(Air Quality Expert Group, 2007), </w:t>
      </w:r>
      <w:bookmarkEnd w:id="6"/>
      <w:r w:rsidRPr="002328EB">
        <w:rPr>
          <w:rFonts w:ascii="Merriweather" w:eastAsia="Times New Roman" w:hAnsi="Merriweather"/>
          <w:shd w:val="clear" w:color="auto" w:fill="FFFFFF"/>
        </w:rPr>
        <w:t xml:space="preserve">climate change and rising levels of inequality are significant risk factors in today’s world. Climate change will severely impact on the less wealthy, who are more likely to live in areas exposed to </w:t>
      </w:r>
      <w:r w:rsidRPr="002328EB">
        <w:rPr>
          <w:rFonts w:ascii="Merriweather" w:eastAsia="Times New Roman" w:hAnsi="Merriweather" w:hint="eastAsia"/>
          <w:shd w:val="clear" w:color="auto" w:fill="FFFFFF"/>
        </w:rPr>
        <w:t>environmental</w:t>
      </w:r>
      <w:r w:rsidRPr="002328EB">
        <w:rPr>
          <w:rFonts w:ascii="Merriweather" w:eastAsia="Times New Roman" w:hAnsi="Merriweather"/>
          <w:shd w:val="clear" w:color="auto" w:fill="FFFFFF"/>
        </w:rPr>
        <w:t xml:space="preserve"> hazards. The warming of the planet puts at risk the protection and improvement of human health and well-being. Climate change effects some of the most</w:t>
      </w:r>
      <w:r w:rsidRPr="002328EB">
        <w:rPr>
          <w:rFonts w:ascii="Helvetica" w:eastAsia="Times New Roman" w:hAnsi="Helvetica"/>
        </w:rPr>
        <w:t xml:space="preserve"> </w:t>
      </w:r>
      <w:r w:rsidRPr="002328EB">
        <w:rPr>
          <w:rFonts w:eastAsia="Times New Roman"/>
        </w:rPr>
        <w:t>fundamental determinants of health:  water, clean air, sufficient food, shelter, and freedom from disease. Extreme weather causes deaths and injuries caused by floods</w:t>
      </w:r>
      <w:r w:rsidR="002328EB" w:rsidRPr="002328EB">
        <w:rPr>
          <w:rFonts w:eastAsia="Times New Roman"/>
        </w:rPr>
        <w:t>. F</w:t>
      </w:r>
      <w:r w:rsidRPr="002328EB">
        <w:rPr>
          <w:rFonts w:eastAsia="Times New Roman"/>
        </w:rPr>
        <w:t>urthermore, flooding can cause outbreaks of diseases, such as cholera, Storms and floods are now amongst the most recurrent and deadly forms of natural disasters (WHO, 2008).</w:t>
      </w:r>
    </w:p>
    <w:p w14:paraId="344D6025" w14:textId="77777777" w:rsidR="00147F14" w:rsidRDefault="00147F14" w:rsidP="008D270C">
      <w:pPr>
        <w:spacing w:line="360" w:lineRule="auto"/>
        <w:jc w:val="both"/>
        <w:rPr>
          <w:rFonts w:eastAsia="Times New Roman"/>
        </w:rPr>
      </w:pPr>
    </w:p>
    <w:p w14:paraId="176E41FD" w14:textId="77777777" w:rsidR="00147F14" w:rsidRPr="009A7A0F" w:rsidRDefault="00147F14" w:rsidP="008D270C">
      <w:pPr>
        <w:spacing w:line="360" w:lineRule="auto"/>
        <w:jc w:val="both"/>
        <w:rPr>
          <w:rFonts w:eastAsia="Times New Roman"/>
          <w:color w:val="000000" w:themeColor="text1"/>
        </w:rPr>
      </w:pPr>
      <w:r w:rsidRPr="00EF2445">
        <w:rPr>
          <w:rFonts w:eastAsia="Times New Roman"/>
          <w:color w:val="000000" w:themeColor="text1"/>
          <w:shd w:val="clear" w:color="auto" w:fill="FFFFFF"/>
        </w:rPr>
        <w:t>Lifestyle is an expression to describe the way societies, individuals and family circles live and which behaviour they manifest in coping with their physical, psychological, social, and economic environments on a day-to-day basis. (</w:t>
      </w:r>
      <w:proofErr w:type="spellStart"/>
      <w:r w:rsidRPr="00EF2445">
        <w:rPr>
          <w:rFonts w:eastAsia="Times New Roman"/>
          <w:color w:val="000000" w:themeColor="text1"/>
          <w:shd w:val="clear" w:color="auto" w:fill="FFFFFF"/>
        </w:rPr>
        <w:t>Ezzati</w:t>
      </w:r>
      <w:proofErr w:type="spellEnd"/>
      <w:r w:rsidRPr="00EF2445">
        <w:rPr>
          <w:rFonts w:eastAsia="Times New Roman"/>
          <w:color w:val="000000" w:themeColor="text1"/>
          <w:shd w:val="clear" w:color="auto" w:fill="FFFFFF"/>
        </w:rPr>
        <w:t xml:space="preserve">, </w:t>
      </w:r>
      <w:r w:rsidRPr="00EF2445">
        <w:rPr>
          <w:rFonts w:eastAsia="Times New Roman"/>
          <w:i/>
          <w:color w:val="000000" w:themeColor="text1"/>
          <w:shd w:val="clear" w:color="auto" w:fill="FFFFFF"/>
        </w:rPr>
        <w:t>et al.,</w:t>
      </w:r>
      <w:r w:rsidRPr="00EF2445">
        <w:rPr>
          <w:rFonts w:eastAsia="Times New Roman"/>
          <w:color w:val="000000" w:themeColor="text1"/>
          <w:shd w:val="clear" w:color="auto" w:fill="FFFFFF"/>
        </w:rPr>
        <w:t xml:space="preserve"> 2002, cited in </w:t>
      </w:r>
      <w:proofErr w:type="spellStart"/>
      <w:r w:rsidRPr="00EF2445">
        <w:rPr>
          <w:rFonts w:eastAsia="Times New Roman"/>
          <w:color w:val="000000" w:themeColor="text1"/>
          <w:shd w:val="clear" w:color="auto" w:fill="FFFFFF"/>
        </w:rPr>
        <w:t>Trovato</w:t>
      </w:r>
      <w:proofErr w:type="spellEnd"/>
      <w:r w:rsidRPr="00EF2445">
        <w:rPr>
          <w:rFonts w:eastAsia="Times New Roman"/>
          <w:color w:val="000000" w:themeColor="text1"/>
          <w:shd w:val="clear" w:color="auto" w:fill="FFFFFF"/>
        </w:rPr>
        <w:t xml:space="preserve">, 2012). It is closely related </w:t>
      </w:r>
      <w:r w:rsidRPr="00EF2445">
        <w:rPr>
          <w:color w:val="000000" w:themeColor="text1"/>
        </w:rPr>
        <w:t>to unhealthy behaviours such as smoking, alcohol use, physical inactivity and poor diet, compared to the groups of which are higher up on the socioeconomic scale (</w:t>
      </w:r>
      <w:proofErr w:type="spellStart"/>
      <w:r w:rsidRPr="00EF2445">
        <w:rPr>
          <w:color w:val="000000" w:themeColor="text1"/>
        </w:rPr>
        <w:t>Pampel</w:t>
      </w:r>
      <w:proofErr w:type="spellEnd"/>
      <w:r w:rsidRPr="00EF2445">
        <w:rPr>
          <w:color w:val="000000" w:themeColor="text1"/>
        </w:rPr>
        <w:t>, Krueger and Denney, 2010).</w:t>
      </w:r>
      <w:r>
        <w:rPr>
          <w:color w:val="000000" w:themeColor="text1"/>
        </w:rPr>
        <w:t xml:space="preserve"> </w:t>
      </w:r>
      <w:r w:rsidRPr="009A7A0F">
        <w:rPr>
          <w:rFonts w:eastAsia="Times New Roman"/>
          <w:color w:val="000000" w:themeColor="text1"/>
        </w:rPr>
        <w:t>(Carmarthenshi</w:t>
      </w:r>
      <w:r>
        <w:rPr>
          <w:rFonts w:eastAsia="Times New Roman"/>
          <w:color w:val="000000" w:themeColor="text1"/>
        </w:rPr>
        <w:t xml:space="preserve">re Public Services Board, 2017) reported that there has been an increase among adults smoking in the county </w:t>
      </w:r>
      <w:r w:rsidRPr="009A7A0F">
        <w:rPr>
          <w:rFonts w:eastAsia="Times New Roman"/>
          <w:color w:val="000000" w:themeColor="text1"/>
        </w:rPr>
        <w:t xml:space="preserve">which is </w:t>
      </w:r>
      <w:r>
        <w:rPr>
          <w:rFonts w:eastAsia="Times New Roman"/>
          <w:color w:val="000000" w:themeColor="text1"/>
        </w:rPr>
        <w:t xml:space="preserve">a </w:t>
      </w:r>
      <w:r w:rsidRPr="009A7A0F">
        <w:rPr>
          <w:rFonts w:eastAsia="Times New Roman"/>
          <w:color w:val="000000" w:themeColor="text1"/>
        </w:rPr>
        <w:t xml:space="preserve">major modifiable risk factor for low birthweight; </w:t>
      </w:r>
      <w:r>
        <w:rPr>
          <w:rFonts w:eastAsia="Times New Roman"/>
          <w:color w:val="000000" w:themeColor="text1"/>
        </w:rPr>
        <w:t xml:space="preserve">although remaining </w:t>
      </w:r>
      <w:r w:rsidRPr="009A7A0F">
        <w:rPr>
          <w:rFonts w:eastAsia="Times New Roman"/>
          <w:color w:val="000000" w:themeColor="text1"/>
        </w:rPr>
        <w:t>moderately low the amount of low birthweight babies in Carmarthenshire has increased in recent years</w:t>
      </w:r>
      <w:r>
        <w:rPr>
          <w:rFonts w:eastAsia="Times New Roman"/>
          <w:color w:val="000000" w:themeColor="text1"/>
        </w:rPr>
        <w:t xml:space="preserve">. </w:t>
      </w:r>
      <w:r w:rsidRPr="009A7A0F">
        <w:rPr>
          <w:rFonts w:eastAsia="Times New Roman"/>
          <w:color w:val="000000" w:themeColor="text1"/>
        </w:rPr>
        <w:t>low birthweight can result in health and social disadvantages not only in childhood but also in adult life (Scottish Government, 2008)</w:t>
      </w:r>
      <w:r>
        <w:rPr>
          <w:rFonts w:eastAsia="Times New Roman"/>
          <w:color w:val="000000" w:themeColor="text1"/>
        </w:rPr>
        <w:t>.</w:t>
      </w:r>
    </w:p>
    <w:p w14:paraId="7BE63284" w14:textId="77777777" w:rsidR="00147F14" w:rsidRPr="008537BE" w:rsidRDefault="00147F14" w:rsidP="008D270C">
      <w:pPr>
        <w:spacing w:line="360" w:lineRule="auto"/>
        <w:jc w:val="both"/>
      </w:pPr>
    </w:p>
    <w:p w14:paraId="492CE737" w14:textId="53E20BA5" w:rsidR="00147F14" w:rsidRPr="00073747" w:rsidRDefault="00147F14" w:rsidP="008D270C">
      <w:pPr>
        <w:spacing w:line="360" w:lineRule="auto"/>
        <w:jc w:val="both"/>
        <w:rPr>
          <w:rFonts w:eastAsia="Times New Roman"/>
          <w:color w:val="FF0000"/>
        </w:rPr>
      </w:pPr>
      <w:r w:rsidRPr="008537BE">
        <w:t>According to Joseph Rowntree</w:t>
      </w:r>
      <w:r w:rsidR="008537BE">
        <w:rPr>
          <w:color w:val="FF0000"/>
        </w:rPr>
        <w:t xml:space="preserve"> </w:t>
      </w:r>
      <w:r w:rsidR="008537BE">
        <w:rPr>
          <w:rFonts w:eastAsia="Times New Roman"/>
        </w:rPr>
        <w:t>(</w:t>
      </w:r>
      <w:proofErr w:type="spellStart"/>
      <w:r w:rsidR="008537BE">
        <w:t>Benzeval</w:t>
      </w:r>
      <w:proofErr w:type="spellEnd"/>
      <w:r w:rsidR="008537BE">
        <w:t xml:space="preserve"> </w:t>
      </w:r>
      <w:r w:rsidR="008537BE" w:rsidRPr="008537BE">
        <w:rPr>
          <w:i/>
        </w:rPr>
        <w:t>et al.,</w:t>
      </w:r>
      <w:r w:rsidR="008537BE">
        <w:t xml:space="preserve"> 2014)</w:t>
      </w:r>
      <w:r w:rsidR="008537BE" w:rsidRPr="00073747">
        <w:rPr>
          <w:rFonts w:eastAsia="Times New Roman"/>
          <w:color w:val="FF0000"/>
        </w:rPr>
        <w:t xml:space="preserve"> </w:t>
      </w:r>
      <w:r w:rsidRPr="00A4082A">
        <w:rPr>
          <w:color w:val="000000" w:themeColor="text1"/>
        </w:rPr>
        <w:t>some</w:t>
      </w:r>
      <w:r>
        <w:rPr>
          <w:color w:val="000000" w:themeColor="text1"/>
        </w:rPr>
        <w:t xml:space="preserve"> individuals may use unhealthy behaviours as a way of coping with challenging circumstances.</w:t>
      </w:r>
      <w:r w:rsidRPr="00A4082A">
        <w:rPr>
          <w:rFonts w:eastAsia="Times New Roman"/>
        </w:rPr>
        <w:t xml:space="preserve"> </w:t>
      </w:r>
      <w:r>
        <w:rPr>
          <w:rFonts w:eastAsia="Times New Roman"/>
        </w:rPr>
        <w:t xml:space="preserve">A linked argument is that the struggles of managing life on low incomes inclines individuals to discount the future more </w:t>
      </w:r>
      <w:r>
        <w:rPr>
          <w:rFonts w:eastAsia="Times New Roman"/>
        </w:rPr>
        <w:lastRenderedPageBreak/>
        <w:t>heavily, meaning individuals are less concerned with the lifelong health consequences that effects their behaviours, which currently brings them current pleasure or stress relief</w:t>
      </w:r>
      <w:r w:rsidR="008537BE">
        <w:rPr>
          <w:rFonts w:eastAsia="Times New Roman"/>
        </w:rPr>
        <w:t xml:space="preserve"> (</w:t>
      </w:r>
      <w:proofErr w:type="spellStart"/>
      <w:r w:rsidR="008537BE">
        <w:t>Benzeval</w:t>
      </w:r>
      <w:proofErr w:type="spellEnd"/>
      <w:r w:rsidR="008537BE">
        <w:t xml:space="preserve"> </w:t>
      </w:r>
      <w:r w:rsidR="008537BE" w:rsidRPr="008537BE">
        <w:rPr>
          <w:i/>
        </w:rPr>
        <w:t>et al.,</w:t>
      </w:r>
      <w:r w:rsidR="008537BE">
        <w:t xml:space="preserve"> 2014). </w:t>
      </w:r>
      <w:r w:rsidR="008537BE" w:rsidRPr="00073747">
        <w:rPr>
          <w:rFonts w:eastAsia="Times New Roman"/>
          <w:color w:val="FF0000"/>
        </w:rPr>
        <w:t xml:space="preserve"> </w:t>
      </w:r>
    </w:p>
    <w:p w14:paraId="5AAF0D29" w14:textId="77777777" w:rsidR="00147F14" w:rsidRDefault="00147F14" w:rsidP="008D270C">
      <w:pPr>
        <w:jc w:val="both"/>
        <w:rPr>
          <w:rFonts w:eastAsia="Times New Roman"/>
        </w:rPr>
      </w:pPr>
    </w:p>
    <w:p w14:paraId="64F5E2AB" w14:textId="21E59794" w:rsidR="00147F14" w:rsidRDefault="00147F14" w:rsidP="008D270C">
      <w:pPr>
        <w:spacing w:line="360" w:lineRule="auto"/>
        <w:jc w:val="both"/>
        <w:rPr>
          <w:noProof/>
        </w:rPr>
      </w:pPr>
    </w:p>
    <w:p w14:paraId="7FF4CC0C" w14:textId="6D44ECE8" w:rsidR="008537BE" w:rsidRDefault="008537BE" w:rsidP="008D270C">
      <w:pPr>
        <w:spacing w:line="360" w:lineRule="auto"/>
        <w:jc w:val="both"/>
        <w:rPr>
          <w:noProof/>
        </w:rPr>
      </w:pPr>
    </w:p>
    <w:p w14:paraId="08416690" w14:textId="5008538A" w:rsidR="008537BE" w:rsidRDefault="008537BE" w:rsidP="008D270C">
      <w:pPr>
        <w:spacing w:line="360" w:lineRule="auto"/>
        <w:jc w:val="both"/>
        <w:rPr>
          <w:noProof/>
        </w:rPr>
      </w:pPr>
    </w:p>
    <w:p w14:paraId="6A79BBEF" w14:textId="5B2BA1C1" w:rsidR="008537BE" w:rsidRDefault="008537BE" w:rsidP="008D270C">
      <w:pPr>
        <w:spacing w:line="360" w:lineRule="auto"/>
        <w:jc w:val="both"/>
        <w:rPr>
          <w:noProof/>
        </w:rPr>
      </w:pPr>
    </w:p>
    <w:p w14:paraId="33E95277" w14:textId="77777777" w:rsidR="008537BE" w:rsidRDefault="008537BE" w:rsidP="008D270C">
      <w:pPr>
        <w:spacing w:line="360" w:lineRule="auto"/>
        <w:jc w:val="both"/>
        <w:rPr>
          <w:noProof/>
        </w:rPr>
      </w:pPr>
    </w:p>
    <w:p w14:paraId="5DBBE112" w14:textId="6BD09868" w:rsidR="003A6A35" w:rsidRPr="00AD756C" w:rsidRDefault="003A6A35" w:rsidP="008D270C">
      <w:pPr>
        <w:tabs>
          <w:tab w:val="left" w:pos="5745"/>
        </w:tabs>
        <w:spacing w:line="360" w:lineRule="auto"/>
        <w:jc w:val="both"/>
        <w:outlineLvl w:val="0"/>
        <w:rPr>
          <w:b/>
          <w:sz w:val="28"/>
          <w:szCs w:val="28"/>
          <w:u w:val="single"/>
        </w:rPr>
      </w:pPr>
      <w:r>
        <w:rPr>
          <w:b/>
          <w:sz w:val="28"/>
          <w:szCs w:val="28"/>
          <w:u w:val="single"/>
        </w:rPr>
        <w:t xml:space="preserve">Obesity: </w:t>
      </w:r>
      <w:r w:rsidRPr="00AD756C">
        <w:rPr>
          <w:b/>
          <w:sz w:val="28"/>
          <w:szCs w:val="28"/>
          <w:u w:val="single"/>
        </w:rPr>
        <w:t xml:space="preserve">health issue associated with health and social inequalities? </w:t>
      </w:r>
    </w:p>
    <w:p w14:paraId="4BA76847" w14:textId="56F7065C" w:rsidR="003915CB" w:rsidRDefault="003915CB" w:rsidP="008D270C">
      <w:pPr>
        <w:jc w:val="both"/>
        <w:outlineLvl w:val="0"/>
      </w:pPr>
    </w:p>
    <w:p w14:paraId="70585570" w14:textId="77777777" w:rsidR="003915CB" w:rsidRDefault="003915CB" w:rsidP="008D270C">
      <w:pPr>
        <w:jc w:val="both"/>
      </w:pPr>
    </w:p>
    <w:p w14:paraId="07D2AE3D" w14:textId="3B82C2ED" w:rsidR="003915CB" w:rsidRPr="00B931A2" w:rsidRDefault="003915CB" w:rsidP="008D270C">
      <w:pPr>
        <w:spacing w:line="360" w:lineRule="auto"/>
        <w:jc w:val="both"/>
        <w:rPr>
          <w:rFonts w:eastAsia="Times New Roman"/>
        </w:rPr>
      </w:pPr>
      <w:r w:rsidRPr="00D12F34">
        <w:rPr>
          <w:rFonts w:eastAsia="Times New Roman"/>
        </w:rPr>
        <w:t>Obesity</w:t>
      </w:r>
      <w:r>
        <w:rPr>
          <w:rFonts w:eastAsia="Times New Roman"/>
        </w:rPr>
        <w:t xml:space="preserve"> </w:t>
      </w:r>
      <w:r w:rsidRPr="00843DDA">
        <w:rPr>
          <w:rFonts w:eastAsia="Times New Roman"/>
        </w:rPr>
        <w:t>has reached epidemic proportions globally,</w:t>
      </w:r>
      <w:r>
        <w:rPr>
          <w:rFonts w:eastAsia="Times New Roman"/>
        </w:rPr>
        <w:t xml:space="preserve"> it</w:t>
      </w:r>
      <w:r w:rsidRPr="00D12F34">
        <w:rPr>
          <w:rFonts w:eastAsia="Times New Roman"/>
        </w:rPr>
        <w:t xml:space="preserve"> is </w:t>
      </w:r>
      <w:r>
        <w:rPr>
          <w:rFonts w:eastAsia="Times New Roman"/>
        </w:rPr>
        <w:t xml:space="preserve">a </w:t>
      </w:r>
      <w:r w:rsidRPr="00D12F34">
        <w:rPr>
          <w:rFonts w:eastAsia="Times New Roman"/>
        </w:rPr>
        <w:t>major</w:t>
      </w:r>
      <w:r>
        <w:rPr>
          <w:rFonts w:eastAsia="Times New Roman"/>
        </w:rPr>
        <w:t xml:space="preserve"> health challenge,</w:t>
      </w:r>
      <w:r w:rsidRPr="00D12F34">
        <w:rPr>
          <w:rFonts w:eastAsia="Times New Roman"/>
        </w:rPr>
        <w:t xml:space="preserve"> facing both economically advanced and less advanced societies</w:t>
      </w:r>
      <w:r w:rsidR="00A50B6F">
        <w:t xml:space="preserve"> (</w:t>
      </w:r>
      <w:r>
        <w:rPr>
          <w:rFonts w:eastAsia="Times New Roman"/>
        </w:rPr>
        <w:t>WHO</w:t>
      </w:r>
      <w:r w:rsidR="00A50B6F">
        <w:rPr>
          <w:rFonts w:eastAsia="Times New Roman"/>
        </w:rPr>
        <w:t>)</w:t>
      </w:r>
      <w:r>
        <w:rPr>
          <w:rFonts w:eastAsia="Times New Roman"/>
        </w:rPr>
        <w:t>, 2003).</w:t>
      </w:r>
      <w:r w:rsidRPr="002455C7">
        <w:rPr>
          <w:color w:val="FF0000"/>
        </w:rPr>
        <w:t xml:space="preserve"> </w:t>
      </w:r>
      <w:r>
        <w:rPr>
          <w:rFonts w:eastAsia="Times New Roman"/>
        </w:rPr>
        <w:t xml:space="preserve">Obesity is defined as the condition of excessive fat build-up to such a degree that it can affect an individual’s health </w:t>
      </w:r>
      <w:r>
        <w:t>(WHO, 2018).</w:t>
      </w:r>
      <w:r>
        <w:rPr>
          <w:rFonts w:eastAsia="Times New Roman"/>
        </w:rPr>
        <w:t xml:space="preserve"> Obesity is a complex condition, with serious social and psychological dimensions, essentially affecting all ages and socioeconomic groups (WHO, 2003).</w:t>
      </w:r>
      <w:r w:rsidRPr="002455C7">
        <w:rPr>
          <w:color w:val="FF0000"/>
        </w:rPr>
        <w:t xml:space="preserve"> </w:t>
      </w:r>
      <w:r w:rsidRPr="00EE6290">
        <w:t xml:space="preserve">Individuals </w:t>
      </w:r>
      <w:r>
        <w:t>who are overweight are more at risk of getting type 2 diabetes, certain cancers and heart disease.  Marmot (2010) predicted an increase in the expenditure of treatment of various illnesses that result from inequalities in obesity alone to rise from £2 billion per year to nearly £5 billion per year by 2025 (Marmot, 2010). However, the actual costs to the NHS was £6.1 billion in 2014 to 2015 associated to health conditions connected with being overweight or obese. The UK-wide NHS expenditure is predicted to reach £9.7 billion by 2050. Additional weight can also affect an individual’s ability to find or sustain work, and it can contribute towards low self-esteem and mental health, impacting on economic development. The overall cost of obesity to wider society is projected to be £27 billion (</w:t>
      </w:r>
      <w:r w:rsidRPr="00947E12">
        <w:rPr>
          <w:rFonts w:eastAsia="Times New Roman"/>
        </w:rPr>
        <w:t>Public Health England</w:t>
      </w:r>
      <w:r>
        <w:rPr>
          <w:rFonts w:eastAsia="Times New Roman"/>
        </w:rPr>
        <w:t>, 2015</w:t>
      </w:r>
      <w:r w:rsidRPr="00947E12">
        <w:rPr>
          <w:rFonts w:eastAsia="Times New Roman"/>
        </w:rPr>
        <w:t>)</w:t>
      </w:r>
      <w:r>
        <w:rPr>
          <w:rFonts w:eastAsia="Times New Roman"/>
        </w:rPr>
        <w:t xml:space="preserve">. </w:t>
      </w:r>
      <w:r>
        <w:t>The prevalence of obesity has almost tripled since 1975; in 2016, more than 1.9billion adults were overweight and 650 million were obese. The majority of the world’s population live in countries where overweight and obesity kills more individuals than underweight. It is estimated that 41 million children under the age of 5 were overweight or obese in 2016. As well as 340 million children and adolescents aged between 5-9 were overweight or obese in 2016</w:t>
      </w:r>
      <w:r w:rsidR="00A50B6F">
        <w:rPr>
          <w:color w:val="FF0000"/>
        </w:rPr>
        <w:t xml:space="preserve"> </w:t>
      </w:r>
      <w:r>
        <w:t xml:space="preserve">(WHO, 2003). </w:t>
      </w:r>
      <w:r w:rsidRPr="002455C7">
        <w:rPr>
          <w:color w:val="FF0000"/>
        </w:rPr>
        <w:t xml:space="preserve"> </w:t>
      </w:r>
    </w:p>
    <w:p w14:paraId="38731A13" w14:textId="2290D00B" w:rsidR="003915CB" w:rsidRDefault="003915CB" w:rsidP="008D270C">
      <w:pPr>
        <w:jc w:val="both"/>
      </w:pPr>
      <w:r>
        <w:t xml:space="preserve">The Foresight </w:t>
      </w:r>
      <w:r w:rsidR="0089297F">
        <w:t>R</w:t>
      </w:r>
      <w:r>
        <w:t>eport</w:t>
      </w:r>
      <w:r w:rsidR="0089297F">
        <w:t xml:space="preserve"> (</w:t>
      </w:r>
      <w:r>
        <w:t xml:space="preserve">2007) estimated that half the UK </w:t>
      </w:r>
      <w:r w:rsidRPr="00FA1CB8">
        <w:t xml:space="preserve">population would </w:t>
      </w:r>
      <w:r>
        <w:t>be obese by 2050</w:t>
      </w:r>
      <w:r w:rsidR="0089297F">
        <w:t>.</w:t>
      </w:r>
    </w:p>
    <w:p w14:paraId="32BC226B" w14:textId="77777777" w:rsidR="003915CB" w:rsidRDefault="003915CB" w:rsidP="008D270C">
      <w:pPr>
        <w:spacing w:line="360" w:lineRule="auto"/>
        <w:jc w:val="both"/>
        <w:rPr>
          <w:rFonts w:eastAsia="Times New Roman"/>
          <w:color w:val="FF0000"/>
        </w:rPr>
      </w:pPr>
    </w:p>
    <w:p w14:paraId="768142B4" w14:textId="0F1986C1" w:rsidR="003915CB" w:rsidRPr="00CD25B6" w:rsidRDefault="003915CB" w:rsidP="008D270C">
      <w:pPr>
        <w:spacing w:line="360" w:lineRule="auto"/>
        <w:jc w:val="both"/>
        <w:rPr>
          <w:rFonts w:eastAsia="Times New Roman"/>
          <w:color w:val="000000" w:themeColor="text1"/>
        </w:rPr>
      </w:pPr>
      <w:r w:rsidRPr="00CD25B6">
        <w:rPr>
          <w:rFonts w:eastAsia="Times New Roman"/>
          <w:color w:val="000000" w:themeColor="text1"/>
        </w:rPr>
        <w:lastRenderedPageBreak/>
        <w:t xml:space="preserve">(WHO, 2003) </w:t>
      </w:r>
      <w:r w:rsidR="0089297F">
        <w:rPr>
          <w:rFonts w:eastAsia="Times New Roman"/>
          <w:color w:val="000000" w:themeColor="text1"/>
        </w:rPr>
        <w:t>i</w:t>
      </w:r>
      <w:r w:rsidRPr="00CD25B6">
        <w:rPr>
          <w:rFonts w:eastAsia="Times New Roman"/>
          <w:color w:val="000000" w:themeColor="text1"/>
        </w:rPr>
        <w:t>dentifies that the increasing prevalence of obesity reflects the changes in society and in behavioural patterns of communities over recent decades. Although genes are significant in determining an individual's proneness to weight gain, energy balance is determined by calorie intake and physical activity. Meaning, societies changes and global nutrition modulation are leading the obesity problem. Economic growth, modern technology, city-living and the worldwide use of food markets are just some of the factors thought to underlie the epidemic (WHO, 2003)</w:t>
      </w:r>
      <w:r w:rsidR="0089297F">
        <w:rPr>
          <w:rFonts w:eastAsia="Times New Roman"/>
          <w:color w:val="000000" w:themeColor="text1"/>
        </w:rPr>
        <w:t>.</w:t>
      </w:r>
    </w:p>
    <w:p w14:paraId="57E8D971" w14:textId="77777777" w:rsidR="003915CB" w:rsidRPr="00CD25B6" w:rsidRDefault="003915CB" w:rsidP="008D270C">
      <w:pPr>
        <w:jc w:val="both"/>
        <w:rPr>
          <w:color w:val="000000" w:themeColor="text1"/>
        </w:rPr>
      </w:pPr>
    </w:p>
    <w:p w14:paraId="1AEAAD2E" w14:textId="77777777" w:rsidR="003915CB" w:rsidRPr="00CD25B6" w:rsidRDefault="003915CB" w:rsidP="008D270C">
      <w:pPr>
        <w:tabs>
          <w:tab w:val="left" w:pos="5745"/>
        </w:tabs>
        <w:spacing w:line="360" w:lineRule="auto"/>
        <w:jc w:val="both"/>
        <w:rPr>
          <w:color w:val="000000" w:themeColor="text1"/>
        </w:rPr>
      </w:pPr>
      <w:r w:rsidRPr="00CD25B6">
        <w:rPr>
          <w:color w:val="000000" w:themeColor="text1"/>
        </w:rPr>
        <w:t xml:space="preserve">There has recently been more attention on how health behaviours such as diet and physical activity can influence one’s health. For several years, studies have shown that the consumption of a healthy balanced diet is essential for good health </w:t>
      </w:r>
      <w:bookmarkStart w:id="7" w:name="_Hlk531530475"/>
      <w:r w:rsidRPr="00CD25B6">
        <w:rPr>
          <w:color w:val="000000" w:themeColor="text1"/>
        </w:rPr>
        <w:t>(WHO, 2003).</w:t>
      </w:r>
      <w:bookmarkEnd w:id="7"/>
    </w:p>
    <w:p w14:paraId="38026B1E" w14:textId="61534066" w:rsidR="003915CB" w:rsidRPr="00CD25B6" w:rsidRDefault="003915CB" w:rsidP="008D270C">
      <w:pPr>
        <w:spacing w:line="360" w:lineRule="auto"/>
        <w:jc w:val="both"/>
        <w:rPr>
          <w:color w:val="000000" w:themeColor="text1"/>
        </w:rPr>
      </w:pPr>
      <w:r w:rsidRPr="00CD25B6">
        <w:rPr>
          <w:color w:val="000000" w:themeColor="text1"/>
        </w:rPr>
        <w:t>To obtain a balanced diet, there are a variety of nutrients required including carbohydrates, proteins, fats and vitamins and minerals (GOV.UK</w:t>
      </w:r>
      <w:r w:rsidR="0089297F">
        <w:rPr>
          <w:color w:val="000000" w:themeColor="text1"/>
        </w:rPr>
        <w:t>,</w:t>
      </w:r>
      <w:r w:rsidRPr="00CD25B6">
        <w:rPr>
          <w:color w:val="000000" w:themeColor="text1"/>
        </w:rPr>
        <w:t xml:space="preserve"> 2018). There is no single food that contains all these essential nutrients, therefore they are required from natural sources such as fruit and vegetables, dairy produce, wholegrains, pulses and lean meat and fish (Public Health England, 2018).</w:t>
      </w:r>
      <w:r>
        <w:rPr>
          <w:color w:val="000000" w:themeColor="text1"/>
        </w:rPr>
        <w:t xml:space="preserve"> </w:t>
      </w:r>
      <w:r w:rsidRPr="00CD25B6">
        <w:rPr>
          <w:color w:val="000000" w:themeColor="text1"/>
        </w:rPr>
        <w:t>A healthy diet can benefit weight control and reduce the risk of certain types of diseases, in particular non-communicable diseases such as obesity, cardiovascular disease, diabetes, some types of cancer and skeletal conditions (WHO, 2002).</w:t>
      </w:r>
    </w:p>
    <w:p w14:paraId="4FD43A96" w14:textId="7C9D64E0" w:rsidR="003915CB" w:rsidRDefault="003915CB" w:rsidP="008D270C">
      <w:pPr>
        <w:pStyle w:val="NormalWeb"/>
        <w:shd w:val="clear" w:color="auto" w:fill="FFFFFF"/>
        <w:spacing w:before="75" w:beforeAutospacing="0" w:after="450" w:afterAutospacing="0" w:line="360" w:lineRule="auto"/>
        <w:jc w:val="both"/>
        <w:rPr>
          <w:rFonts w:eastAsia="Times New Roman"/>
          <w:color w:val="000000" w:themeColor="text1"/>
        </w:rPr>
      </w:pPr>
      <w:r w:rsidRPr="00CD25B6">
        <w:rPr>
          <w:rFonts w:eastAsia="Times New Roman"/>
          <w:color w:val="000000" w:themeColor="text1"/>
        </w:rPr>
        <w:t xml:space="preserve">Getting individuals to adopt a healthy lifestyle is widely acknowledged to be difficult, data indicates that traditional public information campaigns are not effective with lower socio-economic or other hard-to-reach groups. Studies have shown that these interventions can actually widen health inequalities as wealthier groups respond better to health promotion messages </w:t>
      </w:r>
      <w:bookmarkStart w:id="8" w:name="_Hlk534109639"/>
      <w:r w:rsidRPr="00CD25B6">
        <w:rPr>
          <w:rFonts w:eastAsia="Times New Roman"/>
          <w:color w:val="000000" w:themeColor="text1"/>
        </w:rPr>
        <w:t>(</w:t>
      </w:r>
      <w:r w:rsidRPr="00CD25B6">
        <w:rPr>
          <w:color w:val="000000" w:themeColor="text1"/>
        </w:rPr>
        <w:t xml:space="preserve">Parliament, House of Commons, 2008).  </w:t>
      </w:r>
      <w:bookmarkEnd w:id="8"/>
      <w:r w:rsidRPr="00CD25B6">
        <w:rPr>
          <w:rFonts w:eastAsia="Times New Roman"/>
          <w:color w:val="000000" w:themeColor="text1"/>
        </w:rPr>
        <w:t xml:space="preserve">The occurrence of obesity is increasing in numerous </w:t>
      </w:r>
      <w:r w:rsidR="00FF4D51" w:rsidRPr="00CD25B6">
        <w:rPr>
          <w:rFonts w:eastAsia="Times New Roman"/>
          <w:color w:val="000000" w:themeColor="text1"/>
        </w:rPr>
        <w:t>countries and</w:t>
      </w:r>
      <w:r w:rsidRPr="00CD25B6">
        <w:rPr>
          <w:rFonts w:eastAsia="Times New Roman"/>
          <w:color w:val="000000" w:themeColor="text1"/>
        </w:rPr>
        <w:t xml:space="preserve"> growing fastest in low socioeconomic population groups</w:t>
      </w:r>
      <w:r w:rsidR="00FF4D51">
        <w:rPr>
          <w:rFonts w:eastAsia="Times New Roman"/>
          <w:color w:val="000000" w:themeColor="text1"/>
        </w:rPr>
        <w:t xml:space="preserve"> (</w:t>
      </w:r>
      <w:r w:rsidR="00FF4D51">
        <w:t xml:space="preserve">WHO, 2014). </w:t>
      </w:r>
      <w:r w:rsidRPr="00CD25B6">
        <w:rPr>
          <w:rFonts w:eastAsia="Times New Roman"/>
          <w:color w:val="000000" w:themeColor="text1"/>
        </w:rPr>
        <w:t xml:space="preserve">Research on why there has been no progress in reducing obesity should be a major priority. Unfortunately measures taken are not as effective as they need to be, </w:t>
      </w:r>
      <w:r w:rsidR="0089297F">
        <w:rPr>
          <w:rFonts w:eastAsia="Times New Roman"/>
          <w:color w:val="000000" w:themeColor="text1"/>
        </w:rPr>
        <w:t>t</w:t>
      </w:r>
      <w:r w:rsidRPr="00CD25B6">
        <w:rPr>
          <w:rFonts w:eastAsia="Times New Roman"/>
          <w:color w:val="000000" w:themeColor="text1"/>
        </w:rPr>
        <w:t>he Government must show itself to be committed to invest in the health of future generations by supporting measures which do not promise overnight results, but which constitute, effective and defined strategy</w:t>
      </w:r>
      <w:r w:rsidR="0089297F">
        <w:rPr>
          <w:rFonts w:eastAsia="Times New Roman"/>
          <w:color w:val="000000" w:themeColor="text1"/>
        </w:rPr>
        <w:t xml:space="preserve"> </w:t>
      </w:r>
      <w:r w:rsidR="0089297F" w:rsidRPr="00CD25B6">
        <w:rPr>
          <w:rFonts w:eastAsia="Times New Roman"/>
          <w:color w:val="000000" w:themeColor="text1"/>
        </w:rPr>
        <w:t>(</w:t>
      </w:r>
      <w:r w:rsidR="0089297F" w:rsidRPr="00CD25B6">
        <w:rPr>
          <w:color w:val="000000" w:themeColor="text1"/>
        </w:rPr>
        <w:t>Parliament, House of Commons, 200</w:t>
      </w:r>
      <w:r w:rsidR="0089297F">
        <w:rPr>
          <w:color w:val="000000" w:themeColor="text1"/>
        </w:rPr>
        <w:t>4</w:t>
      </w:r>
      <w:r w:rsidR="0089297F" w:rsidRPr="00CD25B6">
        <w:rPr>
          <w:color w:val="000000" w:themeColor="text1"/>
        </w:rPr>
        <w:t xml:space="preserve">).  </w:t>
      </w:r>
    </w:p>
    <w:p w14:paraId="3902D305" w14:textId="314E9E87" w:rsidR="003915CB" w:rsidRPr="00CD25B6" w:rsidRDefault="003915CB" w:rsidP="008D270C">
      <w:pPr>
        <w:spacing w:line="360" w:lineRule="auto"/>
        <w:jc w:val="both"/>
        <w:rPr>
          <w:color w:val="000000" w:themeColor="text1"/>
        </w:rPr>
      </w:pPr>
      <w:r w:rsidRPr="00CD25B6">
        <w:rPr>
          <w:rFonts w:eastAsia="Times New Roman"/>
          <w:color w:val="000000" w:themeColor="text1"/>
        </w:rPr>
        <w:t xml:space="preserve">Overeating has been attributed to the ready availability of food </w:t>
      </w:r>
      <w:r w:rsidR="00FF4D51">
        <w:rPr>
          <w:rFonts w:eastAsia="Times New Roman"/>
          <w:color w:val="000000" w:themeColor="text1"/>
        </w:rPr>
        <w:t xml:space="preserve">(Nelson </w:t>
      </w:r>
      <w:r w:rsidR="00FF4D51" w:rsidRPr="00FF4D51">
        <w:rPr>
          <w:rFonts w:eastAsia="Times New Roman"/>
          <w:i/>
          <w:color w:val="000000" w:themeColor="text1"/>
        </w:rPr>
        <w:t>et al</w:t>
      </w:r>
      <w:r w:rsidR="00FF4D51">
        <w:rPr>
          <w:rFonts w:eastAsia="Times New Roman"/>
          <w:color w:val="000000" w:themeColor="text1"/>
        </w:rPr>
        <w:t xml:space="preserve">., 2006; </w:t>
      </w:r>
      <w:proofErr w:type="spellStart"/>
      <w:r w:rsidR="00FF4D51">
        <w:rPr>
          <w:rFonts w:eastAsia="Times New Roman"/>
          <w:color w:val="000000" w:themeColor="text1"/>
        </w:rPr>
        <w:t>Wiecha</w:t>
      </w:r>
      <w:proofErr w:type="spellEnd"/>
      <w:r w:rsidR="00FF4D51">
        <w:rPr>
          <w:rFonts w:eastAsia="Times New Roman"/>
          <w:color w:val="000000" w:themeColor="text1"/>
        </w:rPr>
        <w:t xml:space="preserve"> </w:t>
      </w:r>
      <w:r w:rsidR="00FF4D51" w:rsidRPr="00FF4D51">
        <w:rPr>
          <w:rFonts w:eastAsia="Times New Roman"/>
          <w:i/>
          <w:color w:val="000000" w:themeColor="text1"/>
        </w:rPr>
        <w:t>et al</w:t>
      </w:r>
      <w:r w:rsidR="00FF4D51">
        <w:rPr>
          <w:rFonts w:eastAsia="Times New Roman"/>
          <w:color w:val="000000" w:themeColor="text1"/>
        </w:rPr>
        <w:t xml:space="preserve">., 2006, </w:t>
      </w:r>
      <w:bookmarkStart w:id="9" w:name="_Hlk534023726"/>
      <w:r w:rsidR="00FF4D51">
        <w:rPr>
          <w:rFonts w:eastAsia="Times New Roman"/>
          <w:color w:val="000000" w:themeColor="text1"/>
        </w:rPr>
        <w:t xml:space="preserve">cited in </w:t>
      </w:r>
      <w:proofErr w:type="spellStart"/>
      <w:r w:rsidR="00FF4D51">
        <w:rPr>
          <w:rFonts w:eastAsia="Times New Roman"/>
          <w:color w:val="000000" w:themeColor="text1"/>
        </w:rPr>
        <w:t>Ifland</w:t>
      </w:r>
      <w:proofErr w:type="spellEnd"/>
      <w:r w:rsidR="00FF4D51">
        <w:rPr>
          <w:rFonts w:eastAsia="Times New Roman"/>
          <w:color w:val="000000" w:themeColor="text1"/>
        </w:rPr>
        <w:t xml:space="preserve"> </w:t>
      </w:r>
      <w:r w:rsidR="00FF4D51" w:rsidRPr="00FF4D51">
        <w:rPr>
          <w:rFonts w:eastAsia="Times New Roman"/>
          <w:i/>
          <w:color w:val="000000" w:themeColor="text1"/>
        </w:rPr>
        <w:t>et al</w:t>
      </w:r>
      <w:r w:rsidR="00FF4D51">
        <w:rPr>
          <w:rFonts w:eastAsia="Times New Roman"/>
          <w:color w:val="000000" w:themeColor="text1"/>
        </w:rPr>
        <w:t>., 2008)</w:t>
      </w:r>
      <w:bookmarkEnd w:id="9"/>
      <w:r w:rsidR="00FF4D51" w:rsidRPr="000F23E1">
        <w:rPr>
          <w:rFonts w:eastAsia="Times New Roman"/>
          <w:color w:val="FF0000"/>
        </w:rPr>
        <w:t xml:space="preserve"> </w:t>
      </w:r>
      <w:r w:rsidRPr="00CD25B6">
        <w:rPr>
          <w:rFonts w:eastAsia="Times New Roman"/>
          <w:color w:val="000000" w:themeColor="text1"/>
        </w:rPr>
        <w:t xml:space="preserve">sedentary lifestyle </w:t>
      </w:r>
      <w:r w:rsidR="00DC5B4D">
        <w:rPr>
          <w:rFonts w:eastAsia="Times New Roman"/>
          <w:color w:val="000000" w:themeColor="text1"/>
        </w:rPr>
        <w:t>(</w:t>
      </w:r>
      <w:proofErr w:type="spellStart"/>
      <w:r w:rsidR="00DC5B4D">
        <w:rPr>
          <w:rFonts w:eastAsia="Times New Roman"/>
          <w:color w:val="000000" w:themeColor="text1"/>
        </w:rPr>
        <w:t>Berkey</w:t>
      </w:r>
      <w:proofErr w:type="spellEnd"/>
      <w:r w:rsidR="00DC5B4D">
        <w:rPr>
          <w:rFonts w:eastAsia="Times New Roman"/>
          <w:color w:val="000000" w:themeColor="text1"/>
        </w:rPr>
        <w:t xml:space="preserve">, </w:t>
      </w:r>
      <w:proofErr w:type="spellStart"/>
      <w:r w:rsidR="00DC5B4D">
        <w:rPr>
          <w:rFonts w:eastAsia="Times New Roman"/>
          <w:color w:val="000000" w:themeColor="text1"/>
        </w:rPr>
        <w:t>Rockett</w:t>
      </w:r>
      <w:proofErr w:type="spellEnd"/>
      <w:r w:rsidR="00DC5B4D">
        <w:rPr>
          <w:rFonts w:eastAsia="Times New Roman"/>
          <w:color w:val="000000" w:themeColor="text1"/>
        </w:rPr>
        <w:t xml:space="preserve"> and Field, 2000; Boynton, </w:t>
      </w:r>
      <w:r w:rsidR="00DC5B4D" w:rsidRPr="00DC5B4D">
        <w:rPr>
          <w:rFonts w:eastAsia="Times New Roman"/>
          <w:i/>
          <w:color w:val="000000" w:themeColor="text1"/>
        </w:rPr>
        <w:t>et al.,</w:t>
      </w:r>
      <w:r w:rsidR="00DC5B4D">
        <w:rPr>
          <w:rFonts w:eastAsia="Times New Roman"/>
          <w:color w:val="000000" w:themeColor="text1"/>
        </w:rPr>
        <w:t xml:space="preserve"> 2003; Kruger, Kruger and Macintyre, 2006; </w:t>
      </w:r>
      <w:proofErr w:type="spellStart"/>
      <w:r w:rsidR="00DC5B4D">
        <w:rPr>
          <w:rFonts w:eastAsia="Times New Roman"/>
          <w:color w:val="000000" w:themeColor="text1"/>
        </w:rPr>
        <w:t>Lindstorm</w:t>
      </w:r>
      <w:proofErr w:type="spellEnd"/>
      <w:r w:rsidR="00DC5B4D">
        <w:rPr>
          <w:rFonts w:eastAsia="Times New Roman"/>
          <w:color w:val="000000" w:themeColor="text1"/>
        </w:rPr>
        <w:t xml:space="preserve">, </w:t>
      </w:r>
      <w:proofErr w:type="spellStart"/>
      <w:r w:rsidR="00DC5B4D">
        <w:rPr>
          <w:rFonts w:eastAsia="Times New Roman"/>
          <w:color w:val="000000" w:themeColor="text1"/>
        </w:rPr>
        <w:t>Isacsson</w:t>
      </w:r>
      <w:proofErr w:type="spellEnd"/>
      <w:r w:rsidR="00DC5B4D">
        <w:rPr>
          <w:rFonts w:eastAsia="Times New Roman"/>
          <w:color w:val="000000" w:themeColor="text1"/>
        </w:rPr>
        <w:t xml:space="preserve"> and Merlo, 2003, cited in </w:t>
      </w:r>
      <w:proofErr w:type="spellStart"/>
      <w:r w:rsidR="00DC5B4D">
        <w:rPr>
          <w:rFonts w:eastAsia="Times New Roman"/>
          <w:color w:val="000000" w:themeColor="text1"/>
        </w:rPr>
        <w:t>Ifland</w:t>
      </w:r>
      <w:proofErr w:type="spellEnd"/>
      <w:r w:rsidR="00DC5B4D">
        <w:rPr>
          <w:rFonts w:eastAsia="Times New Roman"/>
          <w:color w:val="000000" w:themeColor="text1"/>
        </w:rPr>
        <w:t xml:space="preserve"> </w:t>
      </w:r>
      <w:r w:rsidR="00DC5B4D" w:rsidRPr="00FF4D51">
        <w:rPr>
          <w:rFonts w:eastAsia="Times New Roman"/>
          <w:i/>
          <w:color w:val="000000" w:themeColor="text1"/>
        </w:rPr>
        <w:t>et al</w:t>
      </w:r>
      <w:r w:rsidR="00DC5B4D">
        <w:rPr>
          <w:rFonts w:eastAsia="Times New Roman"/>
          <w:color w:val="000000" w:themeColor="text1"/>
        </w:rPr>
        <w:t xml:space="preserve">., 2008) </w:t>
      </w:r>
      <w:r w:rsidRPr="00CD25B6">
        <w:rPr>
          <w:rFonts w:eastAsia="Times New Roman"/>
          <w:color w:val="000000" w:themeColor="text1"/>
        </w:rPr>
        <w:t>and economic considerations</w:t>
      </w:r>
      <w:r w:rsidR="00DC5B4D">
        <w:rPr>
          <w:rFonts w:eastAsia="Times New Roman"/>
          <w:color w:val="000000" w:themeColor="text1"/>
        </w:rPr>
        <w:t xml:space="preserve"> (Epstein </w:t>
      </w:r>
      <w:r w:rsidR="00DC5B4D" w:rsidRPr="00DC5B4D">
        <w:rPr>
          <w:rFonts w:eastAsia="Times New Roman"/>
          <w:i/>
          <w:color w:val="000000" w:themeColor="text1"/>
        </w:rPr>
        <w:t>et al.,</w:t>
      </w:r>
      <w:r w:rsidR="00DC5B4D">
        <w:rPr>
          <w:rFonts w:eastAsia="Times New Roman"/>
          <w:color w:val="000000" w:themeColor="text1"/>
        </w:rPr>
        <w:t xml:space="preserve"> 2006; </w:t>
      </w:r>
      <w:proofErr w:type="spellStart"/>
      <w:r w:rsidR="00DC5B4D">
        <w:rPr>
          <w:rFonts w:eastAsia="Times New Roman"/>
          <w:color w:val="000000" w:themeColor="text1"/>
        </w:rPr>
        <w:t>Horgen</w:t>
      </w:r>
      <w:proofErr w:type="spellEnd"/>
      <w:r w:rsidR="00DC5B4D">
        <w:rPr>
          <w:rFonts w:eastAsia="Times New Roman"/>
          <w:color w:val="000000" w:themeColor="text1"/>
        </w:rPr>
        <w:t xml:space="preserve"> </w:t>
      </w:r>
      <w:r w:rsidR="00DC5B4D">
        <w:rPr>
          <w:rFonts w:eastAsia="Times New Roman"/>
          <w:color w:val="000000" w:themeColor="text1"/>
        </w:rPr>
        <w:lastRenderedPageBreak/>
        <w:t>and Brownell, 2002,</w:t>
      </w:r>
      <w:r w:rsidRPr="00CD25B6">
        <w:rPr>
          <w:rFonts w:eastAsia="Times New Roman"/>
          <w:color w:val="000000" w:themeColor="text1"/>
        </w:rPr>
        <w:t xml:space="preserve"> </w:t>
      </w:r>
      <w:r w:rsidR="00DC5B4D">
        <w:rPr>
          <w:rFonts w:eastAsia="Times New Roman"/>
          <w:color w:val="000000" w:themeColor="text1"/>
        </w:rPr>
        <w:t xml:space="preserve">cited in </w:t>
      </w:r>
      <w:proofErr w:type="spellStart"/>
      <w:r w:rsidR="00DC5B4D">
        <w:rPr>
          <w:rFonts w:eastAsia="Times New Roman"/>
          <w:color w:val="000000" w:themeColor="text1"/>
        </w:rPr>
        <w:t>Ifland</w:t>
      </w:r>
      <w:proofErr w:type="spellEnd"/>
      <w:r w:rsidR="00DC5B4D">
        <w:rPr>
          <w:rFonts w:eastAsia="Times New Roman"/>
          <w:color w:val="000000" w:themeColor="text1"/>
        </w:rPr>
        <w:t xml:space="preserve"> </w:t>
      </w:r>
      <w:r w:rsidR="00DC5B4D" w:rsidRPr="00FF4D51">
        <w:rPr>
          <w:rFonts w:eastAsia="Times New Roman"/>
          <w:i/>
          <w:color w:val="000000" w:themeColor="text1"/>
        </w:rPr>
        <w:t>et al</w:t>
      </w:r>
      <w:r w:rsidR="00DC5B4D">
        <w:rPr>
          <w:rFonts w:eastAsia="Times New Roman"/>
          <w:color w:val="000000" w:themeColor="text1"/>
        </w:rPr>
        <w:t>., 2008).</w:t>
      </w:r>
      <w:r w:rsidRPr="000F23E1">
        <w:rPr>
          <w:rFonts w:eastAsia="Times New Roman"/>
          <w:color w:val="FF0000"/>
        </w:rPr>
        <w:t xml:space="preserve"> </w:t>
      </w:r>
      <w:r w:rsidRPr="00CD25B6">
        <w:rPr>
          <w:rFonts w:eastAsia="Times New Roman"/>
          <w:color w:val="000000" w:themeColor="text1"/>
        </w:rPr>
        <w:t>Whilst some or all of these notions could have some degree of explanation, none of them address a critical question; specifically, why do individuals in industrial societies continually overindulge despite desperate and repeated efforts not to? The hypothesis is that the likely reason is that processed foods with high concentrations of carbohydrates (such as flours), sugar or other refined sweeteners, salt, fat, and caffeine are highly addictive substances, and, so consequently, many individuals lose their willpower over their ability to control their consumption of such foods</w:t>
      </w:r>
      <w:r w:rsidR="00FF4D51">
        <w:rPr>
          <w:rFonts w:eastAsia="Times New Roman"/>
          <w:color w:val="000000" w:themeColor="text1"/>
        </w:rPr>
        <w:t xml:space="preserve"> (</w:t>
      </w:r>
      <w:bookmarkStart w:id="10" w:name="_Hlk534023417"/>
      <w:proofErr w:type="spellStart"/>
      <w:r w:rsidR="00FF4D51">
        <w:rPr>
          <w:rFonts w:eastAsia="Times New Roman"/>
          <w:color w:val="000000" w:themeColor="text1"/>
        </w:rPr>
        <w:t>Ifland</w:t>
      </w:r>
      <w:proofErr w:type="spellEnd"/>
      <w:r w:rsidR="00FF4D51">
        <w:rPr>
          <w:rFonts w:eastAsia="Times New Roman"/>
          <w:color w:val="000000" w:themeColor="text1"/>
        </w:rPr>
        <w:t xml:space="preserve"> </w:t>
      </w:r>
      <w:r w:rsidR="00FF4D51" w:rsidRPr="00FF4D51">
        <w:rPr>
          <w:rFonts w:eastAsia="Times New Roman"/>
          <w:i/>
          <w:color w:val="000000" w:themeColor="text1"/>
        </w:rPr>
        <w:t>et al</w:t>
      </w:r>
      <w:r w:rsidR="00FF4D51">
        <w:rPr>
          <w:rFonts w:eastAsia="Times New Roman"/>
          <w:color w:val="000000" w:themeColor="text1"/>
        </w:rPr>
        <w:t>., 2008).</w:t>
      </w:r>
    </w:p>
    <w:bookmarkEnd w:id="10"/>
    <w:p w14:paraId="3B1E6F71" w14:textId="77777777" w:rsidR="003915CB" w:rsidRPr="00CD25B6" w:rsidRDefault="003915CB" w:rsidP="008D270C">
      <w:pPr>
        <w:jc w:val="both"/>
        <w:rPr>
          <w:color w:val="000000" w:themeColor="text1"/>
        </w:rPr>
      </w:pPr>
    </w:p>
    <w:p w14:paraId="7033BE7D" w14:textId="6CD82C8E" w:rsidR="00387A8E" w:rsidRDefault="003915CB" w:rsidP="008D270C">
      <w:pPr>
        <w:spacing w:line="360" w:lineRule="auto"/>
        <w:jc w:val="both"/>
        <w:rPr>
          <w:rFonts w:eastAsia="Times New Roman"/>
          <w:color w:val="000000" w:themeColor="text1"/>
        </w:rPr>
      </w:pPr>
      <w:r w:rsidRPr="00CD25B6">
        <w:rPr>
          <w:rFonts w:eastAsia="Times New Roman"/>
          <w:color w:val="000000" w:themeColor="text1"/>
        </w:rPr>
        <w:t xml:space="preserve">Proposals to limit marketing and improve the composition of unwholesome food with excessive fat, sugar and salt and sugary drinks could contribute to reducing inequities, due to the higher exposure and vulnerability of disadvantaged individuals to marketing </w:t>
      </w:r>
      <w:r w:rsidR="0010182E">
        <w:rPr>
          <w:rFonts w:eastAsia="Times New Roman"/>
          <w:color w:val="000000" w:themeColor="text1"/>
        </w:rPr>
        <w:t>(</w:t>
      </w:r>
      <w:r w:rsidR="0010182E">
        <w:t>WHO, 2014).</w:t>
      </w:r>
      <w:r w:rsidR="0053742A" w:rsidRPr="00CD25B6">
        <w:rPr>
          <w:rFonts w:eastAsia="Times New Roman"/>
          <w:color w:val="000000" w:themeColor="text1"/>
        </w:rPr>
        <w:t xml:space="preserve"> </w:t>
      </w:r>
      <w:r w:rsidRPr="00CD25B6">
        <w:rPr>
          <w:rFonts w:eastAsia="Times New Roman"/>
          <w:color w:val="000000" w:themeColor="text1"/>
        </w:rPr>
        <w:t>Public Health England</w:t>
      </w:r>
      <w:r w:rsidR="0053742A">
        <w:rPr>
          <w:rFonts w:eastAsia="Times New Roman"/>
          <w:color w:val="000000" w:themeColor="text1"/>
        </w:rPr>
        <w:t xml:space="preserve"> (</w:t>
      </w:r>
      <w:r w:rsidRPr="00CD25B6">
        <w:rPr>
          <w:rFonts w:eastAsia="Times New Roman"/>
          <w:color w:val="000000" w:themeColor="text1"/>
        </w:rPr>
        <w:t>201</w:t>
      </w:r>
      <w:r w:rsidR="005A18A2">
        <w:rPr>
          <w:rFonts w:eastAsia="Times New Roman"/>
          <w:color w:val="000000" w:themeColor="text1"/>
        </w:rPr>
        <w:t>5</w:t>
      </w:r>
      <w:r w:rsidRPr="00CD25B6">
        <w:rPr>
          <w:rFonts w:eastAsia="Times New Roman"/>
          <w:color w:val="000000" w:themeColor="text1"/>
        </w:rPr>
        <w:t xml:space="preserve">) </w:t>
      </w:r>
      <w:r w:rsidR="0053742A">
        <w:rPr>
          <w:rFonts w:eastAsia="Times New Roman"/>
          <w:color w:val="000000" w:themeColor="text1"/>
        </w:rPr>
        <w:t>c</w:t>
      </w:r>
      <w:r w:rsidRPr="00CD25B6">
        <w:rPr>
          <w:rFonts w:eastAsia="Times New Roman"/>
          <w:color w:val="000000" w:themeColor="text1"/>
        </w:rPr>
        <w:t>oncluded that there were over 50,000 fast food chains in England, the amount of fast food outlets was mainly found in lower socio-economic areas</w:t>
      </w:r>
      <w:r w:rsidR="0053742A">
        <w:rPr>
          <w:rFonts w:eastAsia="Times New Roman"/>
          <w:color w:val="000000" w:themeColor="text1"/>
        </w:rPr>
        <w:t xml:space="preserve"> (Fenton, 2017). </w:t>
      </w:r>
      <w:r w:rsidRPr="00CD25B6">
        <w:rPr>
          <w:rFonts w:eastAsia="Times New Roman"/>
          <w:color w:val="000000" w:themeColor="text1"/>
        </w:rPr>
        <w:t>Living in the proximity of fast food outlets are found to be associated with a greater consumption of takeaway food, and with BMIs (body mass indexes) up to 1.21 higher than for those less</w:t>
      </w:r>
      <w:r w:rsidR="00387A8E">
        <w:rPr>
          <w:rFonts w:eastAsia="Times New Roman"/>
          <w:color w:val="000000" w:themeColor="text1"/>
        </w:rPr>
        <w:t xml:space="preserve"> </w:t>
      </w:r>
      <w:r w:rsidRPr="00CD25B6">
        <w:rPr>
          <w:rFonts w:eastAsia="Times New Roman"/>
          <w:color w:val="000000" w:themeColor="text1"/>
        </w:rPr>
        <w:t>exposed</w:t>
      </w:r>
      <w:r w:rsidR="00387A8E">
        <w:rPr>
          <w:rFonts w:eastAsia="Times New Roman"/>
          <w:color w:val="000000" w:themeColor="text1"/>
        </w:rPr>
        <w:t xml:space="preserve"> (Chang, Green, </w:t>
      </w:r>
      <w:proofErr w:type="spellStart"/>
      <w:r w:rsidR="00387A8E">
        <w:rPr>
          <w:rFonts w:eastAsia="Times New Roman"/>
          <w:color w:val="000000" w:themeColor="text1"/>
        </w:rPr>
        <w:t>Steinacker</w:t>
      </w:r>
      <w:proofErr w:type="spellEnd"/>
      <w:r w:rsidR="00387A8E">
        <w:rPr>
          <w:rFonts w:eastAsia="Times New Roman"/>
          <w:color w:val="000000" w:themeColor="text1"/>
        </w:rPr>
        <w:t xml:space="preserve"> and </w:t>
      </w:r>
      <w:proofErr w:type="spellStart"/>
      <w:r w:rsidR="00387A8E">
        <w:rPr>
          <w:rFonts w:eastAsia="Times New Roman"/>
          <w:color w:val="000000" w:themeColor="text1"/>
        </w:rPr>
        <w:t>Jonsdottir</w:t>
      </w:r>
      <w:proofErr w:type="spellEnd"/>
      <w:r w:rsidR="00387A8E">
        <w:rPr>
          <w:rFonts w:eastAsia="Times New Roman"/>
          <w:color w:val="000000" w:themeColor="text1"/>
        </w:rPr>
        <w:t>, 2016).</w:t>
      </w:r>
    </w:p>
    <w:p w14:paraId="39A6D1F5" w14:textId="77777777" w:rsidR="00387A8E" w:rsidRDefault="00387A8E" w:rsidP="008D270C">
      <w:pPr>
        <w:spacing w:line="360" w:lineRule="auto"/>
        <w:jc w:val="both"/>
        <w:rPr>
          <w:rStyle w:val="Hyperlink"/>
          <w:rFonts w:eastAsia="Times New Roman"/>
          <w:color w:val="FF0000"/>
        </w:rPr>
      </w:pPr>
    </w:p>
    <w:p w14:paraId="3181081D" w14:textId="3A2C6417" w:rsidR="003915CB" w:rsidRPr="00CD25B6" w:rsidRDefault="003915CB" w:rsidP="008D270C">
      <w:pPr>
        <w:spacing w:line="360" w:lineRule="auto"/>
        <w:jc w:val="both"/>
        <w:rPr>
          <w:rFonts w:eastAsia="Times New Roman"/>
          <w:color w:val="000000" w:themeColor="text1"/>
        </w:rPr>
      </w:pPr>
      <w:r w:rsidRPr="00CD25B6">
        <w:rPr>
          <w:rFonts w:eastAsia="Times New Roman"/>
          <w:color w:val="000000" w:themeColor="text1"/>
        </w:rPr>
        <w:t>There are many factors that disadvantaged groups in society face on a daily basis, which could contribute to obesity levels. Firstly, the lack of availability to fresh produce in their community,</w:t>
      </w:r>
      <w:r>
        <w:rPr>
          <w:rFonts w:eastAsia="Times New Roman"/>
          <w:color w:val="000000" w:themeColor="text1"/>
        </w:rPr>
        <w:t xml:space="preserve"> additionally, </w:t>
      </w:r>
      <w:r w:rsidRPr="00CD25B6">
        <w:rPr>
          <w:rFonts w:eastAsia="Times New Roman"/>
          <w:color w:val="000000" w:themeColor="text1"/>
        </w:rPr>
        <w:t xml:space="preserve">fruit and vegetables can cost up to 30–40% more in poor neighbourhoods </w:t>
      </w:r>
      <w:r w:rsidR="00CC6680">
        <w:rPr>
          <w:rFonts w:eastAsia="Times New Roman"/>
          <w:color w:val="000000" w:themeColor="text1"/>
        </w:rPr>
        <w:t>(Going hungry, 2013, cited in WHO, 2014). L</w:t>
      </w:r>
      <w:r w:rsidRPr="00CD25B6">
        <w:rPr>
          <w:rFonts w:eastAsia="Times New Roman"/>
          <w:color w:val="000000" w:themeColor="text1"/>
        </w:rPr>
        <w:t>iving conditions can be a major contributor in preventing individuals from preparing healthy meals as well as knowledge inadequate facilities for cooking and safe storage, as well as financial hardship, budgeting and planning</w:t>
      </w:r>
      <w:r w:rsidR="00CC6680">
        <w:rPr>
          <w:rFonts w:eastAsia="Times New Roman"/>
          <w:color w:val="000000" w:themeColor="text1"/>
        </w:rPr>
        <w:t xml:space="preserve"> (WHO, 2014).</w:t>
      </w:r>
    </w:p>
    <w:p w14:paraId="68A33F18" w14:textId="77777777" w:rsidR="00CC6680" w:rsidRDefault="00CC6680" w:rsidP="008D270C">
      <w:pPr>
        <w:spacing w:line="360" w:lineRule="auto"/>
        <w:jc w:val="both"/>
        <w:rPr>
          <w:rFonts w:eastAsia="Times New Roman"/>
          <w:color w:val="000000" w:themeColor="text1"/>
        </w:rPr>
      </w:pPr>
    </w:p>
    <w:p w14:paraId="16F7E6CF" w14:textId="07326394" w:rsidR="003915CB" w:rsidRDefault="003915CB" w:rsidP="008D270C">
      <w:pPr>
        <w:spacing w:line="360" w:lineRule="auto"/>
        <w:jc w:val="both"/>
        <w:rPr>
          <w:rFonts w:eastAsia="Times New Roman"/>
          <w:color w:val="000000" w:themeColor="text1"/>
        </w:rPr>
      </w:pPr>
      <w:r w:rsidRPr="00CD25B6">
        <w:rPr>
          <w:rFonts w:eastAsia="Times New Roman"/>
          <w:color w:val="000000" w:themeColor="text1"/>
        </w:rPr>
        <w:t xml:space="preserve">Pregnancy and early childhood are important stages for intervention on inequities in obesity. Significant interventions include: </w:t>
      </w:r>
      <w:r w:rsidR="00EB0EDA">
        <w:rPr>
          <w:rFonts w:eastAsia="Times New Roman"/>
          <w:color w:val="000000" w:themeColor="text1"/>
        </w:rPr>
        <w:t>p</w:t>
      </w:r>
      <w:r w:rsidRPr="00CD25B6">
        <w:rPr>
          <w:rFonts w:eastAsia="Times New Roman"/>
          <w:color w:val="000000" w:themeColor="text1"/>
        </w:rPr>
        <w:t xml:space="preserve">romote healthy weight before, during and after pregnancy, provide support for exclusive breastfeeding until 6 months of age. Public Health England </w:t>
      </w:r>
      <w:r w:rsidR="00EB0EDA">
        <w:rPr>
          <w:rFonts w:eastAsia="Times New Roman"/>
          <w:color w:val="000000" w:themeColor="text1"/>
        </w:rPr>
        <w:t>(</w:t>
      </w:r>
      <w:r w:rsidRPr="00CD25B6">
        <w:rPr>
          <w:rFonts w:eastAsia="Times New Roman"/>
          <w:color w:val="000000" w:themeColor="text1"/>
        </w:rPr>
        <w:t xml:space="preserve">2016) confirms </w:t>
      </w:r>
      <w:r w:rsidR="00EB0EDA">
        <w:rPr>
          <w:rFonts w:eastAsia="Times New Roman"/>
          <w:color w:val="000000" w:themeColor="text1"/>
        </w:rPr>
        <w:t>‘</w:t>
      </w:r>
      <w:r w:rsidRPr="00CD25B6">
        <w:rPr>
          <w:rFonts w:eastAsia="Times New Roman"/>
          <w:color w:val="000000" w:themeColor="text1"/>
        </w:rPr>
        <w:t>that breastfeeding can ultimately save lives, improves health and cuts healthcare costs world-wide, including the UK</w:t>
      </w:r>
      <w:r w:rsidR="00EB0EDA">
        <w:rPr>
          <w:rFonts w:eastAsia="Times New Roman"/>
          <w:color w:val="000000" w:themeColor="text1"/>
        </w:rPr>
        <w:t>’</w:t>
      </w:r>
      <w:r w:rsidRPr="00CD25B6">
        <w:rPr>
          <w:rFonts w:eastAsia="Times New Roman"/>
          <w:color w:val="000000" w:themeColor="text1"/>
        </w:rPr>
        <w:t xml:space="preserve"> (Public Health England, 2016, p. 4). There is a strong case for investing in services to support breastfeeding as part of a local child health strategy. This is especially important for mothers from low income groups, as evidence has shown that breastfeeding protects the health of babies and mothers and reduces the risk of illness </w:t>
      </w:r>
      <w:bookmarkStart w:id="11" w:name="_Hlk531966568"/>
      <w:r w:rsidRPr="00CD25B6">
        <w:rPr>
          <w:rFonts w:eastAsia="Times New Roman"/>
          <w:color w:val="000000" w:themeColor="text1"/>
        </w:rPr>
        <w:t>(Public Health England, 2016).</w:t>
      </w:r>
      <w:bookmarkEnd w:id="11"/>
      <w:r w:rsidRPr="00CD25B6">
        <w:rPr>
          <w:rFonts w:eastAsia="Times New Roman"/>
          <w:color w:val="000000" w:themeColor="text1"/>
        </w:rPr>
        <w:t xml:space="preserve"> </w:t>
      </w:r>
      <w:r w:rsidR="00EB0EDA">
        <w:rPr>
          <w:rFonts w:eastAsia="Times New Roman"/>
          <w:color w:val="000000" w:themeColor="text1"/>
        </w:rPr>
        <w:t>T</w:t>
      </w:r>
      <w:r w:rsidRPr="00CD25B6">
        <w:rPr>
          <w:rFonts w:eastAsia="Times New Roman"/>
          <w:color w:val="000000" w:themeColor="text1"/>
        </w:rPr>
        <w:t xml:space="preserve">he UK is seen to have one of the lowest breastfeeding rates in the world: only 34% of babies are receiving any breastmilk at six months compared </w:t>
      </w:r>
      <w:r w:rsidRPr="00CD25B6">
        <w:rPr>
          <w:rFonts w:eastAsia="Times New Roman"/>
          <w:color w:val="000000" w:themeColor="text1"/>
        </w:rPr>
        <w:lastRenderedPageBreak/>
        <w:t xml:space="preserve">with 71% in Norway. There are social, cultural and economic barriers which mean that many mothers are unable to breastfeed successfully despite genuine efforts to do so. This is a Public health challenge as </w:t>
      </w:r>
      <w:r w:rsidR="00EB0EDA">
        <w:rPr>
          <w:rFonts w:eastAsia="Times New Roman"/>
          <w:color w:val="000000" w:themeColor="text1"/>
        </w:rPr>
        <w:t>i</w:t>
      </w:r>
      <w:r w:rsidRPr="00CD25B6">
        <w:rPr>
          <w:rFonts w:eastAsia="Times New Roman"/>
          <w:color w:val="000000" w:themeColor="text1"/>
        </w:rPr>
        <w:t>mproving breastfeeding rates is not solely the responsibility of individual mothers struggling alone in a culture that can be hostile towards breastfeeding (Public Health England, 2016). It is not always easy finding the resources available for mothers-to-be faced with eligibility rules and agency locations for government aid (Haney, 2018).</w:t>
      </w:r>
    </w:p>
    <w:p w14:paraId="50E396AD" w14:textId="77777777" w:rsidR="00D5393C" w:rsidRPr="00CD25B6" w:rsidRDefault="00D5393C" w:rsidP="008D270C">
      <w:pPr>
        <w:spacing w:line="360" w:lineRule="auto"/>
        <w:jc w:val="both"/>
        <w:rPr>
          <w:rFonts w:eastAsia="Times New Roman"/>
          <w:color w:val="000000" w:themeColor="text1"/>
        </w:rPr>
      </w:pPr>
    </w:p>
    <w:p w14:paraId="1FF51F12" w14:textId="202861DD" w:rsidR="003915CB" w:rsidRPr="00D5393C" w:rsidRDefault="003915CB" w:rsidP="008D270C">
      <w:pPr>
        <w:spacing w:line="360" w:lineRule="auto"/>
        <w:jc w:val="both"/>
        <w:rPr>
          <w:rFonts w:eastAsia="Times New Roman"/>
          <w:color w:val="000000" w:themeColor="text1"/>
        </w:rPr>
      </w:pPr>
      <w:r w:rsidRPr="00CD25B6">
        <w:rPr>
          <w:rFonts w:eastAsia="Times New Roman"/>
          <w:color w:val="000000" w:themeColor="text1"/>
          <w:shd w:val="clear" w:color="auto" w:fill="FFFFFF"/>
        </w:rPr>
        <w:t xml:space="preserve">Additional interventions for early years should include subsidised healthy meals including breakfast in childhood centres </w:t>
      </w:r>
      <w:r w:rsidR="00D5393C">
        <w:rPr>
          <w:rFonts w:eastAsia="Times New Roman"/>
          <w:color w:val="000000" w:themeColor="text1"/>
        </w:rPr>
        <w:t xml:space="preserve">(WHO, 2014). </w:t>
      </w:r>
      <w:r w:rsidRPr="00CD25B6">
        <w:rPr>
          <w:rFonts w:eastAsia="Times New Roman"/>
          <w:color w:val="000000" w:themeColor="text1"/>
        </w:rPr>
        <w:t>Breakfast has been defined as the most important meal of the day, despite breakfast’s positive attributes, countless children attend school without breakfast (Lynch, 1996</w:t>
      </w:r>
      <w:bookmarkStart w:id="12" w:name="_Hlk531967916"/>
      <w:r w:rsidRPr="00CD25B6">
        <w:rPr>
          <w:rFonts w:eastAsia="Times New Roman"/>
          <w:color w:val="000000" w:themeColor="text1"/>
        </w:rPr>
        <w:t xml:space="preserve">, cited in Mahoney </w:t>
      </w:r>
      <w:r w:rsidRPr="00CD25B6">
        <w:rPr>
          <w:rFonts w:eastAsia="Times New Roman"/>
          <w:i/>
          <w:color w:val="000000" w:themeColor="text1"/>
        </w:rPr>
        <w:t>et al.,</w:t>
      </w:r>
      <w:r w:rsidRPr="00CD25B6">
        <w:rPr>
          <w:rFonts w:eastAsia="Times New Roman"/>
          <w:color w:val="000000" w:themeColor="text1"/>
        </w:rPr>
        <w:t xml:space="preserve"> 2005; </w:t>
      </w:r>
      <w:bookmarkEnd w:id="12"/>
      <w:r w:rsidRPr="00CD25B6">
        <w:rPr>
          <w:rFonts w:eastAsia="Times New Roman"/>
          <w:color w:val="000000" w:themeColor="text1"/>
        </w:rPr>
        <w:t xml:space="preserve">Morita, 1972, cited in Mahoney </w:t>
      </w:r>
      <w:r w:rsidRPr="00CD25B6">
        <w:rPr>
          <w:rFonts w:eastAsia="Times New Roman"/>
          <w:i/>
          <w:color w:val="000000" w:themeColor="text1"/>
        </w:rPr>
        <w:t>et al.,</w:t>
      </w:r>
      <w:r w:rsidRPr="00CD25B6">
        <w:rPr>
          <w:rFonts w:eastAsia="Times New Roman"/>
          <w:color w:val="000000" w:themeColor="text1"/>
        </w:rPr>
        <w:t xml:space="preserve"> 2005; Robson, 1971, cited in Mahoney </w:t>
      </w:r>
      <w:r w:rsidRPr="00CD25B6">
        <w:rPr>
          <w:rFonts w:eastAsia="Times New Roman"/>
          <w:i/>
          <w:color w:val="000000" w:themeColor="text1"/>
        </w:rPr>
        <w:t>et al.,</w:t>
      </w:r>
      <w:r w:rsidRPr="00CD25B6">
        <w:rPr>
          <w:rFonts w:eastAsia="Times New Roman"/>
          <w:color w:val="000000" w:themeColor="text1"/>
        </w:rPr>
        <w:t xml:space="preserve"> 2005; Wirths,1976, cited in Mahoney </w:t>
      </w:r>
      <w:r w:rsidRPr="00CD25B6">
        <w:rPr>
          <w:rFonts w:eastAsia="Times New Roman"/>
          <w:i/>
          <w:color w:val="000000" w:themeColor="text1"/>
        </w:rPr>
        <w:t>et al.,</w:t>
      </w:r>
      <w:r w:rsidRPr="00CD25B6">
        <w:rPr>
          <w:rFonts w:eastAsia="Times New Roman"/>
          <w:color w:val="000000" w:themeColor="text1"/>
        </w:rPr>
        <w:t xml:space="preserve"> 2005).  Evidence has suggested that cereal-based breakfast can reduce factors contributing</w:t>
      </w:r>
      <w:r w:rsidRPr="00CD25B6">
        <w:rPr>
          <w:rFonts w:eastAsia="Times New Roman"/>
          <w:color w:val="000000" w:themeColor="text1"/>
          <w:shd w:val="clear" w:color="auto" w:fill="FFFFFF"/>
        </w:rPr>
        <w:t xml:space="preserve"> to obesity and diabetes in young persons</w:t>
      </w:r>
      <w:r>
        <w:rPr>
          <w:rFonts w:eastAsia="Times New Roman"/>
          <w:color w:val="000000" w:themeColor="text1"/>
          <w:shd w:val="clear" w:color="auto" w:fill="FFFFFF"/>
        </w:rPr>
        <w:t>, as the absence of breakfast can lead to binge eating on high calorific food</w:t>
      </w:r>
      <w:r w:rsidR="00D5393C">
        <w:rPr>
          <w:rFonts w:eastAsia="Times New Roman"/>
          <w:color w:val="000000" w:themeColor="text1"/>
          <w:shd w:val="clear" w:color="auto" w:fill="FFFFFF"/>
        </w:rPr>
        <w:t xml:space="preserve"> (Leidy, 2012).</w:t>
      </w:r>
    </w:p>
    <w:p w14:paraId="19B5C856" w14:textId="483F1B33" w:rsidR="003915CB" w:rsidRPr="000F23E1" w:rsidRDefault="003915CB" w:rsidP="008D270C">
      <w:pPr>
        <w:spacing w:line="360" w:lineRule="auto"/>
        <w:jc w:val="both"/>
        <w:rPr>
          <w:rFonts w:eastAsia="Times New Roman"/>
          <w:color w:val="FF0000"/>
        </w:rPr>
      </w:pPr>
    </w:p>
    <w:p w14:paraId="60331B4F" w14:textId="45AE3108" w:rsidR="003915CB" w:rsidRPr="000F23E1" w:rsidRDefault="003915CB" w:rsidP="008D270C">
      <w:pPr>
        <w:spacing w:line="360" w:lineRule="auto"/>
        <w:jc w:val="both"/>
        <w:rPr>
          <w:rFonts w:eastAsia="Times New Roman"/>
          <w:color w:val="FF0000"/>
        </w:rPr>
      </w:pPr>
      <w:r w:rsidRPr="00CD25B6">
        <w:rPr>
          <w:rFonts w:eastAsia="Times New Roman"/>
          <w:color w:val="000000" w:themeColor="text1"/>
        </w:rPr>
        <w:t xml:space="preserve">Schools are ideally placed for many early interventions such as promoting healthy eating, </w:t>
      </w:r>
      <w:r>
        <w:rPr>
          <w:rFonts w:eastAsia="Times New Roman"/>
          <w:color w:val="000000" w:themeColor="text1"/>
        </w:rPr>
        <w:t>as eating behaviours grow throughout the first years of life.  Children learn by observing the eating behaviours of others, which can</w:t>
      </w:r>
      <w:r w:rsidRPr="00DC7FCB">
        <w:rPr>
          <w:rFonts w:eastAsia="Times New Roman"/>
          <w:color w:val="000000"/>
          <w:sz w:val="30"/>
          <w:szCs w:val="30"/>
          <w:shd w:val="clear" w:color="auto" w:fill="FFFFFF"/>
        </w:rPr>
        <w:t xml:space="preserve"> </w:t>
      </w:r>
      <w:r w:rsidRPr="00DC7FCB">
        <w:rPr>
          <w:rFonts w:eastAsia="Times New Roman"/>
          <w:color w:val="000000"/>
          <w:shd w:val="clear" w:color="auto" w:fill="FFFFFF"/>
        </w:rPr>
        <w:t>transition into late childhood and adolescence</w:t>
      </w:r>
      <w:r>
        <w:rPr>
          <w:rFonts w:eastAsia="Times New Roman"/>
          <w:color w:val="000000"/>
          <w:shd w:val="clear" w:color="auto" w:fill="FFFFFF"/>
        </w:rPr>
        <w:t>.</w:t>
      </w:r>
      <w:r w:rsidR="00DF14C0">
        <w:rPr>
          <w:rFonts w:eastAsia="Times New Roman"/>
          <w:color w:val="000000"/>
          <w:shd w:val="clear" w:color="auto" w:fill="FFFFFF"/>
        </w:rPr>
        <w:t xml:space="preserve"> </w:t>
      </w:r>
      <w:bookmarkStart w:id="13" w:name="_Hlk534028484"/>
      <w:r w:rsidR="00DF14C0">
        <w:rPr>
          <w:rFonts w:eastAsia="Times New Roman"/>
          <w:color w:val="000000"/>
          <w:shd w:val="clear" w:color="auto" w:fill="FFFFFF"/>
        </w:rPr>
        <w:t>(Birch, Savage and Ventura, 2007).</w:t>
      </w:r>
      <w:bookmarkEnd w:id="13"/>
      <w:r w:rsidRPr="00DC7FCB">
        <w:t xml:space="preserve"> </w:t>
      </w:r>
      <w:r>
        <w:rPr>
          <w:rFonts w:eastAsia="Times New Roman"/>
          <w:color w:val="000000" w:themeColor="text1"/>
        </w:rPr>
        <w:t xml:space="preserve">Schools can also provide free school meals </w:t>
      </w:r>
      <w:r w:rsidRPr="00CD25B6">
        <w:rPr>
          <w:rFonts w:eastAsia="Times New Roman"/>
          <w:color w:val="000000" w:themeColor="text1"/>
        </w:rPr>
        <w:t>and free fruit and vegetables, which can help improve the dietary intake of children from all backgrounds</w:t>
      </w:r>
      <w:r w:rsidR="00CD70D6">
        <w:rPr>
          <w:rFonts w:eastAsia="Times New Roman"/>
          <w:color w:val="000000" w:themeColor="text1"/>
        </w:rPr>
        <w:t xml:space="preserve"> </w:t>
      </w:r>
      <w:bookmarkStart w:id="14" w:name="_Hlk534029561"/>
      <w:r w:rsidR="00CD70D6">
        <w:rPr>
          <w:rFonts w:eastAsia="Times New Roman"/>
          <w:color w:val="000000" w:themeColor="text1"/>
        </w:rPr>
        <w:t xml:space="preserve">(WHO, 2014). </w:t>
      </w:r>
      <w:bookmarkEnd w:id="14"/>
    </w:p>
    <w:p w14:paraId="23AB9D83" w14:textId="79C77BF2" w:rsidR="003915CB" w:rsidRPr="000F23E1" w:rsidRDefault="00DF14C0" w:rsidP="008D270C">
      <w:pPr>
        <w:spacing w:line="360" w:lineRule="auto"/>
        <w:jc w:val="both"/>
        <w:rPr>
          <w:rFonts w:eastAsia="Times New Roman"/>
          <w:color w:val="FF0000"/>
        </w:rPr>
      </w:pPr>
      <w:r>
        <w:rPr>
          <w:rFonts w:eastAsia="Times New Roman"/>
          <w:color w:val="000000" w:themeColor="text1"/>
        </w:rPr>
        <w:t>D</w:t>
      </w:r>
      <w:r w:rsidR="003915CB" w:rsidRPr="00CD25B6">
        <w:rPr>
          <w:rFonts w:eastAsia="Times New Roman"/>
          <w:color w:val="000000" w:themeColor="text1"/>
        </w:rPr>
        <w:t>ietary recommendations of fruit and vegetables can play a significant role in health, due to their vitamins, minerals, dietary fibre, flavonoids and antioxidants. Reduced fruit and vegetables is associated to poor health and an increased risk to noncommunicable diseases. An estimated 5.2 million deaths globally were attributable to insufficient fruit and vegetable consumption in 2013</w:t>
      </w:r>
      <w:r w:rsidR="00D430CF">
        <w:rPr>
          <w:rFonts w:eastAsia="Times New Roman"/>
          <w:color w:val="FF0000"/>
        </w:rPr>
        <w:t xml:space="preserve"> </w:t>
      </w:r>
      <w:r w:rsidR="00D430CF">
        <w:rPr>
          <w:rFonts w:eastAsia="Times New Roman"/>
          <w:color w:val="000000" w:themeColor="text1"/>
        </w:rPr>
        <w:t xml:space="preserve">(WHO, 2018). </w:t>
      </w:r>
      <w:r w:rsidR="00D430CF">
        <w:rPr>
          <w:rFonts w:eastAsia="Times New Roman"/>
          <w:color w:val="FF0000"/>
        </w:rPr>
        <w:t xml:space="preserve"> </w:t>
      </w:r>
      <w:r w:rsidR="003915CB" w:rsidRPr="000F23E1">
        <w:rPr>
          <w:rFonts w:eastAsia="Times New Roman"/>
          <w:color w:val="FF0000"/>
        </w:rPr>
        <w:t xml:space="preserve"> </w:t>
      </w:r>
    </w:p>
    <w:p w14:paraId="09C66F14" w14:textId="77777777" w:rsidR="003915CB" w:rsidRDefault="003915CB" w:rsidP="008D270C">
      <w:pPr>
        <w:spacing w:line="360" w:lineRule="auto"/>
        <w:jc w:val="both"/>
        <w:rPr>
          <w:color w:val="000000" w:themeColor="text1"/>
        </w:rPr>
      </w:pPr>
    </w:p>
    <w:p w14:paraId="4225DA67" w14:textId="13B6C67D" w:rsidR="003915CB" w:rsidRDefault="003915CB" w:rsidP="008D270C">
      <w:pPr>
        <w:spacing w:line="360" w:lineRule="auto"/>
        <w:jc w:val="both"/>
        <w:rPr>
          <w:rFonts w:eastAsia="Times New Roman"/>
          <w:color w:val="000000" w:themeColor="text1"/>
          <w:shd w:val="clear" w:color="auto" w:fill="FFFFFF"/>
        </w:rPr>
      </w:pPr>
      <w:r w:rsidRPr="00CD25B6">
        <w:rPr>
          <w:color w:val="000000" w:themeColor="text1"/>
        </w:rPr>
        <w:t>The National Health Survey for 2016/17 acknowledged that children in disadvantaged areas of Wales, 53% consumed vegetables and 69% consumed fruit everyday compared to 70% eating vegetables and 78% eating fruit every day in the more wealthier areas</w:t>
      </w:r>
      <w:r w:rsidR="00D31709" w:rsidRPr="00D31709">
        <w:rPr>
          <w:color w:val="000000" w:themeColor="text1"/>
        </w:rPr>
        <w:t xml:space="preserve"> </w:t>
      </w:r>
      <w:r w:rsidR="00D31709" w:rsidRPr="00CD25B6">
        <w:rPr>
          <w:color w:val="000000" w:themeColor="text1"/>
        </w:rPr>
        <w:t>(</w:t>
      </w:r>
      <w:r w:rsidR="00D31709" w:rsidRPr="000C5B6F">
        <w:rPr>
          <w:rFonts w:eastAsia="Times New Roman"/>
        </w:rPr>
        <w:t xml:space="preserve">NHS </w:t>
      </w:r>
      <w:r w:rsidR="00D31709">
        <w:rPr>
          <w:rFonts w:eastAsia="Times New Roman"/>
        </w:rPr>
        <w:t xml:space="preserve">Wales, </w:t>
      </w:r>
      <w:r w:rsidR="00D31709" w:rsidRPr="000C5B6F">
        <w:rPr>
          <w:rFonts w:eastAsia="Times New Roman"/>
        </w:rPr>
        <w:t>201</w:t>
      </w:r>
      <w:r w:rsidR="00D31709">
        <w:rPr>
          <w:rFonts w:eastAsia="Times New Roman"/>
        </w:rPr>
        <w:t>8</w:t>
      </w:r>
      <w:r w:rsidR="00D31709" w:rsidRPr="00CD25B6">
        <w:rPr>
          <w:color w:val="000000" w:themeColor="text1"/>
        </w:rPr>
        <w:t>).</w:t>
      </w:r>
      <w:r w:rsidRPr="00CD25B6">
        <w:rPr>
          <w:color w:val="000000" w:themeColor="text1"/>
        </w:rPr>
        <w:t xml:space="preserve"> Furthermore, adults in Wales are not consuming the recommended guidelines, with as little as 20% reporting to eat 5 or more portions of fruit and vegetables per day in the more affluent areas </w:t>
      </w:r>
      <w:bookmarkStart w:id="15" w:name="_Hlk534114120"/>
      <w:r w:rsidRPr="00CD25B6">
        <w:rPr>
          <w:color w:val="000000" w:themeColor="text1"/>
        </w:rPr>
        <w:t>(</w:t>
      </w:r>
      <w:r w:rsidR="008B6A73" w:rsidRPr="000C5B6F">
        <w:rPr>
          <w:rFonts w:eastAsia="Times New Roman"/>
        </w:rPr>
        <w:t xml:space="preserve">NHS </w:t>
      </w:r>
      <w:r w:rsidR="008B6A73">
        <w:rPr>
          <w:rFonts w:eastAsia="Times New Roman"/>
        </w:rPr>
        <w:t xml:space="preserve">Wales, </w:t>
      </w:r>
      <w:r w:rsidR="008B6A73" w:rsidRPr="000C5B6F">
        <w:rPr>
          <w:rFonts w:eastAsia="Times New Roman"/>
        </w:rPr>
        <w:t>201</w:t>
      </w:r>
      <w:r w:rsidR="008B6A73">
        <w:rPr>
          <w:rFonts w:eastAsia="Times New Roman"/>
        </w:rPr>
        <w:t>8</w:t>
      </w:r>
      <w:r w:rsidRPr="00CD25B6">
        <w:rPr>
          <w:color w:val="000000" w:themeColor="text1"/>
        </w:rPr>
        <w:t>).</w:t>
      </w:r>
      <w:r w:rsidRPr="00CD25B6">
        <w:rPr>
          <w:rFonts w:eastAsia="Times New Roman"/>
          <w:color w:val="000000" w:themeColor="text1"/>
        </w:rPr>
        <w:t xml:space="preserve"> </w:t>
      </w:r>
      <w:r w:rsidR="008B6A73">
        <w:rPr>
          <w:rFonts w:eastAsia="Times New Roman"/>
          <w:color w:val="FF0000"/>
        </w:rPr>
        <w:t xml:space="preserve"> </w:t>
      </w:r>
      <w:bookmarkEnd w:id="15"/>
      <w:r w:rsidRPr="00CD25B6">
        <w:rPr>
          <w:color w:val="000000" w:themeColor="text1"/>
        </w:rPr>
        <w:t xml:space="preserve">Additionally, </w:t>
      </w:r>
      <w:r w:rsidRPr="00CD25B6">
        <w:rPr>
          <w:rFonts w:eastAsia="Times New Roman"/>
          <w:color w:val="000000" w:themeColor="text1"/>
        </w:rPr>
        <w:t xml:space="preserve">epidemiological researchers have consistently shown </w:t>
      </w:r>
      <w:r w:rsidRPr="00CD25B6">
        <w:rPr>
          <w:rFonts w:eastAsia="Times New Roman"/>
          <w:color w:val="000000" w:themeColor="text1"/>
        </w:rPr>
        <w:lastRenderedPageBreak/>
        <w:t xml:space="preserve">that most types of fruit consumed in </w:t>
      </w:r>
      <w:r w:rsidRPr="00CD25B6">
        <w:rPr>
          <w:color w:val="000000" w:themeColor="text1"/>
        </w:rPr>
        <w:t xml:space="preserve">adequate amounts </w:t>
      </w:r>
      <w:r w:rsidRPr="00CD25B6">
        <w:rPr>
          <w:rFonts w:eastAsia="Times New Roman"/>
          <w:color w:val="000000" w:themeColor="text1"/>
          <w:shd w:val="clear" w:color="auto" w:fill="FFFFFF"/>
        </w:rPr>
        <w:t>have anti-obesity effects</w:t>
      </w:r>
      <w:r w:rsidR="00C0160B">
        <w:rPr>
          <w:rFonts w:eastAsia="Times New Roman"/>
          <w:color w:val="000000" w:themeColor="text1"/>
          <w:shd w:val="clear" w:color="auto" w:fill="FFFFFF"/>
        </w:rPr>
        <w:t xml:space="preserve"> (Sharma, Chung, Kim and Hong, 2016). </w:t>
      </w:r>
    </w:p>
    <w:p w14:paraId="4BFE6DEA" w14:textId="77777777" w:rsidR="00C0160B" w:rsidRPr="008B6A73" w:rsidRDefault="00C0160B" w:rsidP="008D270C">
      <w:pPr>
        <w:spacing w:line="360" w:lineRule="auto"/>
        <w:jc w:val="both"/>
        <w:rPr>
          <w:rFonts w:eastAsia="Times New Roman"/>
          <w:color w:val="FF0000"/>
        </w:rPr>
      </w:pPr>
    </w:p>
    <w:p w14:paraId="2E5EEA57" w14:textId="773995F9" w:rsidR="003915CB" w:rsidRPr="00CD25B6" w:rsidRDefault="003915CB" w:rsidP="008D270C">
      <w:pPr>
        <w:spacing w:line="360" w:lineRule="auto"/>
        <w:jc w:val="both"/>
        <w:rPr>
          <w:rFonts w:eastAsia="Times New Roman"/>
          <w:color w:val="000000" w:themeColor="text1"/>
        </w:rPr>
      </w:pPr>
      <w:r w:rsidRPr="00CD25B6">
        <w:rPr>
          <w:rFonts w:eastAsia="Times New Roman"/>
          <w:color w:val="000000" w:themeColor="text1"/>
        </w:rPr>
        <w:t>In 2015, the UK advertising expenditure for fruit and vegetables amounted to an inadequate £15 million pounds, compared to £200m on confectionery and snacks and an additional £87m on soft drinks (</w:t>
      </w:r>
      <w:r w:rsidR="009D414C">
        <w:rPr>
          <w:rFonts w:eastAsia="Times New Roman"/>
          <w:color w:val="000000" w:themeColor="text1"/>
        </w:rPr>
        <w:t>Nielsen, 2016, cited in Food Foundation, 2016</w:t>
      </w:r>
      <w:r w:rsidRPr="00CD25B6">
        <w:rPr>
          <w:rFonts w:eastAsia="Times New Roman"/>
          <w:color w:val="000000" w:themeColor="text1"/>
        </w:rPr>
        <w:t>). In the Child Obesity Proposal, the government has assured to remove sugar in a variety of products that contribute to children’s sugar intake by at least 20% by 2020. The Child Obesity Strategy, published by the government in August 2016, failed to bring in tighter controls on advertising to children even though this was recommended by Public Health England, the body that advises the government</w:t>
      </w:r>
      <w:r w:rsidR="00806008">
        <w:rPr>
          <w:rFonts w:eastAsia="Times New Roman"/>
          <w:color w:val="000000" w:themeColor="text1"/>
        </w:rPr>
        <w:t xml:space="preserve"> </w:t>
      </w:r>
      <w:bookmarkStart w:id="16" w:name="_Hlk534032659"/>
      <w:r w:rsidR="00806008">
        <w:rPr>
          <w:rFonts w:eastAsia="Times New Roman"/>
          <w:color w:val="000000" w:themeColor="text1"/>
        </w:rPr>
        <w:t>(Food Foundation, 2016).</w:t>
      </w:r>
    </w:p>
    <w:bookmarkEnd w:id="16"/>
    <w:p w14:paraId="0F6D307B" w14:textId="77777777" w:rsidR="00806008" w:rsidRDefault="00806008" w:rsidP="008D270C">
      <w:pPr>
        <w:spacing w:line="360" w:lineRule="auto"/>
        <w:jc w:val="both"/>
        <w:rPr>
          <w:rStyle w:val="Hyperlink"/>
          <w:rFonts w:eastAsia="Times New Roman"/>
          <w:color w:val="FF0000"/>
          <w:shd w:val="clear" w:color="auto" w:fill="FFFFFF"/>
        </w:rPr>
      </w:pPr>
    </w:p>
    <w:p w14:paraId="5ADB6AF7" w14:textId="3C6787FB" w:rsidR="003915CB" w:rsidRPr="003915CB" w:rsidRDefault="003915CB" w:rsidP="008D270C">
      <w:pPr>
        <w:spacing w:line="360" w:lineRule="auto"/>
        <w:jc w:val="both"/>
        <w:rPr>
          <w:rFonts w:eastAsia="Times New Roman"/>
          <w:color w:val="FF0000"/>
        </w:rPr>
      </w:pPr>
      <w:r>
        <w:rPr>
          <w:rFonts w:eastAsia="Times New Roman"/>
        </w:rPr>
        <w:t>Throughout previous years, the effects on health of obesity, insufficient nutrition and inadequate physical activity have been well documented and cover health outcomes such as depression, type 2 diabetes, cancer, hypertension and</w:t>
      </w:r>
      <w:r w:rsidRPr="009B15A6">
        <w:rPr>
          <w:rFonts w:eastAsia="Times New Roman"/>
        </w:rPr>
        <w:t xml:space="preserve"> </w:t>
      </w:r>
      <w:r>
        <w:rPr>
          <w:rFonts w:eastAsia="Times New Roman"/>
        </w:rPr>
        <w:t>cardiovascular diseases</w:t>
      </w:r>
      <w:r w:rsidR="009D414C">
        <w:rPr>
          <w:rFonts w:eastAsia="Times New Roman"/>
        </w:rPr>
        <w:t xml:space="preserve"> (WHO, 2013). </w:t>
      </w:r>
    </w:p>
    <w:p w14:paraId="39A111EC" w14:textId="40A51C83" w:rsidR="008A4799" w:rsidRDefault="003915CB" w:rsidP="008D270C">
      <w:pPr>
        <w:pStyle w:val="NormalWeb"/>
        <w:shd w:val="clear" w:color="auto" w:fill="FFFFFF"/>
        <w:spacing w:before="75" w:beforeAutospacing="0" w:after="450" w:afterAutospacing="0" w:line="360" w:lineRule="auto"/>
        <w:jc w:val="both"/>
        <w:rPr>
          <w:rStyle w:val="Hyperlink"/>
          <w:rFonts w:eastAsia="Times New Roman"/>
        </w:rPr>
      </w:pPr>
      <w:r w:rsidRPr="008A4799">
        <w:rPr>
          <w:rFonts w:eastAsia="Times New Roman"/>
        </w:rPr>
        <w:t xml:space="preserve">WHO </w:t>
      </w:r>
      <w:r w:rsidR="008A4799" w:rsidRPr="008A4799">
        <w:rPr>
          <w:rFonts w:eastAsia="Times New Roman"/>
        </w:rPr>
        <w:t>(2017</w:t>
      </w:r>
      <w:r w:rsidRPr="008A4799">
        <w:rPr>
          <w:rFonts w:eastAsia="Times New Roman"/>
        </w:rPr>
        <w:t xml:space="preserve">) </w:t>
      </w:r>
      <w:r w:rsidRPr="005E75BB">
        <w:rPr>
          <w:rFonts w:eastAsia="Times New Roman"/>
          <w:color w:val="000000" w:themeColor="text1"/>
        </w:rPr>
        <w:t xml:space="preserve">highlights that </w:t>
      </w:r>
      <w:r>
        <w:rPr>
          <w:rFonts w:eastAsia="Times New Roman"/>
        </w:rPr>
        <w:t>Cardiovascular disease (CVDs) has the highest percentages of death world-wide, an estimation of 17.9 million individuals died from (CVDs) in 2016, 85% died from heart attacks. Furthermore</w:t>
      </w:r>
      <w:r w:rsidR="00EB0EDA">
        <w:rPr>
          <w:rFonts w:eastAsia="Times New Roman"/>
        </w:rPr>
        <w:t>,</w:t>
      </w:r>
      <w:r>
        <w:rPr>
          <w:rFonts w:eastAsia="Times New Roman"/>
        </w:rPr>
        <w:t xml:space="preserve"> 17 million premature deaths due to </w:t>
      </w:r>
      <w:r w:rsidR="00901953">
        <w:rPr>
          <w:rFonts w:eastAsia="Times New Roman"/>
        </w:rPr>
        <w:t>noncommunicable</w:t>
      </w:r>
      <w:r>
        <w:rPr>
          <w:rFonts w:eastAsia="Times New Roman"/>
        </w:rPr>
        <w:t xml:space="preserve"> diseases in 2015 82% were from low-middle income countries</w:t>
      </w:r>
      <w:r w:rsidR="008A4799" w:rsidRPr="008A4799">
        <w:rPr>
          <w:rFonts w:eastAsia="Times New Roman"/>
        </w:rPr>
        <w:t xml:space="preserve"> </w:t>
      </w:r>
      <w:r w:rsidR="00EB0EDA">
        <w:rPr>
          <w:rFonts w:eastAsia="Times New Roman"/>
        </w:rPr>
        <w:t>(</w:t>
      </w:r>
      <w:r w:rsidR="008A4799" w:rsidRPr="008A4799">
        <w:rPr>
          <w:rFonts w:eastAsia="Times New Roman"/>
        </w:rPr>
        <w:t>WHO</w:t>
      </w:r>
      <w:r w:rsidR="00EB0EDA">
        <w:rPr>
          <w:rFonts w:eastAsia="Times New Roman"/>
        </w:rPr>
        <w:t xml:space="preserve">, </w:t>
      </w:r>
      <w:r w:rsidR="008A4799" w:rsidRPr="008A4799">
        <w:rPr>
          <w:rFonts w:eastAsia="Times New Roman"/>
        </w:rPr>
        <w:t>2017)</w:t>
      </w:r>
      <w:r w:rsidR="008A4799">
        <w:rPr>
          <w:rFonts w:eastAsia="Times New Roman"/>
        </w:rPr>
        <w:t xml:space="preserve">. </w:t>
      </w:r>
      <w:r>
        <w:rPr>
          <w:rFonts w:eastAsia="Times New Roman"/>
          <w:color w:val="000000" w:themeColor="text1"/>
        </w:rPr>
        <w:t>M</w:t>
      </w:r>
      <w:r w:rsidRPr="005E75BB">
        <w:rPr>
          <w:rFonts w:eastAsia="Times New Roman"/>
          <w:color w:val="000000" w:themeColor="text1"/>
        </w:rPr>
        <w:t>ost cardiovascular diseases can be prevented by risk factors such as obesity, poor diet, smoking, alcohol, and physical inactivity</w:t>
      </w:r>
      <w:r w:rsidR="008A4799">
        <w:rPr>
          <w:rFonts w:eastAsia="Times New Roman"/>
          <w:color w:val="000000" w:themeColor="text1"/>
        </w:rPr>
        <w:t xml:space="preserve"> </w:t>
      </w:r>
      <w:bookmarkStart w:id="17" w:name="_Hlk534033394"/>
      <w:r w:rsidR="008A4799">
        <w:rPr>
          <w:rFonts w:eastAsia="Times New Roman"/>
          <w:color w:val="000000" w:themeColor="text1"/>
        </w:rPr>
        <w:t xml:space="preserve">(National Heart, Lung and Blood Institute, 2018). </w:t>
      </w:r>
      <w:bookmarkEnd w:id="17"/>
      <w:r w:rsidRPr="005E75BB">
        <w:rPr>
          <w:rFonts w:eastAsia="Times New Roman"/>
          <w:color w:val="000000" w:themeColor="text1"/>
        </w:rPr>
        <w:t xml:space="preserve">If you </w:t>
      </w:r>
      <w:r>
        <w:rPr>
          <w:rFonts w:eastAsia="Times New Roman"/>
        </w:rPr>
        <w:t xml:space="preserve">are regularly physically active you could significantly lower the risk of heart disease, as exercise strengthens muscles, and helps your heart work more efficient by pumping blood through the body allowing the heart to beat slower keeping blood pressure under control. Being active regularly, allows healthier blood flow in the small vessels around the heart reducing the risk of clogged arteries which can lead to a heart attack </w:t>
      </w:r>
      <w:r w:rsidR="008A4799">
        <w:rPr>
          <w:rFonts w:eastAsia="Times New Roman"/>
          <w:color w:val="000000" w:themeColor="text1"/>
        </w:rPr>
        <w:t xml:space="preserve">(National Heart, Lung and Blood Institute, 2018). </w:t>
      </w:r>
      <w:r>
        <w:rPr>
          <w:rFonts w:eastAsia="Times New Roman"/>
        </w:rPr>
        <w:t xml:space="preserve">Exercise increases levels of </w:t>
      </w:r>
      <w:r w:rsidRPr="00A3284E">
        <w:rPr>
          <w:color w:val="000000"/>
        </w:rPr>
        <w:t>HDL cholesterol</w:t>
      </w:r>
      <w:r>
        <w:rPr>
          <w:color w:val="000000"/>
        </w:rPr>
        <w:t xml:space="preserve">, the good </w:t>
      </w:r>
      <w:r w:rsidRPr="00A3284E">
        <w:rPr>
          <w:color w:val="000000"/>
        </w:rPr>
        <w:t>cholesterol</w:t>
      </w:r>
      <w:r>
        <w:rPr>
          <w:color w:val="000000"/>
        </w:rPr>
        <w:t xml:space="preserve"> that decreases heart disease risk by clearing the artery of LDL </w:t>
      </w:r>
      <w:r w:rsidRPr="00A3284E">
        <w:rPr>
          <w:color w:val="000000"/>
        </w:rPr>
        <w:t>cholesterol</w:t>
      </w:r>
      <w:r w:rsidR="00986C6C">
        <w:rPr>
          <w:color w:val="000000"/>
        </w:rPr>
        <w:t>,</w:t>
      </w:r>
      <w:r>
        <w:rPr>
          <w:color w:val="000000"/>
        </w:rPr>
        <w:t xml:space="preserve"> bad cholesterol out of the system</w:t>
      </w:r>
      <w:r w:rsidR="008A4799">
        <w:rPr>
          <w:color w:val="000000"/>
        </w:rPr>
        <w:t xml:space="preserve"> </w:t>
      </w:r>
      <w:r w:rsidR="008A4799">
        <w:rPr>
          <w:rFonts w:eastAsia="Times New Roman"/>
          <w:color w:val="000000" w:themeColor="text1"/>
        </w:rPr>
        <w:t xml:space="preserve">(National Heart, Lung and Blood Institute, 2018). </w:t>
      </w:r>
    </w:p>
    <w:p w14:paraId="2EA37959" w14:textId="19AD2E50" w:rsidR="00B11EE1" w:rsidRDefault="003915CB" w:rsidP="008D270C">
      <w:pPr>
        <w:pStyle w:val="NormalWeb"/>
        <w:shd w:val="clear" w:color="auto" w:fill="FFFFFF"/>
        <w:spacing w:before="75" w:beforeAutospacing="0" w:after="450" w:afterAutospacing="0" w:line="360" w:lineRule="auto"/>
        <w:jc w:val="both"/>
        <w:rPr>
          <w:rFonts w:eastAsia="Times New Roman"/>
          <w:color w:val="FF0000"/>
        </w:rPr>
      </w:pPr>
      <w:r w:rsidRPr="00E3080F">
        <w:rPr>
          <w:rFonts w:eastAsia="Times New Roman"/>
          <w:color w:val="000000" w:themeColor="text1"/>
        </w:rPr>
        <w:t>Physical inactivity is one of the 10 leading risk factors world-wide, insufficient exercise can increase all causes of mortality by 20%-30%</w:t>
      </w:r>
      <w:r w:rsidR="00446F33">
        <w:rPr>
          <w:rFonts w:eastAsia="Times New Roman"/>
          <w:color w:val="000000" w:themeColor="text1"/>
        </w:rPr>
        <w:t xml:space="preserve"> (WHO, 2018). </w:t>
      </w:r>
      <w:r w:rsidRPr="00E3080F">
        <w:rPr>
          <w:color w:val="000000" w:themeColor="text1"/>
        </w:rPr>
        <w:t>Th</w:t>
      </w:r>
      <w:r>
        <w:t xml:space="preserve">e recommended physical exercise for children aged 5-7 should accumulate to 60 minutes per day </w:t>
      </w:r>
      <w:r>
        <w:rPr>
          <w:rFonts w:eastAsia="Times New Roman"/>
          <w:color w:val="000000" w:themeColor="text1"/>
        </w:rPr>
        <w:t xml:space="preserve">Adult should </w:t>
      </w:r>
      <w:r>
        <w:rPr>
          <w:rFonts w:eastAsia="Times New Roman"/>
          <w:color w:val="000000" w:themeColor="text1"/>
        </w:rPr>
        <w:lastRenderedPageBreak/>
        <w:t xml:space="preserve">accumulate to at least 150 minutes per week, any more than the recommended can </w:t>
      </w:r>
      <w:r w:rsidRPr="001C5506">
        <w:rPr>
          <w:rFonts w:eastAsia="Times New Roman"/>
          <w:color w:val="333333"/>
        </w:rPr>
        <w:t>provide additional health</w:t>
      </w:r>
      <w:r w:rsidRPr="00446F33">
        <w:rPr>
          <w:rFonts w:eastAsia="Times New Roman"/>
        </w:rPr>
        <w:t xml:space="preserve"> benefits </w:t>
      </w:r>
      <w:r w:rsidR="00446F33">
        <w:rPr>
          <w:rFonts w:eastAsia="Times New Roman"/>
          <w:color w:val="000000" w:themeColor="text1"/>
        </w:rPr>
        <w:t xml:space="preserve">(WHO, 2018).  </w:t>
      </w:r>
    </w:p>
    <w:p w14:paraId="50730939" w14:textId="49289AEE" w:rsidR="00B11EE1" w:rsidRDefault="00B11EE1" w:rsidP="008D270C">
      <w:pPr>
        <w:pStyle w:val="NormalWeb"/>
        <w:shd w:val="clear" w:color="auto" w:fill="FFFFFF"/>
        <w:spacing w:before="75" w:beforeAutospacing="0" w:after="450" w:afterAutospacing="0" w:line="360" w:lineRule="auto"/>
        <w:jc w:val="both"/>
        <w:rPr>
          <w:rFonts w:eastAsia="Times New Roman"/>
          <w:color w:val="FF0000"/>
          <w:shd w:val="clear" w:color="auto" w:fill="FFFFFF"/>
        </w:rPr>
      </w:pPr>
      <w:bookmarkStart w:id="18" w:name="_Hlk534033921"/>
      <w:r w:rsidRPr="003C18B5">
        <w:rPr>
          <w:rFonts w:eastAsia="Times New Roman"/>
        </w:rPr>
        <w:t>WHO</w:t>
      </w:r>
      <w:r w:rsidR="003C18B5">
        <w:rPr>
          <w:rFonts w:eastAsia="Times New Roman"/>
        </w:rPr>
        <w:t xml:space="preserve"> (2018</w:t>
      </w:r>
      <w:r w:rsidRPr="003C18B5">
        <w:rPr>
          <w:rFonts w:eastAsia="Times New Roman"/>
        </w:rPr>
        <w:t xml:space="preserve">) </w:t>
      </w:r>
      <w:bookmarkEnd w:id="18"/>
      <w:r w:rsidRPr="003C18B5">
        <w:rPr>
          <w:rFonts w:eastAsia="Times New Roman"/>
        </w:rPr>
        <w:t xml:space="preserve">Draws our attention to </w:t>
      </w:r>
      <w:r w:rsidRPr="00B60D63">
        <w:rPr>
          <w:rFonts w:eastAsia="Times New Roman"/>
          <w:color w:val="000000" w:themeColor="text1"/>
        </w:rPr>
        <w:t>Policies and strategies to tackle physical inactivity that have been developed in approximately 80% of WHO Member States, however, these were only active in only 56% of the countries in 2013</w:t>
      </w:r>
      <w:r w:rsidR="00986C6C">
        <w:rPr>
          <w:rFonts w:eastAsia="Times New Roman"/>
          <w:color w:val="000000" w:themeColor="text1"/>
        </w:rPr>
        <w:t>.</w:t>
      </w:r>
      <w:r w:rsidRPr="00B60D63">
        <w:rPr>
          <w:rFonts w:eastAsia="Times New Roman"/>
          <w:color w:val="000000" w:themeColor="text1"/>
        </w:rPr>
        <w:t xml:space="preserve"> Who Member </w:t>
      </w:r>
      <w:r w:rsidR="00986C6C">
        <w:rPr>
          <w:rFonts w:eastAsia="Times New Roman"/>
          <w:color w:val="000000" w:themeColor="text1"/>
        </w:rPr>
        <w:t>S</w:t>
      </w:r>
      <w:r w:rsidRPr="00B60D63">
        <w:rPr>
          <w:rFonts w:eastAsia="Times New Roman"/>
          <w:color w:val="000000" w:themeColor="text1"/>
        </w:rPr>
        <w:t>tates have agreed to lower insufficient physical activity by 10% by 2025.</w:t>
      </w:r>
      <w:r w:rsidR="00986C6C">
        <w:rPr>
          <w:rFonts w:eastAsia="Times New Roman"/>
          <w:color w:val="000000" w:themeColor="text1"/>
        </w:rPr>
        <w:t xml:space="preserve"> </w:t>
      </w:r>
      <w:r w:rsidRPr="00B60D63">
        <w:rPr>
          <w:rFonts w:eastAsia="Times New Roman"/>
          <w:color w:val="000000" w:themeColor="text1"/>
          <w:shd w:val="clear" w:color="auto" w:fill="FFFFFF"/>
        </w:rPr>
        <w:t>The occurrence of inadequate physical activity rose according to the level of income, for both men and women, with 32% of men and 42% of women being insufficiently physically active in high income countries as compared to 13% of men and 19% of women in low income countries</w:t>
      </w:r>
      <w:r w:rsidR="003C18B5">
        <w:rPr>
          <w:rFonts w:eastAsia="Times New Roman"/>
          <w:color w:val="000000" w:themeColor="text1"/>
          <w:shd w:val="clear" w:color="auto" w:fill="FFFFFF"/>
        </w:rPr>
        <w:t xml:space="preserve"> (</w:t>
      </w:r>
      <w:bookmarkStart w:id="19" w:name="_Hlk534033953"/>
      <w:r w:rsidR="003C18B5" w:rsidRPr="003C18B5">
        <w:rPr>
          <w:rFonts w:eastAsia="Times New Roman"/>
        </w:rPr>
        <w:t>WHO</w:t>
      </w:r>
      <w:r w:rsidR="003C18B5">
        <w:rPr>
          <w:rFonts w:eastAsia="Times New Roman"/>
        </w:rPr>
        <w:t>, 2018</w:t>
      </w:r>
      <w:r w:rsidR="003C18B5" w:rsidRPr="003C18B5">
        <w:rPr>
          <w:rFonts w:eastAsia="Times New Roman"/>
        </w:rPr>
        <w:t>)</w:t>
      </w:r>
      <w:r w:rsidR="003C18B5">
        <w:rPr>
          <w:rFonts w:eastAsia="Times New Roman"/>
        </w:rPr>
        <w:t>.</w:t>
      </w:r>
      <w:r w:rsidR="003C18B5" w:rsidRPr="003C18B5">
        <w:rPr>
          <w:rFonts w:eastAsia="Times New Roman"/>
        </w:rPr>
        <w:t xml:space="preserve"> </w:t>
      </w:r>
      <w:bookmarkEnd w:id="19"/>
      <w:r w:rsidRPr="00B60D63">
        <w:rPr>
          <w:rFonts w:eastAsia="Times New Roman"/>
          <w:color w:val="000000" w:themeColor="text1"/>
          <w:shd w:val="clear" w:color="auto" w:fill="FFFFFF"/>
        </w:rPr>
        <w:t>In wealthier- income countries, the change regarding more inactive occupations, recreation and motorised transport might describe the higher levels of inactivity, whilst in the poorer-</w:t>
      </w:r>
      <w:r w:rsidRPr="000F23E1">
        <w:rPr>
          <w:rFonts w:eastAsia="Times New Roman"/>
          <w:color w:val="333333"/>
          <w:shd w:val="clear" w:color="auto" w:fill="FFFFFF"/>
        </w:rPr>
        <w:t xml:space="preserve">income countries, more activity is undertaken at work and for transport. Though declines in occupational and domestic physical activity are unavoidable as nations flourish, and use of technology grows, governments should provide and maintain infrastructure that encourages increased walking and cycling for transport and active sports </w:t>
      </w:r>
      <w:r w:rsidRPr="007A3896">
        <w:rPr>
          <w:rFonts w:eastAsia="Times New Roman"/>
          <w:color w:val="000000" w:themeColor="text1"/>
          <w:shd w:val="clear" w:color="auto" w:fill="FFFFFF"/>
        </w:rPr>
        <w:t>recreation</w:t>
      </w:r>
      <w:r w:rsidR="003C18B5">
        <w:rPr>
          <w:rFonts w:eastAsia="Times New Roman"/>
          <w:color w:val="000000" w:themeColor="text1"/>
          <w:shd w:val="clear" w:color="auto" w:fill="FFFFFF"/>
        </w:rPr>
        <w:t xml:space="preserve"> (</w:t>
      </w:r>
      <w:r w:rsidR="003C18B5" w:rsidRPr="003C18B5">
        <w:rPr>
          <w:rFonts w:eastAsia="Times New Roman"/>
        </w:rPr>
        <w:t>WHO</w:t>
      </w:r>
      <w:r w:rsidR="003C18B5">
        <w:rPr>
          <w:rFonts w:eastAsia="Times New Roman"/>
        </w:rPr>
        <w:t>, 2018</w:t>
      </w:r>
      <w:r w:rsidR="003C18B5" w:rsidRPr="003C18B5">
        <w:rPr>
          <w:rFonts w:eastAsia="Times New Roman"/>
        </w:rPr>
        <w:t>)</w:t>
      </w:r>
      <w:r w:rsidR="003C18B5">
        <w:rPr>
          <w:rFonts w:eastAsia="Times New Roman"/>
        </w:rPr>
        <w:t>.</w:t>
      </w:r>
    </w:p>
    <w:p w14:paraId="6DE9EF33" w14:textId="107B11BD" w:rsidR="007A3896" w:rsidRDefault="007A3896" w:rsidP="008D270C">
      <w:pPr>
        <w:pStyle w:val="NormalWeb"/>
        <w:shd w:val="clear" w:color="auto" w:fill="FFFFFF"/>
        <w:spacing w:before="75" w:beforeAutospacing="0" w:after="450" w:afterAutospacing="0" w:line="360" w:lineRule="auto"/>
        <w:jc w:val="both"/>
        <w:rPr>
          <w:color w:val="FF0000"/>
        </w:rPr>
      </w:pPr>
      <w:r>
        <w:rPr>
          <w:rFonts w:eastAsia="Times New Roman"/>
        </w:rPr>
        <w:t xml:space="preserve">The 2009 Department of Health Publication “Be Active, Be Healthy” </w:t>
      </w:r>
      <w:r w:rsidR="00304010">
        <w:rPr>
          <w:rFonts w:eastAsia="Times New Roman"/>
        </w:rPr>
        <w:t>r</w:t>
      </w:r>
      <w:r>
        <w:rPr>
          <w:rFonts w:eastAsia="Times New Roman"/>
        </w:rPr>
        <w:t>ecognises the importance of the outdoors, as natural environments offer ideal settings for health enhancing physical activity</w:t>
      </w:r>
      <w:r w:rsidR="007F3041">
        <w:rPr>
          <w:rFonts w:eastAsia="Times New Roman"/>
        </w:rPr>
        <w:t xml:space="preserve"> </w:t>
      </w:r>
      <w:bookmarkStart w:id="20" w:name="_Hlk534034142"/>
      <w:r w:rsidR="007F3041">
        <w:rPr>
          <w:rFonts w:eastAsia="Times New Roman"/>
        </w:rPr>
        <w:t>(</w:t>
      </w:r>
      <w:r w:rsidR="007F3041">
        <w:t>English Outdoor Council, 2010)</w:t>
      </w:r>
      <w:bookmarkEnd w:id="20"/>
      <w:r w:rsidR="000A1FE1">
        <w:t xml:space="preserve"> s</w:t>
      </w:r>
      <w:r>
        <w:rPr>
          <w:rFonts w:eastAsia="Times New Roman"/>
        </w:rPr>
        <w:t>uggesting that nature has been publicised to improve health physically and mentally.</w:t>
      </w:r>
      <w:r w:rsidRPr="00487C05">
        <w:rPr>
          <w:rFonts w:eastAsia="Times New Roman"/>
        </w:rPr>
        <w:t xml:space="preserve"> </w:t>
      </w:r>
      <w:r>
        <w:rPr>
          <w:rFonts w:eastAsia="Times New Roman"/>
        </w:rPr>
        <w:t>OFSTED published a thematic report on learning outside the classroom in October 2008. They concluded that learning outside the classroom contributed considerably to raising standards and improving pupils' personal, social and emotional development</w:t>
      </w:r>
      <w:r w:rsidR="00304010">
        <w:rPr>
          <w:rFonts w:eastAsia="Times New Roman"/>
        </w:rPr>
        <w:t xml:space="preserve"> (</w:t>
      </w:r>
      <w:r w:rsidR="00304010">
        <w:t xml:space="preserve">English Outdoor Council, 2010). </w:t>
      </w:r>
      <w:r>
        <w:rPr>
          <w:color w:val="000000"/>
        </w:rPr>
        <w:t xml:space="preserve">However, confirmation from </w:t>
      </w:r>
      <w:r w:rsidR="000A1FE1">
        <w:rPr>
          <w:color w:val="000000"/>
        </w:rPr>
        <w:t>‘S</w:t>
      </w:r>
      <w:r>
        <w:rPr>
          <w:color w:val="000000"/>
        </w:rPr>
        <w:t xml:space="preserve">urviving poverty: the impact of lone parenthood’ (2013) found that </w:t>
      </w:r>
      <w:r>
        <w:rPr>
          <w:rFonts w:eastAsia="Times New Roman"/>
        </w:rPr>
        <w:t xml:space="preserve">82.5 % of lone parents cut back on social and leisure activities due to </w:t>
      </w:r>
      <w:bookmarkStart w:id="21" w:name="_Hlk534113222"/>
      <w:r w:rsidR="000A1FE1">
        <w:rPr>
          <w:rFonts w:eastAsia="Times New Roman"/>
        </w:rPr>
        <w:t>financial</w:t>
      </w:r>
      <w:bookmarkEnd w:id="21"/>
      <w:r>
        <w:rPr>
          <w:rFonts w:eastAsia="Times New Roman"/>
        </w:rPr>
        <w:t xml:space="preserve"> hardship. Research also emphasised pressures placed on family relationships when children had to miss out on extra-curricular activities due to </w:t>
      </w:r>
      <w:r w:rsidR="000A1FE1">
        <w:rPr>
          <w:rFonts w:eastAsia="Times New Roman"/>
        </w:rPr>
        <w:t xml:space="preserve">financial </w:t>
      </w:r>
      <w:r>
        <w:rPr>
          <w:rFonts w:eastAsia="Times New Roman"/>
        </w:rPr>
        <w:t>hardship</w:t>
      </w:r>
      <w:r w:rsidR="00304010">
        <w:rPr>
          <w:rFonts w:eastAsia="Times New Roman"/>
        </w:rPr>
        <w:t xml:space="preserve"> </w:t>
      </w:r>
      <w:bookmarkStart w:id="22" w:name="_Hlk534034283"/>
      <w:r w:rsidR="00304010">
        <w:rPr>
          <w:rFonts w:eastAsia="Times New Roman"/>
        </w:rPr>
        <w:t xml:space="preserve">(McHardy, 2015). </w:t>
      </w:r>
      <w:bookmarkEnd w:id="22"/>
    </w:p>
    <w:p w14:paraId="428A79D4" w14:textId="1AA9144E" w:rsidR="007A3896" w:rsidRDefault="007A3896" w:rsidP="008D270C">
      <w:pPr>
        <w:pStyle w:val="NormalWeb"/>
        <w:shd w:val="clear" w:color="auto" w:fill="FFFFFF"/>
        <w:spacing w:before="75" w:beforeAutospacing="0" w:after="450" w:afterAutospacing="0" w:line="360" w:lineRule="auto"/>
        <w:jc w:val="both"/>
        <w:rPr>
          <w:rFonts w:eastAsia="Times New Roman"/>
          <w:color w:val="FF0000"/>
        </w:rPr>
      </w:pPr>
      <w:r w:rsidRPr="002D7453">
        <w:rPr>
          <w:color w:val="000000" w:themeColor="text1"/>
        </w:rPr>
        <w:t xml:space="preserve">The impact </w:t>
      </w:r>
      <w:r>
        <w:rPr>
          <w:rFonts w:eastAsia="Times New Roman"/>
        </w:rPr>
        <w:t>on play in and around the home has led sedentary behaviour resulting in more children becoming obese</w:t>
      </w:r>
      <w:r w:rsidR="00234893">
        <w:rPr>
          <w:rFonts w:eastAsia="Times New Roman"/>
        </w:rPr>
        <w:t xml:space="preserve"> (</w:t>
      </w:r>
      <w:proofErr w:type="spellStart"/>
      <w:r w:rsidR="00234893">
        <w:rPr>
          <w:rFonts w:eastAsia="Times New Roman"/>
        </w:rPr>
        <w:t>Inyang</w:t>
      </w:r>
      <w:proofErr w:type="spellEnd"/>
      <w:r w:rsidR="00234893">
        <w:rPr>
          <w:rFonts w:eastAsia="Times New Roman"/>
        </w:rPr>
        <w:t xml:space="preserve"> and </w:t>
      </w:r>
      <w:proofErr w:type="spellStart"/>
      <w:r w:rsidR="00234893">
        <w:rPr>
          <w:rFonts w:eastAsia="Times New Roman"/>
        </w:rPr>
        <w:t>Okey</w:t>
      </w:r>
      <w:proofErr w:type="spellEnd"/>
      <w:r w:rsidR="00234893">
        <w:rPr>
          <w:rFonts w:eastAsia="Times New Roman"/>
        </w:rPr>
        <w:t xml:space="preserve">-Orji, 2015). </w:t>
      </w:r>
      <w:r>
        <w:rPr>
          <w:rFonts w:eastAsia="Times New Roman"/>
          <w:color w:val="000000" w:themeColor="text1"/>
        </w:rPr>
        <w:t xml:space="preserve">Children incline to have higher levels of sedentary behaviour if their parents or siblings also participate in high levels of sedentary behaviour. </w:t>
      </w:r>
      <w:r>
        <w:rPr>
          <w:rFonts w:eastAsia="Times New Roman"/>
        </w:rPr>
        <w:t xml:space="preserve">The researchers discovered that increased sitting time watching TV or playing </w:t>
      </w:r>
      <w:r>
        <w:rPr>
          <w:rFonts w:eastAsia="Times New Roman"/>
        </w:rPr>
        <w:lastRenderedPageBreak/>
        <w:t xml:space="preserve">computer games </w:t>
      </w:r>
      <w:r>
        <w:rPr>
          <w:rFonts w:eastAsia="Times New Roman"/>
          <w:color w:val="000000" w:themeColor="text1"/>
        </w:rPr>
        <w:t xml:space="preserve">within the home can contribute </w:t>
      </w:r>
      <w:r>
        <w:rPr>
          <w:rFonts w:eastAsia="Times New Roman"/>
        </w:rPr>
        <w:t>to numerous chronic diseases such as obesity, Type – 2 diabetes, heart diseases, cancer,</w:t>
      </w:r>
      <w:r w:rsidRPr="00543B76">
        <w:rPr>
          <w:rFonts w:eastAsia="Times New Roman"/>
        </w:rPr>
        <w:t xml:space="preserve"> </w:t>
      </w:r>
      <w:r>
        <w:rPr>
          <w:rFonts w:eastAsia="Times New Roman"/>
        </w:rPr>
        <w:t>osteoporosis</w:t>
      </w:r>
      <w:r w:rsidR="000A1FE1">
        <w:rPr>
          <w:rFonts w:eastAsia="Times New Roman"/>
        </w:rPr>
        <w:t>,</w:t>
      </w:r>
      <w:r>
        <w:rPr>
          <w:rFonts w:eastAsia="Times New Roman"/>
        </w:rPr>
        <w:t xml:space="preserve"> deep vein thrombosis</w:t>
      </w:r>
      <w:r w:rsidR="000A1FE1">
        <w:rPr>
          <w:rFonts w:eastAsia="Times New Roman"/>
        </w:rPr>
        <w:t>,</w:t>
      </w:r>
      <w:r>
        <w:rPr>
          <w:rFonts w:eastAsia="Times New Roman"/>
        </w:rPr>
        <w:t xml:space="preserve"> muscle and skin disorders including others with their resultant increase in morbidity and mortality. Inactivity and those who sit for 5 hours or more are at risk of muscle </w:t>
      </w:r>
      <w:r w:rsidRPr="00472F1C">
        <w:rPr>
          <w:rFonts w:eastAsia="Times New Roman"/>
          <w:bCs/>
          <w:color w:val="222222"/>
          <w:shd w:val="clear" w:color="auto" w:fill="FFFFFF"/>
        </w:rPr>
        <w:t>atrophy</w:t>
      </w:r>
      <w:r>
        <w:rPr>
          <w:rFonts w:eastAsia="Times New Roman"/>
        </w:rPr>
        <w:t xml:space="preserve"> by 1% daily </w:t>
      </w:r>
      <w:r w:rsidR="00234893">
        <w:rPr>
          <w:rFonts w:eastAsia="Times New Roman"/>
        </w:rPr>
        <w:t>(</w:t>
      </w:r>
      <w:r w:rsidR="00931F46">
        <w:rPr>
          <w:rFonts w:eastAsia="Times New Roman"/>
        </w:rPr>
        <w:t xml:space="preserve">Olds, Ridley and </w:t>
      </w:r>
      <w:proofErr w:type="spellStart"/>
      <w:r w:rsidR="00931F46">
        <w:rPr>
          <w:rFonts w:eastAsia="Times New Roman"/>
        </w:rPr>
        <w:t>Dollman</w:t>
      </w:r>
      <w:proofErr w:type="spellEnd"/>
      <w:r w:rsidR="00931F46">
        <w:rPr>
          <w:rFonts w:eastAsia="Times New Roman"/>
        </w:rPr>
        <w:t xml:space="preserve">, 2006, </w:t>
      </w:r>
      <w:r w:rsidR="00234893">
        <w:rPr>
          <w:rFonts w:eastAsia="Times New Roman"/>
        </w:rPr>
        <w:t xml:space="preserve">cited in </w:t>
      </w:r>
      <w:proofErr w:type="spellStart"/>
      <w:r w:rsidR="00234893">
        <w:rPr>
          <w:rFonts w:eastAsia="Times New Roman"/>
        </w:rPr>
        <w:t>Inyang</w:t>
      </w:r>
      <w:proofErr w:type="spellEnd"/>
      <w:r w:rsidR="00234893">
        <w:rPr>
          <w:rFonts w:eastAsia="Times New Roman"/>
        </w:rPr>
        <w:t xml:space="preserve"> and </w:t>
      </w:r>
      <w:proofErr w:type="spellStart"/>
      <w:r w:rsidR="00234893">
        <w:rPr>
          <w:rFonts w:eastAsia="Times New Roman"/>
        </w:rPr>
        <w:t>Okey</w:t>
      </w:r>
      <w:proofErr w:type="spellEnd"/>
      <w:r w:rsidR="00234893">
        <w:rPr>
          <w:rFonts w:eastAsia="Times New Roman"/>
        </w:rPr>
        <w:t>-Orji, 2015)</w:t>
      </w:r>
      <w:r>
        <w:rPr>
          <w:rFonts w:eastAsia="Times New Roman"/>
        </w:rPr>
        <w:t xml:space="preserve"> when muscles are not used, fibres get replaced with fat which results in muscle wastage. Individuals who apply more than 40hrs per week watching TV or using the computer are 3 times more at risk of type -2 diabetes compared to those who spend less. This is due to </w:t>
      </w:r>
      <w:r>
        <w:rPr>
          <w:rFonts w:eastAsia="Times New Roman"/>
          <w:color w:val="000000" w:themeColor="text1"/>
        </w:rPr>
        <w:t>higher levels of sedentary behaviour, unhealthy eating patterns associated with screen time</w:t>
      </w:r>
      <w:r w:rsidR="00770058">
        <w:rPr>
          <w:rFonts w:eastAsia="Times New Roman"/>
          <w:color w:val="000000" w:themeColor="text1"/>
        </w:rPr>
        <w:t>.</w:t>
      </w:r>
      <w:r>
        <w:rPr>
          <w:rFonts w:eastAsia="Times New Roman"/>
          <w:color w:val="000000" w:themeColor="text1"/>
        </w:rPr>
        <w:t xml:space="preserve"> </w:t>
      </w:r>
      <w:r w:rsidR="00931F46">
        <w:rPr>
          <w:rFonts w:eastAsia="Times New Roman"/>
          <w:color w:val="000000" w:themeColor="text1"/>
        </w:rPr>
        <w:t xml:space="preserve">WHO (2010) and National Family Health Survey (2006, </w:t>
      </w:r>
      <w:r w:rsidR="00931F46">
        <w:rPr>
          <w:rFonts w:eastAsia="Times New Roman"/>
        </w:rPr>
        <w:t xml:space="preserve">cited in </w:t>
      </w:r>
      <w:bookmarkStart w:id="23" w:name="_Hlk534034962"/>
      <w:proofErr w:type="spellStart"/>
      <w:r w:rsidR="00931F46">
        <w:rPr>
          <w:rFonts w:eastAsia="Times New Roman"/>
        </w:rPr>
        <w:t>Inyang</w:t>
      </w:r>
      <w:proofErr w:type="spellEnd"/>
      <w:r w:rsidR="00931F46">
        <w:rPr>
          <w:rFonts w:eastAsia="Times New Roman"/>
        </w:rPr>
        <w:t xml:space="preserve"> and </w:t>
      </w:r>
      <w:proofErr w:type="spellStart"/>
      <w:r w:rsidR="00931F46">
        <w:rPr>
          <w:rFonts w:eastAsia="Times New Roman"/>
        </w:rPr>
        <w:t>Okey</w:t>
      </w:r>
      <w:proofErr w:type="spellEnd"/>
      <w:r w:rsidR="00931F46">
        <w:rPr>
          <w:rFonts w:eastAsia="Times New Roman"/>
        </w:rPr>
        <w:t xml:space="preserve">-Orji, 2015) </w:t>
      </w:r>
      <w:bookmarkEnd w:id="23"/>
      <w:r w:rsidR="00931F46">
        <w:rPr>
          <w:rFonts w:eastAsia="Times New Roman"/>
        </w:rPr>
        <w:t>suggested</w:t>
      </w:r>
      <w:r>
        <w:rPr>
          <w:rFonts w:eastAsia="Times New Roman"/>
        </w:rPr>
        <w:t xml:space="preserve"> that, it is not lack of exercise that influences </w:t>
      </w:r>
      <w:r w:rsidR="00770058">
        <w:rPr>
          <w:rFonts w:eastAsia="Times New Roman"/>
        </w:rPr>
        <w:t>diabetes,</w:t>
      </w:r>
      <w:r>
        <w:rPr>
          <w:rFonts w:eastAsia="Times New Roman"/>
        </w:rPr>
        <w:t xml:space="preserve"> but the quantity of time spent sitting increases the risk of type -2 diabetes.</w:t>
      </w:r>
      <w:r w:rsidR="00931F46">
        <w:rPr>
          <w:rFonts w:eastAsia="Times New Roman"/>
          <w:color w:val="FF0000"/>
        </w:rPr>
        <w:t xml:space="preserve"> </w:t>
      </w:r>
    </w:p>
    <w:p w14:paraId="7B8302B9" w14:textId="77777777" w:rsidR="00147F14" w:rsidRDefault="00147F14" w:rsidP="008D270C">
      <w:pPr>
        <w:spacing w:line="360" w:lineRule="auto"/>
        <w:jc w:val="both"/>
      </w:pPr>
      <w:r>
        <w:rPr>
          <w:rFonts w:eastAsia="Times New Roman"/>
        </w:rPr>
        <w:t xml:space="preserve">To conclude, the evidence has revealed that there are numerus aspects that can directly affect </w:t>
      </w:r>
      <w:r>
        <w:t xml:space="preserve">one’s health, particularly between the lower </w:t>
      </w:r>
      <w:r>
        <w:rPr>
          <w:noProof/>
        </w:rPr>
        <w:t xml:space="preserve">socio-economic groups. </w:t>
      </w:r>
      <w:r>
        <w:t xml:space="preserve">Although medical advancements are making progress in fighting diseases, </w:t>
      </w:r>
      <w:r>
        <w:rPr>
          <w:rFonts w:eastAsia="Times New Roman"/>
          <w:color w:val="000000" w:themeColor="text1"/>
        </w:rPr>
        <w:t xml:space="preserve">the </w:t>
      </w:r>
      <w:r w:rsidRPr="00B618AE">
        <w:rPr>
          <w:rFonts w:eastAsia="Times New Roman"/>
          <w:color w:val="000000" w:themeColor="text1"/>
        </w:rPr>
        <w:t>social gradient in health</w:t>
      </w:r>
      <w:r>
        <w:rPr>
          <w:rFonts w:eastAsia="Times New Roman"/>
          <w:color w:val="000000" w:themeColor="text1"/>
        </w:rPr>
        <w:t xml:space="preserve"> still exists which allows them </w:t>
      </w:r>
      <w:r w:rsidRPr="00B618AE">
        <w:rPr>
          <w:rFonts w:eastAsia="Times New Roman"/>
          <w:color w:val="000000" w:themeColor="text1"/>
        </w:rPr>
        <w:t>to have better health, life chances and far more opportunities to lead a flourishing life.</w:t>
      </w:r>
      <w:r w:rsidRPr="00A31E82">
        <w:rPr>
          <w:noProof/>
        </w:rPr>
        <w:t xml:space="preserve"> </w:t>
      </w:r>
      <w:r>
        <w:rPr>
          <w:noProof/>
        </w:rPr>
        <w:t>life expectancy inequalities have increased, which signifies that further work must be done to improve health outcomes.</w:t>
      </w:r>
      <w:r>
        <w:t xml:space="preserve"> </w:t>
      </w:r>
      <w:r>
        <w:rPr>
          <w:noProof/>
        </w:rPr>
        <w:t>It is clear that health inequalities will continue to do so if the government dosent  step up and make changes based on the policies outlined for health in their manifesto. life expectancy inequalities have increased, which signifies that further work must be done to improve health outcomes.</w:t>
      </w:r>
    </w:p>
    <w:p w14:paraId="5943077C" w14:textId="77777777" w:rsidR="00147F14" w:rsidRDefault="00147F14" w:rsidP="008D270C">
      <w:pPr>
        <w:pStyle w:val="NormalWeb"/>
        <w:shd w:val="clear" w:color="auto" w:fill="FFFFFF"/>
        <w:spacing w:before="75" w:beforeAutospacing="0" w:after="450" w:afterAutospacing="0" w:line="360" w:lineRule="auto"/>
        <w:jc w:val="both"/>
        <w:rPr>
          <w:rFonts w:eastAsia="Times New Roman"/>
          <w:color w:val="FF0000"/>
        </w:rPr>
      </w:pPr>
    </w:p>
    <w:p w14:paraId="55708F0F" w14:textId="0DF08E0C" w:rsidR="003915CB" w:rsidRDefault="008D270C" w:rsidP="008D270C">
      <w:pPr>
        <w:pStyle w:val="NormalWeb"/>
        <w:shd w:val="clear" w:color="auto" w:fill="FFFFFF"/>
        <w:spacing w:before="75" w:beforeAutospacing="0" w:after="450" w:afterAutospacing="0" w:line="360" w:lineRule="auto"/>
        <w:jc w:val="both"/>
        <w:rPr>
          <w:rFonts w:eastAsia="Times New Roman"/>
          <w:color w:val="333333"/>
        </w:rPr>
      </w:pPr>
      <w:r>
        <w:rPr>
          <w:rFonts w:eastAsia="Times New Roman"/>
          <w:color w:val="333333"/>
        </w:rPr>
        <w:t>Word count 5,066</w:t>
      </w:r>
      <w:bookmarkStart w:id="24" w:name="_GoBack"/>
      <w:bookmarkEnd w:id="24"/>
    </w:p>
    <w:p w14:paraId="1FE14891" w14:textId="20A9ACB5" w:rsidR="006D0E3E" w:rsidRDefault="006D0E3E" w:rsidP="008D270C">
      <w:pPr>
        <w:pStyle w:val="NormalWeb"/>
        <w:shd w:val="clear" w:color="auto" w:fill="FFFFFF"/>
        <w:spacing w:before="75" w:beforeAutospacing="0" w:after="450" w:afterAutospacing="0" w:line="360" w:lineRule="auto"/>
        <w:jc w:val="both"/>
        <w:rPr>
          <w:rFonts w:eastAsia="Times New Roman"/>
          <w:color w:val="333333"/>
        </w:rPr>
      </w:pPr>
    </w:p>
    <w:p w14:paraId="285360EA" w14:textId="21B9BD96" w:rsidR="006D0E3E" w:rsidRDefault="006D0E3E" w:rsidP="008D270C">
      <w:pPr>
        <w:pStyle w:val="NormalWeb"/>
        <w:shd w:val="clear" w:color="auto" w:fill="FFFFFF"/>
        <w:spacing w:before="75" w:beforeAutospacing="0" w:after="450" w:afterAutospacing="0" w:line="360" w:lineRule="auto"/>
        <w:jc w:val="both"/>
        <w:rPr>
          <w:rFonts w:eastAsia="Times New Roman"/>
          <w:color w:val="333333"/>
        </w:rPr>
      </w:pPr>
    </w:p>
    <w:p w14:paraId="6DAAEF64" w14:textId="51AECF9B" w:rsidR="006D0E3E" w:rsidRDefault="006D0E3E" w:rsidP="008D270C">
      <w:pPr>
        <w:pStyle w:val="NormalWeb"/>
        <w:shd w:val="clear" w:color="auto" w:fill="FFFFFF"/>
        <w:spacing w:before="75" w:beforeAutospacing="0" w:after="450" w:afterAutospacing="0" w:line="360" w:lineRule="auto"/>
        <w:jc w:val="both"/>
        <w:rPr>
          <w:rFonts w:eastAsia="Times New Roman"/>
          <w:color w:val="333333"/>
        </w:rPr>
      </w:pPr>
    </w:p>
    <w:p w14:paraId="3A5F45F3" w14:textId="740B508B" w:rsidR="006D0E3E" w:rsidRDefault="006D0E3E" w:rsidP="008D270C">
      <w:pPr>
        <w:pStyle w:val="NormalWeb"/>
        <w:shd w:val="clear" w:color="auto" w:fill="FFFFFF"/>
        <w:spacing w:before="75" w:beforeAutospacing="0" w:after="450" w:afterAutospacing="0" w:line="360" w:lineRule="auto"/>
        <w:jc w:val="both"/>
        <w:rPr>
          <w:rFonts w:eastAsia="Times New Roman"/>
          <w:color w:val="333333"/>
        </w:rPr>
      </w:pPr>
    </w:p>
    <w:p w14:paraId="028C3220" w14:textId="77777777" w:rsidR="00DA7041" w:rsidRDefault="00DA7041" w:rsidP="00873145">
      <w:pPr>
        <w:spacing w:line="276" w:lineRule="auto"/>
        <w:outlineLvl w:val="0"/>
        <w:rPr>
          <w:rFonts w:eastAsia="Times New Roman"/>
          <w:color w:val="333333"/>
        </w:rPr>
      </w:pPr>
    </w:p>
    <w:p w14:paraId="5873F9EB" w14:textId="77777777" w:rsidR="00DA7041" w:rsidRDefault="00DA7041" w:rsidP="00873145">
      <w:pPr>
        <w:spacing w:line="276" w:lineRule="auto"/>
        <w:outlineLvl w:val="0"/>
      </w:pPr>
    </w:p>
    <w:p w14:paraId="45A743F7" w14:textId="576BAA60" w:rsidR="005336B7" w:rsidRDefault="005336B7" w:rsidP="00873145">
      <w:pPr>
        <w:spacing w:line="276" w:lineRule="auto"/>
        <w:outlineLvl w:val="0"/>
      </w:pPr>
      <w:r>
        <w:t>References</w:t>
      </w:r>
    </w:p>
    <w:p w14:paraId="509E0D6D" w14:textId="5A75FD91" w:rsidR="006C1702" w:rsidRDefault="006C1702" w:rsidP="00873145">
      <w:pPr>
        <w:spacing w:line="276" w:lineRule="auto"/>
        <w:outlineLvl w:val="0"/>
      </w:pPr>
    </w:p>
    <w:p w14:paraId="7B8D7DE3" w14:textId="683DE682" w:rsidR="006C1702" w:rsidRDefault="006C1702" w:rsidP="00873145">
      <w:pPr>
        <w:spacing w:line="276" w:lineRule="auto"/>
        <w:outlineLvl w:val="0"/>
      </w:pPr>
      <w:bookmarkStart w:id="25" w:name="_Hlk534210993"/>
      <w:r>
        <w:t xml:space="preserve">Alston, P. (2018) </w:t>
      </w:r>
      <w:bookmarkEnd w:id="25"/>
      <w:r w:rsidRPr="006C1702">
        <w:rPr>
          <w:i/>
        </w:rPr>
        <w:t>Statement on Visit to the United Kingdom</w:t>
      </w:r>
      <w:r>
        <w:t xml:space="preserve">. Available at: </w:t>
      </w:r>
      <w:hyperlink r:id="rId7" w:history="1">
        <w:r w:rsidRPr="006065E6">
          <w:rPr>
            <w:rStyle w:val="Hyperlink"/>
          </w:rPr>
          <w:t>https://www.ohchr.org/Documents/Issues/Poverty/EOM_GB_16Nov2018.pdf</w:t>
        </w:r>
      </w:hyperlink>
      <w:r>
        <w:t xml:space="preserve"> (Accessed: 2 January 2019).</w:t>
      </w:r>
    </w:p>
    <w:p w14:paraId="29C0E6AA" w14:textId="685DCEA3" w:rsidR="00F5178E" w:rsidRDefault="00F5178E" w:rsidP="00873145">
      <w:pPr>
        <w:spacing w:line="276" w:lineRule="auto"/>
        <w:outlineLvl w:val="0"/>
      </w:pPr>
    </w:p>
    <w:p w14:paraId="71CD3CF8" w14:textId="5DB5264B" w:rsidR="00F5178E" w:rsidRDefault="00F5178E" w:rsidP="00873145">
      <w:pPr>
        <w:spacing w:line="276" w:lineRule="auto"/>
        <w:outlineLvl w:val="0"/>
      </w:pPr>
      <w:r>
        <w:t xml:space="preserve">Air Quality Expert Group. (2007) </w:t>
      </w:r>
      <w:r w:rsidRPr="00F5178E">
        <w:rPr>
          <w:i/>
        </w:rPr>
        <w:t>Air Quality and Climate Change: A UK Perspective</w:t>
      </w:r>
      <w:r>
        <w:t xml:space="preserve">. Available at: </w:t>
      </w:r>
      <w:hyperlink r:id="rId8" w:history="1">
        <w:r w:rsidRPr="006065E6">
          <w:rPr>
            <w:rStyle w:val="Hyperlink"/>
          </w:rPr>
          <w:t>https://uk-air.defra.gov.uk/assets/documents/reports/aqeg/fullreport.pdf</w:t>
        </w:r>
      </w:hyperlink>
      <w:r>
        <w:t xml:space="preserve"> (Accessed: 2 January 2019).</w:t>
      </w:r>
    </w:p>
    <w:p w14:paraId="098AE4A4" w14:textId="30720F71" w:rsidR="002328EB" w:rsidRDefault="002328EB" w:rsidP="00873145">
      <w:pPr>
        <w:spacing w:line="276" w:lineRule="auto"/>
        <w:outlineLvl w:val="0"/>
      </w:pPr>
    </w:p>
    <w:p w14:paraId="22C72DCE" w14:textId="6EFE23A9" w:rsidR="002328EB" w:rsidRDefault="002328EB" w:rsidP="00873145">
      <w:pPr>
        <w:spacing w:line="276" w:lineRule="auto"/>
        <w:outlineLvl w:val="0"/>
      </w:pPr>
      <w:proofErr w:type="spellStart"/>
      <w:r>
        <w:t>Benzeval</w:t>
      </w:r>
      <w:proofErr w:type="spellEnd"/>
      <w:r>
        <w:t xml:space="preserve">, M., Bond, L., Campbell, M., Egan, M., </w:t>
      </w:r>
      <w:proofErr w:type="spellStart"/>
      <w:r>
        <w:t>Lorenc</w:t>
      </w:r>
      <w:proofErr w:type="spellEnd"/>
      <w:r>
        <w:t xml:space="preserve">, T., </w:t>
      </w:r>
      <w:proofErr w:type="spellStart"/>
      <w:r>
        <w:t>Petticrew</w:t>
      </w:r>
      <w:proofErr w:type="spellEnd"/>
      <w:r>
        <w:t>, M. and Popham, F. (</w:t>
      </w:r>
      <w:r w:rsidR="00C661E1">
        <w:t xml:space="preserve">2014) </w:t>
      </w:r>
      <w:r w:rsidR="00C661E1" w:rsidRPr="00C661E1">
        <w:rPr>
          <w:i/>
        </w:rPr>
        <w:t>How does money influence health?</w:t>
      </w:r>
      <w:r w:rsidR="00C661E1">
        <w:t xml:space="preserve"> Available at: </w:t>
      </w:r>
      <w:hyperlink r:id="rId9" w:history="1">
        <w:r w:rsidR="00C661E1" w:rsidRPr="006065E6">
          <w:rPr>
            <w:rStyle w:val="Hyperlink"/>
          </w:rPr>
          <w:t>https://www.jrf.org.uk/sites/default/files/jrf/migrated/files/income-health-poverty-full.pdf</w:t>
        </w:r>
      </w:hyperlink>
      <w:r w:rsidR="00C661E1">
        <w:t xml:space="preserve"> (Accessed: 2 January 2019).</w:t>
      </w:r>
    </w:p>
    <w:p w14:paraId="3D9B83F5" w14:textId="77777777" w:rsidR="006C1702" w:rsidRDefault="006C1702" w:rsidP="005336B7">
      <w:pPr>
        <w:spacing w:line="276" w:lineRule="auto"/>
        <w:outlineLvl w:val="0"/>
      </w:pPr>
    </w:p>
    <w:p w14:paraId="164347B6" w14:textId="2401E6F7" w:rsidR="00DF14C0" w:rsidRDefault="00DF14C0" w:rsidP="005336B7">
      <w:pPr>
        <w:spacing w:line="276" w:lineRule="auto"/>
        <w:outlineLvl w:val="0"/>
      </w:pPr>
      <w:r>
        <w:rPr>
          <w:rFonts w:eastAsia="Times New Roman"/>
          <w:color w:val="000000"/>
          <w:shd w:val="clear" w:color="auto" w:fill="FFFFFF"/>
        </w:rPr>
        <w:t xml:space="preserve">Birch, L., Savage, J.S. and Ventura, A. (2007) ‘Influences on the Development of Children’s Eating Behaviours: From Infancy to Adolescence’, </w:t>
      </w:r>
      <w:r w:rsidRPr="00DF14C0">
        <w:rPr>
          <w:rFonts w:eastAsia="Times New Roman"/>
          <w:i/>
          <w:color w:val="000000"/>
          <w:shd w:val="clear" w:color="auto" w:fill="FFFFFF"/>
        </w:rPr>
        <w:t xml:space="preserve">Can J Diet </w:t>
      </w:r>
      <w:proofErr w:type="spellStart"/>
      <w:r w:rsidRPr="00DF14C0">
        <w:rPr>
          <w:rFonts w:eastAsia="Times New Roman"/>
          <w:i/>
          <w:color w:val="000000"/>
          <w:shd w:val="clear" w:color="auto" w:fill="FFFFFF"/>
        </w:rPr>
        <w:t>Pract</w:t>
      </w:r>
      <w:proofErr w:type="spellEnd"/>
      <w:r w:rsidRPr="00DF14C0">
        <w:rPr>
          <w:rFonts w:eastAsia="Times New Roman"/>
          <w:i/>
          <w:color w:val="000000"/>
          <w:shd w:val="clear" w:color="auto" w:fill="FFFFFF"/>
        </w:rPr>
        <w:t xml:space="preserve"> Res</w:t>
      </w:r>
      <w:r>
        <w:rPr>
          <w:rFonts w:eastAsia="Times New Roman"/>
          <w:color w:val="000000"/>
          <w:shd w:val="clear" w:color="auto" w:fill="FFFFFF"/>
        </w:rPr>
        <w:t xml:space="preserve">, 68(1), pp. 1-56.  </w:t>
      </w:r>
    </w:p>
    <w:p w14:paraId="3CE72B94" w14:textId="77777777" w:rsidR="005336B7" w:rsidRDefault="005336B7" w:rsidP="005336B7">
      <w:pPr>
        <w:spacing w:line="276" w:lineRule="auto"/>
        <w:outlineLvl w:val="0"/>
      </w:pPr>
    </w:p>
    <w:p w14:paraId="6F3DB7F7" w14:textId="77777777" w:rsidR="005336B7" w:rsidRDefault="005336B7" w:rsidP="005336B7">
      <w:pPr>
        <w:spacing w:line="276" w:lineRule="auto"/>
        <w:outlineLvl w:val="0"/>
      </w:pPr>
    </w:p>
    <w:p w14:paraId="2DC77C9D" w14:textId="77777777" w:rsidR="005336B7" w:rsidRDefault="005336B7" w:rsidP="005336B7">
      <w:pPr>
        <w:spacing w:line="276" w:lineRule="auto"/>
        <w:outlineLvl w:val="0"/>
      </w:pPr>
      <w:r w:rsidRPr="00A12930">
        <w:rPr>
          <w:rFonts w:eastAsia="Times New Roman"/>
        </w:rPr>
        <w:t xml:space="preserve">Carmarthenshire Public Services Board. (2017) </w:t>
      </w:r>
      <w:r w:rsidRPr="00A12930">
        <w:rPr>
          <w:rFonts w:eastAsia="Times New Roman"/>
          <w:i/>
        </w:rPr>
        <w:t>Carmarthenshire Well-Being Assessment 2017.</w:t>
      </w:r>
      <w:r w:rsidRPr="00A12930">
        <w:rPr>
          <w:rFonts w:eastAsia="Times New Roman"/>
        </w:rPr>
        <w:t xml:space="preserve"> Available at: </w:t>
      </w:r>
      <w:hyperlink r:id="rId10" w:history="1">
        <w:r w:rsidRPr="00A12930">
          <w:rPr>
            <w:rStyle w:val="Hyperlink"/>
            <w:rFonts w:eastAsia="Times New Roman"/>
          </w:rPr>
          <w:t>http://www.thecarmarthenshirewewant.wales/media/8178/psb-wellbeing-assessment.pdf</w:t>
        </w:r>
      </w:hyperlink>
      <w:r w:rsidRPr="00A12930">
        <w:rPr>
          <w:rFonts w:eastAsia="Times New Roman"/>
        </w:rPr>
        <w:t xml:space="preserve"> </w:t>
      </w:r>
      <w:bookmarkStart w:id="26" w:name="_Hlk534024675"/>
      <w:r w:rsidRPr="00A12930">
        <w:t>(Accessed: 18 December 2018).</w:t>
      </w:r>
      <w:bookmarkEnd w:id="26"/>
    </w:p>
    <w:p w14:paraId="59044C81" w14:textId="77777777" w:rsidR="005336B7" w:rsidRDefault="005336B7" w:rsidP="005336B7">
      <w:pPr>
        <w:spacing w:line="276" w:lineRule="auto"/>
        <w:outlineLvl w:val="0"/>
      </w:pPr>
    </w:p>
    <w:p w14:paraId="09645DCE" w14:textId="6A6F5384" w:rsidR="00387A8E" w:rsidRDefault="00387A8E" w:rsidP="005336B7">
      <w:pPr>
        <w:rPr>
          <w:rFonts w:eastAsia="Times New Roman"/>
        </w:rPr>
      </w:pPr>
    </w:p>
    <w:p w14:paraId="01C24A10" w14:textId="691FA361" w:rsidR="00387A8E" w:rsidRDefault="00387A8E" w:rsidP="00387A8E">
      <w:pPr>
        <w:spacing w:line="360" w:lineRule="auto"/>
        <w:rPr>
          <w:rFonts w:eastAsia="Times New Roman"/>
          <w:color w:val="000000" w:themeColor="text1"/>
        </w:rPr>
      </w:pPr>
      <w:r>
        <w:rPr>
          <w:rFonts w:eastAsia="Times New Roman"/>
          <w:color w:val="000000" w:themeColor="text1"/>
        </w:rPr>
        <w:t xml:space="preserve">Chang, M., Green, L., </w:t>
      </w:r>
      <w:proofErr w:type="spellStart"/>
      <w:r>
        <w:rPr>
          <w:rFonts w:eastAsia="Times New Roman"/>
          <w:color w:val="000000" w:themeColor="text1"/>
        </w:rPr>
        <w:t>Steinacker</w:t>
      </w:r>
      <w:proofErr w:type="spellEnd"/>
      <w:r>
        <w:rPr>
          <w:rFonts w:eastAsia="Times New Roman"/>
          <w:color w:val="000000" w:themeColor="text1"/>
        </w:rPr>
        <w:t xml:space="preserve">, H. and </w:t>
      </w:r>
      <w:proofErr w:type="spellStart"/>
      <w:r>
        <w:rPr>
          <w:rFonts w:eastAsia="Times New Roman"/>
          <w:color w:val="000000" w:themeColor="text1"/>
        </w:rPr>
        <w:t>Jonsdottir</w:t>
      </w:r>
      <w:proofErr w:type="spellEnd"/>
      <w:r>
        <w:rPr>
          <w:rFonts w:eastAsia="Times New Roman"/>
          <w:color w:val="000000" w:themeColor="text1"/>
        </w:rPr>
        <w:t xml:space="preserve">, S. (2016) </w:t>
      </w:r>
      <w:r w:rsidRPr="00387A8E">
        <w:rPr>
          <w:rFonts w:eastAsia="Times New Roman"/>
          <w:i/>
          <w:color w:val="000000" w:themeColor="text1"/>
        </w:rPr>
        <w:t>Planning for better health and well-being in Wales.</w:t>
      </w:r>
      <w:r>
        <w:rPr>
          <w:rFonts w:eastAsia="Times New Roman"/>
          <w:color w:val="000000" w:themeColor="text1"/>
        </w:rPr>
        <w:t xml:space="preserve"> Available at: </w:t>
      </w:r>
      <w:hyperlink r:id="rId11" w:history="1">
        <w:r w:rsidRPr="009E5A62">
          <w:rPr>
            <w:rStyle w:val="Hyperlink"/>
            <w:rFonts w:eastAsia="Times New Roman"/>
          </w:rPr>
          <w:t>https://whiasu.publichealthnetwork.cymru/files/2915/3243/8664/planning_for_health_and_wellbeing_in_wales.pdf</w:t>
        </w:r>
      </w:hyperlink>
      <w:r>
        <w:rPr>
          <w:rFonts w:eastAsia="Times New Roman"/>
          <w:color w:val="000000" w:themeColor="text1"/>
        </w:rPr>
        <w:t xml:space="preserve"> </w:t>
      </w:r>
      <w:r>
        <w:t>(Accessed: 31 December 2018).</w:t>
      </w:r>
    </w:p>
    <w:p w14:paraId="02FCB7FD" w14:textId="77777777" w:rsidR="005336B7" w:rsidRDefault="005336B7" w:rsidP="005336B7">
      <w:pPr>
        <w:spacing w:line="276" w:lineRule="auto"/>
        <w:outlineLvl w:val="0"/>
      </w:pPr>
    </w:p>
    <w:p w14:paraId="778665AA" w14:textId="79F71082" w:rsidR="006D071B" w:rsidRDefault="006D071B" w:rsidP="005336B7">
      <w:pPr>
        <w:spacing w:line="276" w:lineRule="auto"/>
        <w:outlineLvl w:val="0"/>
      </w:pPr>
    </w:p>
    <w:p w14:paraId="16413ED8" w14:textId="7DDC1607" w:rsidR="006D071B" w:rsidRDefault="006D071B" w:rsidP="005336B7">
      <w:pPr>
        <w:spacing w:line="276" w:lineRule="auto"/>
        <w:outlineLvl w:val="0"/>
      </w:pPr>
      <w:bookmarkStart w:id="27" w:name="_Hlk534209515"/>
      <w:r>
        <w:t xml:space="preserve">Cribb, J. (2013) </w:t>
      </w:r>
      <w:bookmarkEnd w:id="27"/>
      <w:r w:rsidRPr="006D071B">
        <w:rPr>
          <w:i/>
        </w:rPr>
        <w:t>Income inequality in the UK</w:t>
      </w:r>
      <w:r>
        <w:t xml:space="preserve">. Available at: </w:t>
      </w:r>
      <w:hyperlink r:id="rId12" w:history="1">
        <w:r w:rsidRPr="006065E6">
          <w:rPr>
            <w:rStyle w:val="Hyperlink"/>
          </w:rPr>
          <w:t>https://www.ifs.org.uk/docs/ER_JC_2013.pdf</w:t>
        </w:r>
      </w:hyperlink>
      <w:r>
        <w:t xml:space="preserve"> </w:t>
      </w:r>
      <w:bookmarkStart w:id="28" w:name="_Hlk534210962"/>
      <w:r>
        <w:t>(Accessed: 2 January 2019).</w:t>
      </w:r>
      <w:bookmarkEnd w:id="28"/>
    </w:p>
    <w:p w14:paraId="7153E22B" w14:textId="77777777" w:rsidR="005336B7" w:rsidRDefault="005336B7" w:rsidP="005336B7">
      <w:pPr>
        <w:spacing w:line="276" w:lineRule="auto"/>
        <w:outlineLvl w:val="0"/>
      </w:pPr>
    </w:p>
    <w:p w14:paraId="5685DFC4" w14:textId="77777777" w:rsidR="005336B7" w:rsidRDefault="005336B7" w:rsidP="005336B7">
      <w:pPr>
        <w:spacing w:line="276" w:lineRule="auto"/>
        <w:outlineLvl w:val="0"/>
      </w:pPr>
    </w:p>
    <w:p w14:paraId="68E6494D" w14:textId="77777777" w:rsidR="005336B7" w:rsidRDefault="005336B7" w:rsidP="005336B7">
      <w:pPr>
        <w:spacing w:line="276" w:lineRule="auto"/>
        <w:outlineLvl w:val="0"/>
      </w:pPr>
      <w:proofErr w:type="spellStart"/>
      <w:r w:rsidRPr="00E3684C">
        <w:t>DeSerf</w:t>
      </w:r>
      <w:proofErr w:type="spellEnd"/>
      <w:r w:rsidRPr="00E3684C">
        <w:t xml:space="preserve">, M. (2002) </w:t>
      </w:r>
      <w:r w:rsidRPr="00E3684C">
        <w:rPr>
          <w:i/>
        </w:rPr>
        <w:t>The Effects of Family, Social and Background Factors on Children’s Educational Attainment.</w:t>
      </w:r>
      <w:r w:rsidRPr="00E3684C">
        <w:t xml:space="preserve"> Available at: </w:t>
      </w:r>
      <w:hyperlink r:id="rId13" w:history="1">
        <w:r w:rsidRPr="00E3684C">
          <w:rPr>
            <w:rStyle w:val="Hyperlink"/>
          </w:rPr>
          <w:t>https://digitalcommons.iwu.edu/cgi/viewcontent.cgi?article=1009&amp;context=econ_honproj</w:t>
        </w:r>
      </w:hyperlink>
      <w:r w:rsidRPr="00E3684C">
        <w:t xml:space="preserve"> </w:t>
      </w:r>
      <w:bookmarkStart w:id="29" w:name="_Hlk531966968"/>
      <w:r w:rsidRPr="00E3684C">
        <w:t>(Accessed: 6 December 2018).</w:t>
      </w:r>
      <w:bookmarkEnd w:id="29"/>
    </w:p>
    <w:p w14:paraId="6015663C" w14:textId="30000089" w:rsidR="007F3041" w:rsidRDefault="007F3041" w:rsidP="005336B7">
      <w:pPr>
        <w:spacing w:line="276" w:lineRule="auto"/>
        <w:outlineLvl w:val="0"/>
      </w:pPr>
    </w:p>
    <w:p w14:paraId="0B216176" w14:textId="7975D3B3" w:rsidR="007F3041" w:rsidRDefault="007F3041" w:rsidP="005336B7">
      <w:pPr>
        <w:spacing w:line="276" w:lineRule="auto"/>
        <w:outlineLvl w:val="0"/>
      </w:pPr>
      <w:bookmarkStart w:id="30" w:name="_Hlk534034093"/>
      <w:r>
        <w:lastRenderedPageBreak/>
        <w:t xml:space="preserve">English Outdoor Council (2010) </w:t>
      </w:r>
      <w:bookmarkEnd w:id="30"/>
      <w:r w:rsidRPr="007F3041">
        <w:rPr>
          <w:i/>
        </w:rPr>
        <w:t>Time for change in Outdoor Learning</w:t>
      </w:r>
      <w:r>
        <w:t xml:space="preserve">. Available at: </w:t>
      </w:r>
      <w:hyperlink r:id="rId14" w:history="1">
        <w:r w:rsidRPr="006311E1">
          <w:rPr>
            <w:rStyle w:val="Hyperlink"/>
          </w:rPr>
          <w:t>https://www.englishoutdoorcouncil.org/wp-content/uploads/Change.pdf</w:t>
        </w:r>
      </w:hyperlink>
      <w:r>
        <w:t xml:space="preserve"> (Accessed: 31 December 2018).</w:t>
      </w:r>
    </w:p>
    <w:p w14:paraId="0A6973B5" w14:textId="77777777" w:rsidR="005336B7" w:rsidRDefault="005336B7" w:rsidP="005336B7">
      <w:pPr>
        <w:spacing w:line="276" w:lineRule="auto"/>
        <w:outlineLvl w:val="0"/>
      </w:pPr>
    </w:p>
    <w:p w14:paraId="7CD574C1" w14:textId="296410A8" w:rsidR="0053742A" w:rsidRDefault="0053742A" w:rsidP="0053742A">
      <w:pPr>
        <w:spacing w:line="276" w:lineRule="auto"/>
        <w:outlineLvl w:val="0"/>
      </w:pPr>
      <w:r>
        <w:t xml:space="preserve">Fenton, K. (2017) </w:t>
      </w:r>
      <w:r w:rsidRPr="0053742A">
        <w:rPr>
          <w:i/>
        </w:rPr>
        <w:t>Health Matters: Obesity and the food environment</w:t>
      </w:r>
      <w:r>
        <w:t xml:space="preserve">. Available at: </w:t>
      </w:r>
      <w:hyperlink r:id="rId15" w:history="1">
        <w:r w:rsidRPr="009E5A62">
          <w:rPr>
            <w:rStyle w:val="Hyperlink"/>
          </w:rPr>
          <w:t>https://publichealthmatters.blog.gov.uk/2017/03/31/health-matters-obesity-and-the-food-environment/</w:t>
        </w:r>
      </w:hyperlink>
      <w:r>
        <w:t xml:space="preserve"> (Accessed: 31 December 2018).</w:t>
      </w:r>
    </w:p>
    <w:p w14:paraId="7EDFC99B" w14:textId="6A463192" w:rsidR="00806008" w:rsidRDefault="00806008" w:rsidP="0053742A">
      <w:pPr>
        <w:spacing w:line="276" w:lineRule="auto"/>
        <w:outlineLvl w:val="0"/>
      </w:pPr>
    </w:p>
    <w:p w14:paraId="5F05B5AE" w14:textId="7917BEAE" w:rsidR="00806008" w:rsidRPr="00DC1910" w:rsidRDefault="00806008" w:rsidP="00806008">
      <w:pPr>
        <w:spacing w:line="276" w:lineRule="auto"/>
        <w:outlineLvl w:val="0"/>
      </w:pPr>
      <w:r>
        <w:rPr>
          <w:rFonts w:eastAsia="Times New Roman"/>
          <w:color w:val="000000" w:themeColor="text1"/>
        </w:rPr>
        <w:t xml:space="preserve">Food Foundation. (2016) </w:t>
      </w:r>
      <w:r w:rsidRPr="00806008">
        <w:rPr>
          <w:rFonts w:eastAsia="Times New Roman"/>
          <w:i/>
          <w:color w:val="000000" w:themeColor="text1"/>
        </w:rPr>
        <w:t>Priorities for tackling the obesity crisis in England</w:t>
      </w:r>
      <w:r>
        <w:rPr>
          <w:rFonts w:eastAsia="Times New Roman"/>
          <w:color w:val="000000" w:themeColor="text1"/>
        </w:rPr>
        <w:t xml:space="preserve">. Available at: </w:t>
      </w:r>
      <w:hyperlink r:id="rId16" w:history="1">
        <w:r w:rsidRPr="006311E1">
          <w:rPr>
            <w:rStyle w:val="Hyperlink"/>
            <w:rFonts w:eastAsia="Times New Roman"/>
          </w:rPr>
          <w:t>https://foodfoundation.org.uk/wp-content/uploads/2016/11/Food-Environment-policy-brief.pdf</w:t>
        </w:r>
      </w:hyperlink>
      <w:r>
        <w:rPr>
          <w:rFonts w:eastAsia="Times New Roman"/>
          <w:color w:val="000000" w:themeColor="text1"/>
        </w:rPr>
        <w:t xml:space="preserve"> </w:t>
      </w:r>
      <w:r>
        <w:t>(Accessed: 31 December 2018).</w:t>
      </w:r>
    </w:p>
    <w:p w14:paraId="233E1036" w14:textId="1F00BF23" w:rsidR="0053742A" w:rsidRDefault="0053742A" w:rsidP="005336B7">
      <w:pPr>
        <w:spacing w:line="276" w:lineRule="auto"/>
        <w:outlineLvl w:val="0"/>
      </w:pPr>
    </w:p>
    <w:p w14:paraId="7AB15B2E" w14:textId="69D1BF81" w:rsidR="0053742A" w:rsidRPr="00DC1910" w:rsidRDefault="0053742A" w:rsidP="005336B7">
      <w:pPr>
        <w:spacing w:line="276" w:lineRule="auto"/>
        <w:outlineLvl w:val="0"/>
      </w:pPr>
      <w:r w:rsidRPr="00F44E5D">
        <w:t>Fore</w:t>
      </w:r>
      <w:r>
        <w:t xml:space="preserve">sight. (2007) </w:t>
      </w:r>
      <w:r w:rsidRPr="00D957FF">
        <w:rPr>
          <w:i/>
        </w:rPr>
        <w:t>Tackling Obesities: Future Choices-Project Report</w:t>
      </w:r>
      <w:r>
        <w:t xml:space="preserve">. Available at: </w:t>
      </w:r>
      <w:hyperlink r:id="rId17" w:history="1">
        <w:r w:rsidRPr="00531A0E">
          <w:rPr>
            <w:rStyle w:val="Hyperlink"/>
          </w:rPr>
          <w:t>https://assets.publishing.service.gov.uk/government/uploads/system/uploads/attachment_data/file/287937/07-1184x-tackling-obesities-future-choices-report.pdf</w:t>
        </w:r>
      </w:hyperlink>
      <w:r>
        <w:t xml:space="preserve"> (Accessed: 1 December 2018).</w:t>
      </w:r>
    </w:p>
    <w:p w14:paraId="37CAC180" w14:textId="77777777" w:rsidR="005336B7" w:rsidRDefault="005336B7" w:rsidP="005336B7">
      <w:pPr>
        <w:spacing w:line="276" w:lineRule="auto"/>
        <w:outlineLvl w:val="0"/>
      </w:pPr>
    </w:p>
    <w:p w14:paraId="786E1A8C" w14:textId="77777777" w:rsidR="005336B7" w:rsidRPr="00E3684C" w:rsidRDefault="005336B7" w:rsidP="005336B7">
      <w:pPr>
        <w:spacing w:line="276" w:lineRule="auto"/>
        <w:outlineLvl w:val="0"/>
      </w:pPr>
      <w:r w:rsidRPr="00E3684C">
        <w:t xml:space="preserve">Gallop, A. (2006) </w:t>
      </w:r>
      <w:r w:rsidRPr="00E3684C">
        <w:rPr>
          <w:i/>
        </w:rPr>
        <w:t>Mortality improvements and evolution of life expectancies</w:t>
      </w:r>
      <w:r w:rsidRPr="00E3684C">
        <w:t xml:space="preserve">. Available at: </w:t>
      </w:r>
      <w:hyperlink r:id="rId18" w:history="1">
        <w:r w:rsidRPr="00E3684C">
          <w:rPr>
            <w:rStyle w:val="Hyperlink"/>
          </w:rPr>
          <w:t>http://www.osfi-bsif.gc.ca/Eng/Docs/DEIP_Gallop.pdf</w:t>
        </w:r>
      </w:hyperlink>
      <w:r w:rsidRPr="00E3684C">
        <w:t xml:space="preserve"> </w:t>
      </w:r>
      <w:bookmarkStart w:id="31" w:name="_Hlk531966716"/>
      <w:bookmarkStart w:id="32" w:name="_Hlk531960050"/>
      <w:r w:rsidRPr="00E3684C">
        <w:t>(Accessed: 6 December 2018).</w:t>
      </w:r>
      <w:bookmarkEnd w:id="31"/>
    </w:p>
    <w:p w14:paraId="32FD5EE7" w14:textId="77777777" w:rsidR="005336B7" w:rsidRPr="00E361B3" w:rsidRDefault="005336B7" w:rsidP="005336B7">
      <w:pPr>
        <w:spacing w:line="276" w:lineRule="auto"/>
        <w:outlineLvl w:val="0"/>
        <w:rPr>
          <w:highlight w:val="yellow"/>
        </w:rPr>
      </w:pPr>
    </w:p>
    <w:p w14:paraId="6402B998" w14:textId="77777777" w:rsidR="005336B7" w:rsidRDefault="005336B7" w:rsidP="005336B7">
      <w:pPr>
        <w:spacing w:line="276" w:lineRule="auto"/>
        <w:outlineLvl w:val="0"/>
      </w:pPr>
      <w:bookmarkStart w:id="33" w:name="_Hlk530755884"/>
      <w:bookmarkEnd w:id="32"/>
    </w:p>
    <w:p w14:paraId="5796DE73" w14:textId="77777777" w:rsidR="005336B7" w:rsidRDefault="005336B7" w:rsidP="005336B7">
      <w:pPr>
        <w:spacing w:line="276" w:lineRule="auto"/>
        <w:jc w:val="both"/>
      </w:pPr>
      <w:r w:rsidRPr="00323BA0">
        <w:t>GOV.UK. (2018</w:t>
      </w:r>
      <w:r>
        <w:t xml:space="preserve">) </w:t>
      </w:r>
      <w:r w:rsidRPr="00EE0B39">
        <w:rPr>
          <w:i/>
        </w:rPr>
        <w:t>PHE publishes latest data on nation’s diet</w:t>
      </w:r>
      <w:r>
        <w:t xml:space="preserve">. Available at: </w:t>
      </w:r>
      <w:hyperlink r:id="rId19" w:history="1">
        <w:r w:rsidRPr="00531A0E">
          <w:rPr>
            <w:rStyle w:val="Hyperlink"/>
          </w:rPr>
          <w:t>https://www.gov.uk/government/news/phe-publishes-latest-data-on-nations-diet</w:t>
        </w:r>
      </w:hyperlink>
      <w:r>
        <w:t xml:space="preserve"> (Accessed: 1 December 2018).</w:t>
      </w:r>
    </w:p>
    <w:p w14:paraId="51E0C0A3" w14:textId="77777777" w:rsidR="005336B7" w:rsidRDefault="005336B7" w:rsidP="005336B7">
      <w:pPr>
        <w:spacing w:line="276" w:lineRule="auto"/>
        <w:jc w:val="both"/>
      </w:pPr>
    </w:p>
    <w:p w14:paraId="364B0568" w14:textId="77777777" w:rsidR="005336B7" w:rsidRDefault="005336B7" w:rsidP="005336B7">
      <w:pPr>
        <w:spacing w:line="276" w:lineRule="auto"/>
        <w:jc w:val="both"/>
      </w:pPr>
      <w:r>
        <w:t xml:space="preserve">Haney, K. (2018) </w:t>
      </w:r>
      <w:r w:rsidRPr="009D5485">
        <w:rPr>
          <w:i/>
        </w:rPr>
        <w:t>Resources Offering Financial Help for Pregnant Mothers</w:t>
      </w:r>
      <w:r>
        <w:t xml:space="preserve">. Available at: </w:t>
      </w:r>
      <w:hyperlink r:id="rId20" w:history="1">
        <w:r w:rsidRPr="004059DC">
          <w:rPr>
            <w:rStyle w:val="Hyperlink"/>
          </w:rPr>
          <w:t>https://www.growingfamilybenefits.com/financial-assistance-while-pregnant/</w:t>
        </w:r>
      </w:hyperlink>
      <w:r>
        <w:t xml:space="preserve"> (Accessed: 6 December 2018).</w:t>
      </w:r>
    </w:p>
    <w:p w14:paraId="771B389A" w14:textId="77777777" w:rsidR="005336B7" w:rsidRDefault="005336B7" w:rsidP="005336B7">
      <w:pPr>
        <w:spacing w:line="276" w:lineRule="auto"/>
        <w:jc w:val="both"/>
      </w:pPr>
    </w:p>
    <w:p w14:paraId="49006EEA" w14:textId="77777777" w:rsidR="005336B7" w:rsidRDefault="005336B7" w:rsidP="005336B7">
      <w:pPr>
        <w:spacing w:line="276" w:lineRule="auto"/>
        <w:outlineLvl w:val="0"/>
      </w:pPr>
      <w:bookmarkStart w:id="34" w:name="_Hlk530755337"/>
      <w:bookmarkEnd w:id="33"/>
    </w:p>
    <w:bookmarkEnd w:id="34"/>
    <w:p w14:paraId="2DBD9671" w14:textId="77777777" w:rsidR="00D5393C" w:rsidRDefault="00D5393C" w:rsidP="00D5393C">
      <w:pPr>
        <w:spacing w:line="276" w:lineRule="auto"/>
        <w:outlineLvl w:val="0"/>
      </w:pPr>
      <w:proofErr w:type="spellStart"/>
      <w:r>
        <w:t>Ifland</w:t>
      </w:r>
      <w:proofErr w:type="spellEnd"/>
      <w:r>
        <w:t xml:space="preserve">, J.R., </w:t>
      </w:r>
      <w:proofErr w:type="spellStart"/>
      <w:r>
        <w:t>Preuss</w:t>
      </w:r>
      <w:proofErr w:type="spellEnd"/>
      <w:r>
        <w:t xml:space="preserve">, H.G., Marcus, M.T., Rourke, K.M., Taylor, W.C., Burau, K., Jacobs, W.S., </w:t>
      </w:r>
      <w:proofErr w:type="spellStart"/>
      <w:r>
        <w:t>Kadish</w:t>
      </w:r>
      <w:proofErr w:type="spellEnd"/>
      <w:r>
        <w:t xml:space="preserve">, W. and </w:t>
      </w:r>
      <w:proofErr w:type="spellStart"/>
      <w:r>
        <w:t>Manso</w:t>
      </w:r>
      <w:proofErr w:type="spellEnd"/>
      <w:r>
        <w:t xml:space="preserve">, G. (2008) ‘Refined food addiction: A classic substance use disorder’, </w:t>
      </w:r>
      <w:r w:rsidRPr="00DC5B4D">
        <w:rPr>
          <w:i/>
        </w:rPr>
        <w:t>Medical Hypotheses</w:t>
      </w:r>
      <w:r>
        <w:t xml:space="preserve"> 2, pp. 518-526. </w:t>
      </w:r>
    </w:p>
    <w:p w14:paraId="5D4145FD" w14:textId="77777777" w:rsidR="00D5393C" w:rsidRDefault="00D5393C" w:rsidP="00D5393C">
      <w:pPr>
        <w:spacing w:line="276" w:lineRule="auto"/>
        <w:outlineLvl w:val="0"/>
      </w:pPr>
    </w:p>
    <w:p w14:paraId="1EEAF373" w14:textId="368A580C" w:rsidR="00931F46" w:rsidRDefault="00931F46" w:rsidP="005336B7">
      <w:pPr>
        <w:spacing w:line="276" w:lineRule="auto"/>
        <w:outlineLvl w:val="0"/>
      </w:pPr>
    </w:p>
    <w:p w14:paraId="746092F5" w14:textId="20EC8277" w:rsidR="00931F46" w:rsidRDefault="00931F46" w:rsidP="005336B7">
      <w:pPr>
        <w:spacing w:line="276" w:lineRule="auto"/>
        <w:outlineLvl w:val="0"/>
      </w:pPr>
      <w:r>
        <w:rPr>
          <w:rFonts w:eastAsia="Times New Roman"/>
        </w:rPr>
        <w:t xml:space="preserve">Inyang, M.P. and </w:t>
      </w:r>
      <w:proofErr w:type="spellStart"/>
      <w:r>
        <w:rPr>
          <w:rFonts w:eastAsia="Times New Roman"/>
        </w:rPr>
        <w:t>Okey</w:t>
      </w:r>
      <w:proofErr w:type="spellEnd"/>
      <w:r>
        <w:rPr>
          <w:rFonts w:eastAsia="Times New Roman"/>
        </w:rPr>
        <w:t xml:space="preserve">-Orji, S. (2015) ‘Sedentary Lifestyle: Health Implications’, </w:t>
      </w:r>
      <w:r w:rsidRPr="00931F46">
        <w:rPr>
          <w:rFonts w:eastAsia="Times New Roman"/>
          <w:i/>
        </w:rPr>
        <w:t>Journal of Nursing and Health Science,</w:t>
      </w:r>
      <w:r>
        <w:rPr>
          <w:rFonts w:eastAsia="Times New Roman"/>
        </w:rPr>
        <w:t xml:space="preserve"> 4(2), pp. 20-25. </w:t>
      </w:r>
    </w:p>
    <w:p w14:paraId="7A33BBEE" w14:textId="77777777" w:rsidR="00D5393C" w:rsidRDefault="00D5393C" w:rsidP="005336B7">
      <w:pPr>
        <w:spacing w:line="276" w:lineRule="auto"/>
        <w:outlineLvl w:val="0"/>
      </w:pPr>
    </w:p>
    <w:p w14:paraId="4FAB9E47" w14:textId="3F528752" w:rsidR="00D5393C" w:rsidRDefault="00D5393C" w:rsidP="005336B7">
      <w:pPr>
        <w:spacing w:line="276" w:lineRule="auto"/>
        <w:outlineLvl w:val="0"/>
      </w:pPr>
      <w:r>
        <w:t xml:space="preserve">Leidy, H.J. (2012) ‘The Benefits of Breakfast Consumption to Combat Obesity and Diabetes in Young People’, </w:t>
      </w:r>
      <w:r w:rsidRPr="00D5393C">
        <w:rPr>
          <w:i/>
        </w:rPr>
        <w:t>American Journal of Lifestyle Medicine</w:t>
      </w:r>
      <w:r>
        <w:t xml:space="preserve">, 7(2). </w:t>
      </w:r>
      <w:hyperlink r:id="rId21" w:history="1">
        <w:r w:rsidR="00BB6AC0" w:rsidRPr="009E5A62">
          <w:rPr>
            <w:rStyle w:val="Hyperlink"/>
            <w:rFonts w:ascii="Arial" w:hAnsi="Arial" w:cs="Arial"/>
            <w:sz w:val="21"/>
            <w:szCs w:val="21"/>
            <w:shd w:val="clear" w:color="auto" w:fill="FFFFFF"/>
          </w:rPr>
          <w:t>https://doi.org/10.1177/1559827612468687</w:t>
        </w:r>
      </w:hyperlink>
      <w:r w:rsidRPr="00D5393C">
        <w:t xml:space="preserve"> </w:t>
      </w:r>
    </w:p>
    <w:p w14:paraId="5C1E1BBF" w14:textId="0A1B48C1" w:rsidR="00304010" w:rsidRDefault="00304010" w:rsidP="005336B7">
      <w:pPr>
        <w:spacing w:line="276" w:lineRule="auto"/>
        <w:outlineLvl w:val="0"/>
      </w:pPr>
    </w:p>
    <w:p w14:paraId="53C2C9D6" w14:textId="35B482B5" w:rsidR="00304010" w:rsidRDefault="00304010" w:rsidP="005336B7">
      <w:pPr>
        <w:spacing w:line="276" w:lineRule="auto"/>
        <w:outlineLvl w:val="0"/>
      </w:pPr>
      <w:r>
        <w:rPr>
          <w:rFonts w:eastAsia="Times New Roman"/>
        </w:rPr>
        <w:lastRenderedPageBreak/>
        <w:t xml:space="preserve">McHardy, F. (2015) </w:t>
      </w:r>
      <w:r w:rsidRPr="00304010">
        <w:rPr>
          <w:rFonts w:eastAsia="Times New Roman"/>
          <w:i/>
        </w:rPr>
        <w:t xml:space="preserve">Play In &amp; Around </w:t>
      </w:r>
      <w:proofErr w:type="gramStart"/>
      <w:r w:rsidRPr="00304010">
        <w:rPr>
          <w:rFonts w:eastAsia="Times New Roman"/>
          <w:i/>
        </w:rPr>
        <w:t>The</w:t>
      </w:r>
      <w:proofErr w:type="gramEnd"/>
      <w:r w:rsidRPr="00304010">
        <w:rPr>
          <w:rFonts w:eastAsia="Times New Roman"/>
          <w:i/>
        </w:rPr>
        <w:t xml:space="preserve"> Home: Play &amp; Poverty in Fife</w:t>
      </w:r>
      <w:r>
        <w:rPr>
          <w:rFonts w:eastAsia="Times New Roman"/>
        </w:rPr>
        <w:t xml:space="preserve">. Available at: </w:t>
      </w:r>
      <w:hyperlink r:id="rId22" w:history="1">
        <w:r w:rsidRPr="006311E1">
          <w:rPr>
            <w:rStyle w:val="Hyperlink"/>
            <w:rFonts w:eastAsia="Times New Roman"/>
          </w:rPr>
          <w:t>https://www.povertyalliance.org/userfiles/files/Play%26Poverty_in_Fife_FINAL_March15.pdf</w:t>
        </w:r>
      </w:hyperlink>
      <w:r>
        <w:rPr>
          <w:rFonts w:eastAsia="Times New Roman"/>
        </w:rPr>
        <w:t xml:space="preserve"> </w:t>
      </w:r>
      <w:r>
        <w:t>(Accessed: 31 December 2018).</w:t>
      </w:r>
    </w:p>
    <w:p w14:paraId="593C4435" w14:textId="77777777" w:rsidR="005336B7" w:rsidRDefault="005336B7" w:rsidP="005336B7">
      <w:pPr>
        <w:spacing w:line="276" w:lineRule="auto"/>
        <w:outlineLvl w:val="0"/>
      </w:pPr>
    </w:p>
    <w:p w14:paraId="7811805D" w14:textId="77777777" w:rsidR="005336B7" w:rsidRDefault="005336B7" w:rsidP="005336B7">
      <w:pPr>
        <w:spacing w:line="276" w:lineRule="auto"/>
        <w:outlineLvl w:val="0"/>
      </w:pPr>
      <w:r>
        <w:t xml:space="preserve">Mahoney, C.R., Taylor, H.A., </w:t>
      </w:r>
      <w:proofErr w:type="spellStart"/>
      <w:r>
        <w:t>Kanarek</w:t>
      </w:r>
      <w:proofErr w:type="spellEnd"/>
      <w:r>
        <w:t xml:space="preserve">, R.B. and Samuel, P. (2005) ‘Effect of breakfast composition on cognitive processes in elementary school children’, </w:t>
      </w:r>
      <w:r w:rsidRPr="002F00BC">
        <w:rPr>
          <w:i/>
        </w:rPr>
        <w:t xml:space="preserve">Physiology &amp; </w:t>
      </w:r>
      <w:proofErr w:type="spellStart"/>
      <w:r w:rsidRPr="002F00BC">
        <w:rPr>
          <w:i/>
        </w:rPr>
        <w:t>Behavior</w:t>
      </w:r>
      <w:proofErr w:type="spellEnd"/>
      <w:r w:rsidRPr="002F00BC">
        <w:rPr>
          <w:i/>
        </w:rPr>
        <w:t>,</w:t>
      </w:r>
      <w:r>
        <w:t xml:space="preserve"> 85, pp. 635-645. </w:t>
      </w:r>
    </w:p>
    <w:p w14:paraId="52766B31" w14:textId="77777777" w:rsidR="005336B7" w:rsidRDefault="005336B7" w:rsidP="005336B7">
      <w:pPr>
        <w:spacing w:line="276" w:lineRule="auto"/>
      </w:pPr>
    </w:p>
    <w:p w14:paraId="23FB16F0" w14:textId="77777777" w:rsidR="005336B7" w:rsidRDefault="005336B7" w:rsidP="005336B7">
      <w:pPr>
        <w:spacing w:line="276" w:lineRule="auto"/>
      </w:pPr>
      <w:bookmarkStart w:id="35" w:name="_Hlk531968906"/>
      <w:r w:rsidRPr="00323BA0">
        <w:rPr>
          <w:rFonts w:eastAsia="Times New Roman"/>
        </w:rPr>
        <w:t>Marmot.</w:t>
      </w:r>
      <w:r>
        <w:rPr>
          <w:rFonts w:eastAsia="Times New Roman"/>
        </w:rPr>
        <w:t xml:space="preserve"> M.</w:t>
      </w:r>
      <w:r w:rsidRPr="00355D45">
        <w:rPr>
          <w:rFonts w:eastAsia="Times New Roman"/>
        </w:rPr>
        <w:t xml:space="preserve"> </w:t>
      </w:r>
      <w:r>
        <w:rPr>
          <w:rFonts w:eastAsia="Times New Roman"/>
        </w:rPr>
        <w:t xml:space="preserve">(2010) </w:t>
      </w:r>
      <w:bookmarkEnd w:id="35"/>
      <w:r w:rsidRPr="006D6E21">
        <w:rPr>
          <w:rFonts w:eastAsia="Times New Roman"/>
          <w:i/>
        </w:rPr>
        <w:t>Fair Society healthy lives</w:t>
      </w:r>
      <w:r>
        <w:rPr>
          <w:rFonts w:eastAsia="Times New Roman"/>
        </w:rPr>
        <w:t xml:space="preserve">. Available at: </w:t>
      </w:r>
      <w:hyperlink r:id="rId23" w:history="1">
        <w:r w:rsidRPr="004541A7">
          <w:rPr>
            <w:rStyle w:val="Hyperlink"/>
            <w:rFonts w:eastAsia="Times New Roman"/>
          </w:rPr>
          <w:t>http://www.cpa.org.uk/cpa_documents/FairSocietyHealthyLivesExecSummary.pdf</w:t>
        </w:r>
      </w:hyperlink>
      <w:r>
        <w:rPr>
          <w:rFonts w:eastAsia="Times New Roman"/>
        </w:rPr>
        <w:t xml:space="preserve"> </w:t>
      </w:r>
      <w:r>
        <w:t>(Accessed: 30 October 2018).</w:t>
      </w:r>
    </w:p>
    <w:p w14:paraId="72ABAA62" w14:textId="77777777" w:rsidR="005336B7" w:rsidRDefault="005336B7" w:rsidP="005336B7">
      <w:pPr>
        <w:spacing w:line="276" w:lineRule="auto"/>
      </w:pPr>
    </w:p>
    <w:p w14:paraId="7B3BEAEE" w14:textId="44B09762" w:rsidR="008A4799" w:rsidRDefault="008A4799" w:rsidP="005336B7">
      <w:pPr>
        <w:spacing w:line="276" w:lineRule="auto"/>
      </w:pPr>
    </w:p>
    <w:p w14:paraId="45AC6C3C" w14:textId="55B5552D" w:rsidR="008A4799" w:rsidRDefault="008A4799" w:rsidP="005336B7">
      <w:pPr>
        <w:spacing w:line="276" w:lineRule="auto"/>
      </w:pPr>
      <w:r>
        <w:rPr>
          <w:rFonts w:eastAsia="Times New Roman"/>
          <w:color w:val="000000" w:themeColor="text1"/>
        </w:rPr>
        <w:t xml:space="preserve">National Heart, Lung and Blood Institute. (2018) </w:t>
      </w:r>
      <w:r w:rsidRPr="008A4799">
        <w:rPr>
          <w:rFonts w:eastAsia="Times New Roman"/>
          <w:i/>
          <w:color w:val="000000" w:themeColor="text1"/>
        </w:rPr>
        <w:t>Physical Activity and your Heart</w:t>
      </w:r>
      <w:r>
        <w:rPr>
          <w:rFonts w:eastAsia="Times New Roman"/>
          <w:color w:val="000000" w:themeColor="text1"/>
        </w:rPr>
        <w:t xml:space="preserve">. Available at: </w:t>
      </w:r>
      <w:hyperlink r:id="rId24" w:history="1">
        <w:r w:rsidRPr="006311E1">
          <w:rPr>
            <w:rStyle w:val="Hyperlink"/>
            <w:rFonts w:eastAsia="Times New Roman"/>
          </w:rPr>
          <w:t>https://www.nhlbi.nih.gov/health-topics/physical-activity-and-your-heart</w:t>
        </w:r>
      </w:hyperlink>
      <w:r>
        <w:rPr>
          <w:rFonts w:eastAsia="Times New Roman"/>
          <w:color w:val="000000" w:themeColor="text1"/>
        </w:rPr>
        <w:t xml:space="preserve"> </w:t>
      </w:r>
      <w:r>
        <w:rPr>
          <w:rFonts w:eastAsia="Times New Roman"/>
        </w:rPr>
        <w:t>(</w:t>
      </w:r>
      <w:r>
        <w:t>Accessed: 31 December 2018</w:t>
      </w:r>
    </w:p>
    <w:p w14:paraId="04C85802" w14:textId="14E4F8CE" w:rsidR="008B6A73" w:rsidRDefault="008B6A73" w:rsidP="005336B7">
      <w:pPr>
        <w:spacing w:line="276" w:lineRule="auto"/>
      </w:pPr>
    </w:p>
    <w:p w14:paraId="3BDB96BF" w14:textId="650F7589" w:rsidR="008B6A73" w:rsidRDefault="008B6A73" w:rsidP="008B6A73">
      <w:pPr>
        <w:spacing w:line="276" w:lineRule="auto"/>
        <w:rPr>
          <w:rFonts w:eastAsia="Times New Roman"/>
        </w:rPr>
      </w:pPr>
      <w:bookmarkStart w:id="36" w:name="_Hlk534029884"/>
      <w:r w:rsidRPr="000C5B6F">
        <w:rPr>
          <w:rFonts w:eastAsia="Times New Roman"/>
        </w:rPr>
        <w:t xml:space="preserve">NHS </w:t>
      </w:r>
      <w:r>
        <w:rPr>
          <w:rFonts w:eastAsia="Times New Roman"/>
        </w:rPr>
        <w:t>Wales.</w:t>
      </w:r>
      <w:r w:rsidRPr="000C5B6F">
        <w:rPr>
          <w:rFonts w:eastAsia="Times New Roman"/>
        </w:rPr>
        <w:t xml:space="preserve"> </w:t>
      </w:r>
      <w:r>
        <w:rPr>
          <w:rFonts w:eastAsia="Times New Roman"/>
        </w:rPr>
        <w:t>(</w:t>
      </w:r>
      <w:r w:rsidRPr="000C5B6F">
        <w:rPr>
          <w:rFonts w:eastAsia="Times New Roman"/>
        </w:rPr>
        <w:t>201</w:t>
      </w:r>
      <w:r>
        <w:rPr>
          <w:rFonts w:eastAsia="Times New Roman"/>
        </w:rPr>
        <w:t>8</w:t>
      </w:r>
      <w:r w:rsidRPr="000C5B6F">
        <w:rPr>
          <w:rFonts w:eastAsia="Times New Roman"/>
        </w:rPr>
        <w:t>)</w:t>
      </w:r>
      <w:r>
        <w:rPr>
          <w:rFonts w:eastAsia="Times New Roman"/>
        </w:rPr>
        <w:t xml:space="preserve"> </w:t>
      </w:r>
      <w:bookmarkEnd w:id="36"/>
      <w:r>
        <w:rPr>
          <w:rFonts w:eastAsia="Times New Roman"/>
          <w:i/>
        </w:rPr>
        <w:t>Healthy Eating</w:t>
      </w:r>
      <w:r>
        <w:rPr>
          <w:rFonts w:eastAsia="Times New Roman"/>
        </w:rPr>
        <w:t xml:space="preserve">. Available at: </w:t>
      </w:r>
      <w:hyperlink r:id="rId25" w:history="1">
        <w:r w:rsidRPr="00666E4D">
          <w:rPr>
            <w:rStyle w:val="Hyperlink"/>
            <w:rFonts w:eastAsia="Times New Roman"/>
          </w:rPr>
          <w:t>http://www.publichealthwalesobservatory.wales.nhs.uk/healthy-eating</w:t>
        </w:r>
      </w:hyperlink>
      <w:r>
        <w:rPr>
          <w:rFonts w:eastAsia="Times New Roman"/>
        </w:rPr>
        <w:t xml:space="preserve"> </w:t>
      </w:r>
    </w:p>
    <w:p w14:paraId="2F29B387" w14:textId="0B23D0CC" w:rsidR="008B6A73" w:rsidRDefault="008B6A73" w:rsidP="005336B7">
      <w:pPr>
        <w:spacing w:line="276" w:lineRule="auto"/>
      </w:pPr>
      <w:bookmarkStart w:id="37" w:name="_Hlk534033485"/>
      <w:r>
        <w:rPr>
          <w:rFonts w:eastAsia="Times New Roman"/>
        </w:rPr>
        <w:t>(</w:t>
      </w:r>
      <w:r>
        <w:t>Accessed: 31 December 2018</w:t>
      </w:r>
      <w:bookmarkEnd w:id="37"/>
      <w:r>
        <w:t>).</w:t>
      </w:r>
      <w:r w:rsidRPr="00D354F1">
        <w:rPr>
          <w:rFonts w:eastAsia="Times New Roman"/>
        </w:rPr>
        <w:t xml:space="preserve">   </w:t>
      </w:r>
    </w:p>
    <w:p w14:paraId="304F2ADE" w14:textId="77777777" w:rsidR="005336B7" w:rsidRDefault="005336B7" w:rsidP="005336B7">
      <w:pPr>
        <w:spacing w:line="276" w:lineRule="auto"/>
      </w:pPr>
    </w:p>
    <w:p w14:paraId="682C4583" w14:textId="77777777" w:rsidR="005336B7" w:rsidRPr="00323BA0" w:rsidRDefault="005336B7" w:rsidP="005336B7">
      <w:pPr>
        <w:spacing w:line="276" w:lineRule="auto"/>
      </w:pPr>
      <w:r w:rsidRPr="00323BA0">
        <w:rPr>
          <w:rFonts w:eastAsia="Times New Roman"/>
        </w:rPr>
        <w:t xml:space="preserve">OECD. (2017) </w:t>
      </w:r>
      <w:r w:rsidRPr="00323BA0">
        <w:rPr>
          <w:rFonts w:eastAsia="Times New Roman"/>
          <w:i/>
        </w:rPr>
        <w:t xml:space="preserve">Understanding </w:t>
      </w:r>
      <w:proofErr w:type="gramStart"/>
      <w:r w:rsidRPr="00323BA0">
        <w:rPr>
          <w:rFonts w:eastAsia="Times New Roman"/>
          <w:i/>
        </w:rPr>
        <w:t>The</w:t>
      </w:r>
      <w:proofErr w:type="gramEnd"/>
      <w:r w:rsidRPr="00323BA0">
        <w:rPr>
          <w:rFonts w:eastAsia="Times New Roman"/>
          <w:i/>
        </w:rPr>
        <w:t xml:space="preserve"> Socio-Economic Divide In Europe</w:t>
      </w:r>
      <w:r w:rsidRPr="00323BA0">
        <w:rPr>
          <w:rFonts w:eastAsia="Times New Roman"/>
        </w:rPr>
        <w:t xml:space="preserve">. Available at: </w:t>
      </w:r>
      <w:hyperlink r:id="rId26" w:history="1">
        <w:r w:rsidRPr="00323BA0">
          <w:rPr>
            <w:rStyle w:val="Hyperlink"/>
            <w:rFonts w:eastAsia="Times New Roman"/>
          </w:rPr>
          <w:t>https://www.oecd.org/els/soc/cope-divide-europe-2017-background-report.pdf</w:t>
        </w:r>
      </w:hyperlink>
      <w:r w:rsidRPr="00323BA0">
        <w:rPr>
          <w:rFonts w:eastAsia="Times New Roman"/>
        </w:rPr>
        <w:t xml:space="preserve"> </w:t>
      </w:r>
      <w:r w:rsidRPr="00323BA0">
        <w:t>(Accessed: 9 December 2018).</w:t>
      </w:r>
    </w:p>
    <w:p w14:paraId="4A22FD0C" w14:textId="77777777" w:rsidR="005336B7" w:rsidRPr="00E361B3" w:rsidRDefault="005336B7" w:rsidP="005336B7">
      <w:pPr>
        <w:spacing w:line="360" w:lineRule="auto"/>
        <w:rPr>
          <w:highlight w:val="yellow"/>
        </w:rPr>
      </w:pPr>
    </w:p>
    <w:p w14:paraId="3B5282E9" w14:textId="77777777" w:rsidR="005336B7" w:rsidRPr="00323BA0" w:rsidRDefault="005336B7" w:rsidP="005336B7">
      <w:pPr>
        <w:spacing w:line="360" w:lineRule="auto"/>
      </w:pPr>
      <w:r w:rsidRPr="00323BA0">
        <w:rPr>
          <w:rStyle w:val="Hyperlink"/>
          <w:color w:val="auto"/>
          <w:u w:val="none"/>
        </w:rPr>
        <w:t>Office for National Statistics. (2018)</w:t>
      </w:r>
      <w:r w:rsidRPr="00323BA0">
        <w:rPr>
          <w:rStyle w:val="Hyperlink"/>
          <w:i/>
          <w:color w:val="auto"/>
          <w:u w:val="none"/>
        </w:rPr>
        <w:t xml:space="preserve"> National life tables, UK: 2015 to 2017.</w:t>
      </w:r>
      <w:r w:rsidRPr="00323BA0">
        <w:rPr>
          <w:i/>
          <w:color w:val="000000" w:themeColor="text1"/>
        </w:rPr>
        <w:t xml:space="preserve"> </w:t>
      </w:r>
      <w:r w:rsidRPr="00323BA0">
        <w:rPr>
          <w:color w:val="000000" w:themeColor="text1"/>
        </w:rPr>
        <w:t xml:space="preserve">Available at: </w:t>
      </w:r>
      <w:hyperlink r:id="rId27" w:history="1">
        <w:r w:rsidRPr="00323BA0">
          <w:rPr>
            <w:rStyle w:val="Hyperlink"/>
          </w:rPr>
          <w:t>https://www.ons.gov.uk/peoplepopulationandcommunity/birthsdeathsandmarriages/lifeexpectancies/bulletins/nationallifetablesunitedkingdom/2015to2017</w:t>
        </w:r>
      </w:hyperlink>
      <w:r w:rsidRPr="00323BA0">
        <w:rPr>
          <w:color w:val="000000" w:themeColor="text1"/>
        </w:rPr>
        <w:t xml:space="preserve"> </w:t>
      </w:r>
      <w:r w:rsidRPr="00323BA0">
        <w:t>(Accessed: 18 December 2018).</w:t>
      </w:r>
    </w:p>
    <w:p w14:paraId="6774FE68" w14:textId="77777777" w:rsidR="005336B7" w:rsidRPr="00323BA0" w:rsidRDefault="005336B7" w:rsidP="005336B7">
      <w:pPr>
        <w:spacing w:line="360" w:lineRule="auto"/>
      </w:pPr>
    </w:p>
    <w:p w14:paraId="0E50CCDA" w14:textId="77777777" w:rsidR="005336B7" w:rsidRPr="00CD746B" w:rsidRDefault="005336B7" w:rsidP="005336B7">
      <w:pPr>
        <w:spacing w:line="360" w:lineRule="auto"/>
        <w:rPr>
          <w:rStyle w:val="Hyperlink"/>
          <w:color w:val="auto"/>
          <w:u w:val="none"/>
        </w:rPr>
      </w:pPr>
      <w:r w:rsidRPr="00323BA0">
        <w:rPr>
          <w:rStyle w:val="Hyperlink"/>
          <w:color w:val="auto"/>
          <w:u w:val="none"/>
        </w:rPr>
        <w:t xml:space="preserve">Office for National Statistics. (2018) </w:t>
      </w:r>
      <w:r w:rsidRPr="00323BA0">
        <w:rPr>
          <w:rStyle w:val="Hyperlink"/>
          <w:i/>
          <w:color w:val="auto"/>
          <w:u w:val="none"/>
        </w:rPr>
        <w:t xml:space="preserve">The National Statistics </w:t>
      </w:r>
      <w:r w:rsidRPr="00323BA0">
        <w:rPr>
          <w:i/>
          <w:color w:val="000000" w:themeColor="text1"/>
        </w:rPr>
        <w:t xml:space="preserve">Socio-Economic Classification. </w:t>
      </w:r>
      <w:r w:rsidRPr="00323BA0">
        <w:rPr>
          <w:color w:val="000000" w:themeColor="text1"/>
        </w:rPr>
        <w:t xml:space="preserve">Available at: </w:t>
      </w:r>
      <w:hyperlink r:id="rId28" w:history="1">
        <w:r w:rsidRPr="00323BA0">
          <w:rPr>
            <w:rStyle w:val="Hyperlink"/>
          </w:rPr>
          <w:t>https://www.ons.gov.uk/search?q=The+National+Statistics+Socio-Economic+Classification+%28NS-SEC%29+has+now+replaced+the+RGSC</w:t>
        </w:r>
      </w:hyperlink>
      <w:r w:rsidRPr="00323BA0">
        <w:rPr>
          <w:color w:val="000000" w:themeColor="text1"/>
        </w:rPr>
        <w:t xml:space="preserve">.+ </w:t>
      </w:r>
      <w:r w:rsidRPr="00323BA0">
        <w:t>(Accessed: 18 December 2018).</w:t>
      </w:r>
    </w:p>
    <w:p w14:paraId="4CCF7E58" w14:textId="77777777" w:rsidR="005336B7" w:rsidRPr="00E361B3" w:rsidRDefault="005336B7" w:rsidP="005336B7">
      <w:pPr>
        <w:spacing w:line="360" w:lineRule="auto"/>
        <w:rPr>
          <w:highlight w:val="yellow"/>
        </w:rPr>
      </w:pPr>
    </w:p>
    <w:p w14:paraId="3B705AE5" w14:textId="5F3F966F" w:rsidR="005336B7" w:rsidRDefault="005336B7" w:rsidP="005336B7">
      <w:pPr>
        <w:spacing w:line="276" w:lineRule="auto"/>
        <w:rPr>
          <w:shd w:val="clear" w:color="auto" w:fill="FFFFFF"/>
        </w:rPr>
      </w:pPr>
      <w:bookmarkStart w:id="38" w:name="_Hlk531968783"/>
      <w:proofErr w:type="spellStart"/>
      <w:r w:rsidRPr="00323BA0">
        <w:t>Pampel</w:t>
      </w:r>
      <w:proofErr w:type="spellEnd"/>
      <w:r w:rsidRPr="00323BA0">
        <w:t xml:space="preserve">, F.C., Krueger, P.M. and Denney, J.T. (2010) </w:t>
      </w:r>
      <w:bookmarkEnd w:id="38"/>
      <w:r w:rsidRPr="00323BA0">
        <w:t xml:space="preserve">‘Socioeconomic Disparities in Health </w:t>
      </w:r>
      <w:proofErr w:type="spellStart"/>
      <w:r w:rsidRPr="00323BA0">
        <w:t>Behaviors</w:t>
      </w:r>
      <w:proofErr w:type="spellEnd"/>
      <w:r w:rsidRPr="00323BA0">
        <w:t xml:space="preserve">, </w:t>
      </w:r>
      <w:proofErr w:type="spellStart"/>
      <w:r w:rsidRPr="00323BA0">
        <w:rPr>
          <w:i/>
        </w:rPr>
        <w:t>Annu</w:t>
      </w:r>
      <w:proofErr w:type="spellEnd"/>
      <w:r w:rsidRPr="00323BA0">
        <w:rPr>
          <w:i/>
        </w:rPr>
        <w:t xml:space="preserve"> Rev </w:t>
      </w:r>
      <w:proofErr w:type="spellStart"/>
      <w:r w:rsidRPr="00323BA0">
        <w:rPr>
          <w:i/>
        </w:rPr>
        <w:t>Sociol</w:t>
      </w:r>
      <w:proofErr w:type="spellEnd"/>
      <w:r w:rsidRPr="00323BA0">
        <w:t xml:space="preserve">, 36, pp.349-370. </w:t>
      </w:r>
      <w:proofErr w:type="spellStart"/>
      <w:r w:rsidRPr="00323BA0">
        <w:rPr>
          <w:shd w:val="clear" w:color="auto" w:fill="FFFFFF"/>
        </w:rPr>
        <w:t>doi</w:t>
      </w:r>
      <w:proofErr w:type="spellEnd"/>
      <w:r w:rsidRPr="00323BA0">
        <w:rPr>
          <w:shd w:val="clear" w:color="auto" w:fill="FFFFFF"/>
        </w:rPr>
        <w:t>: [</w:t>
      </w:r>
      <w:hyperlink r:id="rId29" w:tgtFrame="pmc_ext" w:history="1">
        <w:r w:rsidRPr="00323BA0">
          <w:rPr>
            <w:u w:val="single"/>
            <w:shd w:val="clear" w:color="auto" w:fill="FFFFFF"/>
          </w:rPr>
          <w:t>10.1146/annurev.soc.012809.102529</w:t>
        </w:r>
      </w:hyperlink>
      <w:r w:rsidRPr="00323BA0">
        <w:rPr>
          <w:shd w:val="clear" w:color="auto" w:fill="FFFFFF"/>
        </w:rPr>
        <w:t>]</w:t>
      </w:r>
    </w:p>
    <w:p w14:paraId="257AFB84" w14:textId="7A0FAC99" w:rsidR="0089297F" w:rsidRDefault="0089297F" w:rsidP="005336B7">
      <w:pPr>
        <w:spacing w:line="276" w:lineRule="auto"/>
      </w:pPr>
    </w:p>
    <w:p w14:paraId="465D6BE2" w14:textId="5F476B02" w:rsidR="0089297F" w:rsidRDefault="0089297F" w:rsidP="0089297F">
      <w:pPr>
        <w:spacing w:line="276" w:lineRule="auto"/>
        <w:jc w:val="both"/>
      </w:pPr>
      <w:r w:rsidRPr="00F44E5D">
        <w:t>Parl</w:t>
      </w:r>
      <w:r>
        <w:t xml:space="preserve">iament, House of Commons. (2004) </w:t>
      </w:r>
      <w:r w:rsidRPr="002B6235">
        <w:rPr>
          <w:i/>
        </w:rPr>
        <w:t xml:space="preserve">Health </w:t>
      </w:r>
      <w:r>
        <w:rPr>
          <w:i/>
        </w:rPr>
        <w:t>-Third Report</w:t>
      </w:r>
      <w:r w:rsidRPr="002B6235">
        <w:rPr>
          <w:i/>
        </w:rPr>
        <w:t>, Session 200</w:t>
      </w:r>
      <w:r>
        <w:rPr>
          <w:i/>
        </w:rPr>
        <w:t>3</w:t>
      </w:r>
      <w:r w:rsidRPr="002B6235">
        <w:rPr>
          <w:i/>
        </w:rPr>
        <w:t>-200</w:t>
      </w:r>
      <w:r>
        <w:rPr>
          <w:i/>
        </w:rPr>
        <w:t>4</w:t>
      </w:r>
      <w:r>
        <w:t>. London: The Stationary Office.</w:t>
      </w:r>
    </w:p>
    <w:p w14:paraId="605BE233" w14:textId="77777777" w:rsidR="005336B7" w:rsidRDefault="005336B7" w:rsidP="005336B7">
      <w:pPr>
        <w:spacing w:line="276" w:lineRule="auto"/>
      </w:pPr>
    </w:p>
    <w:p w14:paraId="4001A4A8" w14:textId="423F3F66" w:rsidR="005336B7" w:rsidRDefault="005336B7" w:rsidP="005336B7">
      <w:pPr>
        <w:spacing w:line="276" w:lineRule="auto"/>
        <w:jc w:val="both"/>
      </w:pPr>
      <w:r w:rsidRPr="00F44E5D">
        <w:lastRenderedPageBreak/>
        <w:t>Parl</w:t>
      </w:r>
      <w:r>
        <w:t xml:space="preserve">iament, House of Commons. (2008) </w:t>
      </w:r>
      <w:r w:rsidRPr="002B6235">
        <w:rPr>
          <w:i/>
        </w:rPr>
        <w:t>Health Inequalities, Session 2007-2008.</w:t>
      </w:r>
      <w:r>
        <w:t xml:space="preserve"> (HC 2007-2008 422-i to vii). London: The Stationary Office.</w:t>
      </w:r>
    </w:p>
    <w:p w14:paraId="0F6FF6FC" w14:textId="5562ED99" w:rsidR="00B76A31" w:rsidRDefault="00B76A31" w:rsidP="005336B7">
      <w:pPr>
        <w:spacing w:line="276" w:lineRule="auto"/>
        <w:jc w:val="both"/>
      </w:pPr>
    </w:p>
    <w:p w14:paraId="7642E87E" w14:textId="3AD2A8CC" w:rsidR="008C1165" w:rsidRDefault="008C1165" w:rsidP="008C1165">
      <w:pPr>
        <w:spacing w:line="276" w:lineRule="auto"/>
        <w:jc w:val="both"/>
      </w:pPr>
      <w:r w:rsidRPr="00F44E5D">
        <w:t>Parl</w:t>
      </w:r>
      <w:r>
        <w:t xml:space="preserve">iament, House of Commons. (2017) </w:t>
      </w:r>
      <w:r>
        <w:rPr>
          <w:i/>
        </w:rPr>
        <w:t>Public health post-2013,</w:t>
      </w:r>
      <w:r w:rsidRPr="002B6235">
        <w:rPr>
          <w:i/>
        </w:rPr>
        <w:t xml:space="preserve"> Session 20</w:t>
      </w:r>
      <w:r>
        <w:rPr>
          <w:i/>
        </w:rPr>
        <w:t>16</w:t>
      </w:r>
      <w:r w:rsidRPr="002B6235">
        <w:rPr>
          <w:i/>
        </w:rPr>
        <w:t>-20</w:t>
      </w:r>
      <w:r>
        <w:rPr>
          <w:i/>
        </w:rPr>
        <w:t>17</w:t>
      </w:r>
      <w:r>
        <w:t>. London: The Stationary Office.</w:t>
      </w:r>
    </w:p>
    <w:p w14:paraId="4F41EE6F" w14:textId="77777777" w:rsidR="00B76A31" w:rsidRDefault="00B76A31" w:rsidP="005336B7">
      <w:pPr>
        <w:spacing w:line="276" w:lineRule="auto"/>
        <w:jc w:val="both"/>
      </w:pPr>
    </w:p>
    <w:p w14:paraId="1A21E8C3" w14:textId="77777777" w:rsidR="005336B7" w:rsidRDefault="005336B7" w:rsidP="005336B7">
      <w:pPr>
        <w:spacing w:line="360" w:lineRule="auto"/>
        <w:rPr>
          <w:rFonts w:eastAsia="Times New Roman"/>
        </w:rPr>
      </w:pPr>
    </w:p>
    <w:p w14:paraId="21EB42A1" w14:textId="77777777" w:rsidR="005336B7" w:rsidRDefault="005336B7" w:rsidP="005336B7">
      <w:pPr>
        <w:spacing w:line="360" w:lineRule="auto"/>
        <w:rPr>
          <w:rFonts w:eastAsia="Times New Roman"/>
        </w:rPr>
      </w:pPr>
      <w:r w:rsidRPr="00F44E5D">
        <w:rPr>
          <w:rFonts w:eastAsia="Times New Roman"/>
        </w:rPr>
        <w:t>Pub</w:t>
      </w:r>
      <w:r w:rsidRPr="00947E12">
        <w:rPr>
          <w:rFonts w:eastAsia="Times New Roman"/>
        </w:rPr>
        <w:t>lic Health England</w:t>
      </w:r>
      <w:r>
        <w:rPr>
          <w:rFonts w:eastAsia="Times New Roman"/>
        </w:rPr>
        <w:t>. (</w:t>
      </w:r>
      <w:r w:rsidRPr="00947E12">
        <w:rPr>
          <w:rFonts w:eastAsia="Times New Roman"/>
        </w:rPr>
        <w:t>201</w:t>
      </w:r>
      <w:r>
        <w:rPr>
          <w:rFonts w:eastAsia="Times New Roman"/>
        </w:rPr>
        <w:t>5</w:t>
      </w:r>
      <w:r w:rsidRPr="00947E12">
        <w:rPr>
          <w:rFonts w:eastAsia="Times New Roman"/>
        </w:rPr>
        <w:t>)</w:t>
      </w:r>
      <w:r>
        <w:rPr>
          <w:rFonts w:eastAsia="Times New Roman"/>
        </w:rPr>
        <w:t xml:space="preserve"> </w:t>
      </w:r>
      <w:r w:rsidRPr="0088462E">
        <w:rPr>
          <w:rFonts w:eastAsia="Times New Roman"/>
          <w:i/>
        </w:rPr>
        <w:t>Health matters: obesity and the food environment</w:t>
      </w:r>
      <w:r>
        <w:rPr>
          <w:rFonts w:eastAsia="Times New Roman"/>
        </w:rPr>
        <w:t xml:space="preserve">. Available at: </w:t>
      </w:r>
      <w:hyperlink r:id="rId30" w:history="1">
        <w:r w:rsidRPr="0049176A">
          <w:rPr>
            <w:rStyle w:val="Hyperlink"/>
            <w:rFonts w:eastAsia="Times New Roman"/>
          </w:rPr>
          <w:t>https://www.gov.uk/government/publications/health-matters-obesity-and-the-food-environment/health-matters-obesity-and-the-food-environment--2</w:t>
        </w:r>
      </w:hyperlink>
      <w:r>
        <w:rPr>
          <w:rFonts w:eastAsia="Times New Roman"/>
        </w:rPr>
        <w:t xml:space="preserve"> </w:t>
      </w:r>
      <w:bookmarkStart w:id="39" w:name="_Hlk533173395"/>
      <w:r>
        <w:t>(Accessed: 18 December 2018).</w:t>
      </w:r>
    </w:p>
    <w:bookmarkEnd w:id="39"/>
    <w:p w14:paraId="5967E065" w14:textId="77777777" w:rsidR="005336B7" w:rsidRDefault="005336B7" w:rsidP="005336B7">
      <w:pPr>
        <w:spacing w:line="276" w:lineRule="auto"/>
        <w:jc w:val="both"/>
      </w:pPr>
    </w:p>
    <w:p w14:paraId="01186E98" w14:textId="77777777" w:rsidR="005336B7" w:rsidRDefault="005336B7" w:rsidP="005336B7">
      <w:pPr>
        <w:spacing w:line="276" w:lineRule="auto"/>
        <w:jc w:val="both"/>
      </w:pPr>
      <w:bookmarkStart w:id="40" w:name="_Hlk533172040"/>
      <w:r w:rsidRPr="00947E12">
        <w:rPr>
          <w:rFonts w:eastAsia="Times New Roman"/>
        </w:rPr>
        <w:t>Public Health England</w:t>
      </w:r>
      <w:r>
        <w:rPr>
          <w:rFonts w:eastAsia="Times New Roman"/>
        </w:rPr>
        <w:t>. (</w:t>
      </w:r>
      <w:r w:rsidRPr="00947E12">
        <w:rPr>
          <w:rFonts w:eastAsia="Times New Roman"/>
        </w:rPr>
        <w:t>2016)</w:t>
      </w:r>
      <w:r>
        <w:rPr>
          <w:rFonts w:eastAsia="Times New Roman"/>
        </w:rPr>
        <w:t xml:space="preserve"> </w:t>
      </w:r>
      <w:bookmarkEnd w:id="40"/>
      <w:r w:rsidRPr="003859A7">
        <w:rPr>
          <w:rFonts w:eastAsia="Times New Roman"/>
          <w:i/>
        </w:rPr>
        <w:t>Commissioning infant feeding services: a toolkit for local authorities</w:t>
      </w:r>
      <w:r>
        <w:rPr>
          <w:rFonts w:eastAsia="Times New Roman"/>
        </w:rPr>
        <w:t xml:space="preserve"> (Part 2). Available at: </w:t>
      </w:r>
      <w:hyperlink r:id="rId31" w:history="1">
        <w:r w:rsidRPr="004059DC">
          <w:rPr>
            <w:rStyle w:val="Hyperlink"/>
            <w:rFonts w:eastAsia="Times New Roman"/>
          </w:rPr>
          <w:t>https://assets.publishing.service.gov.uk/government/uploads/system/uploads/attachment_data/file/538344/Commissioning_infant_feeding_services_a_toolkit_for_local_authorities__Part_2_.pdf</w:t>
        </w:r>
      </w:hyperlink>
      <w:r>
        <w:rPr>
          <w:rFonts w:eastAsia="Times New Roman"/>
        </w:rPr>
        <w:t xml:space="preserve"> </w:t>
      </w:r>
      <w:r>
        <w:t>(Accessed: 6 December 2018).</w:t>
      </w:r>
    </w:p>
    <w:p w14:paraId="21575FEA" w14:textId="77777777" w:rsidR="005336B7" w:rsidRDefault="005336B7" w:rsidP="005336B7">
      <w:pPr>
        <w:spacing w:line="276" w:lineRule="auto"/>
        <w:jc w:val="both"/>
        <w:rPr>
          <w:rFonts w:eastAsia="Times New Roman"/>
        </w:rPr>
      </w:pPr>
    </w:p>
    <w:p w14:paraId="30074B4F" w14:textId="77777777" w:rsidR="005336B7" w:rsidRPr="001478A3" w:rsidRDefault="005336B7" w:rsidP="005336B7">
      <w:pPr>
        <w:spacing w:line="276" w:lineRule="auto"/>
      </w:pPr>
      <w:r w:rsidRPr="001478A3">
        <w:t xml:space="preserve">Public Health England. (2018) </w:t>
      </w:r>
      <w:r w:rsidRPr="001478A3">
        <w:rPr>
          <w:i/>
        </w:rPr>
        <w:t>Chapter 5: inequalities in health.</w:t>
      </w:r>
      <w:r w:rsidRPr="001478A3">
        <w:t xml:space="preserve"> Available at: </w:t>
      </w:r>
      <w:hyperlink r:id="rId32" w:history="1">
        <w:r w:rsidRPr="001478A3">
          <w:rPr>
            <w:rStyle w:val="Hyperlink"/>
          </w:rPr>
          <w:t>https://www.gov.uk/government/publications/health-profile-for-england-2018/chapter-5-inequalities-in-health</w:t>
        </w:r>
      </w:hyperlink>
      <w:r w:rsidRPr="001478A3">
        <w:t xml:space="preserve"> </w:t>
      </w:r>
      <w:bookmarkStart w:id="41" w:name="_Hlk533177397"/>
      <w:r w:rsidRPr="001478A3">
        <w:t>(Accessed: 18 December 2018).</w:t>
      </w:r>
    </w:p>
    <w:bookmarkEnd w:id="41"/>
    <w:p w14:paraId="22E0D6A0" w14:textId="77777777" w:rsidR="005336B7" w:rsidRPr="001478A3" w:rsidRDefault="005336B7" w:rsidP="005336B7">
      <w:pPr>
        <w:spacing w:line="276" w:lineRule="auto"/>
        <w:jc w:val="both"/>
      </w:pPr>
    </w:p>
    <w:p w14:paraId="26968DCF" w14:textId="3B463B0F" w:rsidR="005336B7" w:rsidRDefault="005336B7" w:rsidP="005336B7">
      <w:pPr>
        <w:spacing w:line="276" w:lineRule="auto"/>
      </w:pPr>
      <w:bookmarkStart w:id="42" w:name="_Hlk533175586"/>
      <w:r w:rsidRPr="001478A3">
        <w:t xml:space="preserve">Public Health England. (2018) </w:t>
      </w:r>
      <w:r w:rsidRPr="001478A3">
        <w:rPr>
          <w:i/>
        </w:rPr>
        <w:t>The Eatwell Guide</w:t>
      </w:r>
      <w:r w:rsidRPr="001478A3">
        <w:t xml:space="preserve">. Available at: </w:t>
      </w:r>
      <w:hyperlink r:id="rId33" w:history="1">
        <w:r w:rsidRPr="001478A3">
          <w:rPr>
            <w:rStyle w:val="Hyperlink"/>
          </w:rPr>
          <w:t>https://assets.publishing.service.gov.uk/government/uploads/system/uploads/attachment_data/file/742750/Eatwell_Guide_booklet_2018v4.pdf</w:t>
        </w:r>
      </w:hyperlink>
      <w:r w:rsidRPr="001478A3">
        <w:t xml:space="preserve"> (Accessed: 28 October 2018).</w:t>
      </w:r>
    </w:p>
    <w:p w14:paraId="10549328" w14:textId="179E1DCE" w:rsidR="00D2500F" w:rsidRDefault="00D2500F" w:rsidP="005336B7">
      <w:pPr>
        <w:spacing w:line="276" w:lineRule="auto"/>
      </w:pPr>
    </w:p>
    <w:p w14:paraId="27EA2B20" w14:textId="63134A02" w:rsidR="00D2500F" w:rsidRDefault="00D2500F" w:rsidP="005336B7">
      <w:pPr>
        <w:spacing w:line="276" w:lineRule="auto"/>
      </w:pPr>
      <w:r>
        <w:t xml:space="preserve">Rose, D. (1995) </w:t>
      </w:r>
      <w:r w:rsidRPr="00D2500F">
        <w:rPr>
          <w:i/>
        </w:rPr>
        <w:t>Official Social Classifications in the UK</w:t>
      </w:r>
      <w:r>
        <w:t xml:space="preserve">. Available at: </w:t>
      </w:r>
      <w:hyperlink r:id="rId34" w:history="1">
        <w:r w:rsidRPr="006065E6">
          <w:rPr>
            <w:rStyle w:val="Hyperlink"/>
          </w:rPr>
          <w:t>http://sru.soc.surrey.ac.uk/SRU9.html</w:t>
        </w:r>
      </w:hyperlink>
      <w:r>
        <w:t xml:space="preserve"> (Accessed: 2 January 2019).</w:t>
      </w:r>
    </w:p>
    <w:p w14:paraId="78CAF994" w14:textId="77777777" w:rsidR="005336B7" w:rsidRDefault="005336B7" w:rsidP="005336B7">
      <w:pPr>
        <w:spacing w:line="276" w:lineRule="auto"/>
      </w:pPr>
    </w:p>
    <w:p w14:paraId="1DD58DE1" w14:textId="0325FDD0" w:rsidR="005336B7" w:rsidRDefault="005336B7" w:rsidP="005336B7">
      <w:pPr>
        <w:spacing w:line="276" w:lineRule="auto"/>
      </w:pPr>
      <w:r w:rsidRPr="001478A3">
        <w:t xml:space="preserve">Scottish Government. (2008) </w:t>
      </w:r>
      <w:r w:rsidRPr="001478A3">
        <w:rPr>
          <w:i/>
        </w:rPr>
        <w:t>equally well</w:t>
      </w:r>
      <w:r w:rsidRPr="001478A3">
        <w:t xml:space="preserve">. Available at: </w:t>
      </w:r>
      <w:hyperlink r:id="rId35" w:history="1">
        <w:r w:rsidRPr="001478A3">
          <w:rPr>
            <w:rStyle w:val="Hyperlink"/>
          </w:rPr>
          <w:t>https://www2.gov.scot/resource/doc/229649/0062206.pdf</w:t>
        </w:r>
      </w:hyperlink>
      <w:r w:rsidRPr="001478A3">
        <w:t xml:space="preserve"> (Accessed: 18 December 2018).</w:t>
      </w:r>
    </w:p>
    <w:p w14:paraId="6386BC46" w14:textId="3FE68C5D" w:rsidR="00C0160B" w:rsidRDefault="00C0160B" w:rsidP="005336B7">
      <w:pPr>
        <w:spacing w:line="276" w:lineRule="auto"/>
      </w:pPr>
    </w:p>
    <w:p w14:paraId="34CB434B" w14:textId="2E7F047D" w:rsidR="00FF2AF2" w:rsidRDefault="00C0160B" w:rsidP="00C0160B">
      <w:pPr>
        <w:spacing w:line="360" w:lineRule="auto"/>
        <w:rPr>
          <w:u w:val="single"/>
          <w:shd w:val="clear" w:color="auto" w:fill="FFFFFF"/>
        </w:rPr>
      </w:pPr>
      <w:r>
        <w:rPr>
          <w:rFonts w:eastAsia="Times New Roman"/>
          <w:color w:val="000000" w:themeColor="text1"/>
          <w:shd w:val="clear" w:color="auto" w:fill="FFFFFF"/>
        </w:rPr>
        <w:t xml:space="preserve">Sharma, S.P., Chung, H.J., Kim, H.J. and Hong, S.T. (2016) ‘Paradoxical Effects of Fruit on Obesity’, </w:t>
      </w:r>
      <w:r w:rsidRPr="00C0160B">
        <w:rPr>
          <w:rFonts w:eastAsia="Times New Roman"/>
          <w:i/>
          <w:color w:val="000000" w:themeColor="text1"/>
          <w:shd w:val="clear" w:color="auto" w:fill="FFFFFF"/>
        </w:rPr>
        <w:t>Nutrients</w:t>
      </w:r>
      <w:r>
        <w:rPr>
          <w:rFonts w:eastAsia="Times New Roman"/>
          <w:color w:val="000000" w:themeColor="text1"/>
          <w:shd w:val="clear" w:color="auto" w:fill="FFFFFF"/>
        </w:rPr>
        <w:t xml:space="preserve">, 8(10), pp. 633. </w:t>
      </w:r>
      <w:proofErr w:type="spellStart"/>
      <w:r w:rsidRPr="00C0160B">
        <w:rPr>
          <w:shd w:val="clear" w:color="auto" w:fill="FFFFFF"/>
        </w:rPr>
        <w:t>doi</w:t>
      </w:r>
      <w:proofErr w:type="spellEnd"/>
      <w:r w:rsidRPr="00C0160B">
        <w:rPr>
          <w:shd w:val="clear" w:color="auto" w:fill="FFFFFF"/>
        </w:rPr>
        <w:t>: </w:t>
      </w:r>
      <w:hyperlink r:id="rId36" w:tgtFrame="pmc_ext" w:history="1">
        <w:r w:rsidRPr="00C0160B">
          <w:rPr>
            <w:u w:val="single"/>
            <w:shd w:val="clear" w:color="auto" w:fill="FFFFFF"/>
          </w:rPr>
          <w:t>10.3390/nu8100633</w:t>
        </w:r>
      </w:hyperlink>
    </w:p>
    <w:p w14:paraId="59DBF937" w14:textId="77777777" w:rsidR="00C938D9" w:rsidRDefault="00C938D9" w:rsidP="00C0160B">
      <w:pPr>
        <w:spacing w:line="360" w:lineRule="auto"/>
        <w:rPr>
          <w:u w:val="single"/>
          <w:shd w:val="clear" w:color="auto" w:fill="FFFFFF"/>
        </w:rPr>
      </w:pPr>
    </w:p>
    <w:p w14:paraId="745165AC" w14:textId="423C92FC" w:rsidR="00C938D9" w:rsidRDefault="00C938D9" w:rsidP="00C0160B">
      <w:pPr>
        <w:spacing w:line="360" w:lineRule="auto"/>
        <w:rPr>
          <w:u w:val="single"/>
          <w:shd w:val="clear" w:color="auto" w:fill="FFFFFF"/>
        </w:rPr>
      </w:pPr>
      <w:r>
        <w:rPr>
          <w:rFonts w:eastAsia="Times New Roman"/>
        </w:rPr>
        <w:t xml:space="preserve">Siegrist, J., </w:t>
      </w:r>
      <w:proofErr w:type="spellStart"/>
      <w:r>
        <w:rPr>
          <w:rFonts w:eastAsia="Times New Roman"/>
        </w:rPr>
        <w:t>Benach</w:t>
      </w:r>
      <w:proofErr w:type="spellEnd"/>
      <w:r>
        <w:rPr>
          <w:rFonts w:eastAsia="Times New Roman"/>
        </w:rPr>
        <w:t xml:space="preserve">, J., McKnight, A. and </w:t>
      </w:r>
      <w:proofErr w:type="spellStart"/>
      <w:r>
        <w:rPr>
          <w:rFonts w:eastAsia="Times New Roman"/>
        </w:rPr>
        <w:t>Golgblatt</w:t>
      </w:r>
      <w:proofErr w:type="spellEnd"/>
      <w:r>
        <w:rPr>
          <w:rFonts w:eastAsia="Times New Roman"/>
        </w:rPr>
        <w:t xml:space="preserve">, P. (2010) </w:t>
      </w:r>
      <w:r w:rsidRPr="00C938D9">
        <w:rPr>
          <w:rFonts w:eastAsia="Times New Roman"/>
          <w:i/>
        </w:rPr>
        <w:t xml:space="preserve">Employment Arrangements, Work Conditions and Health Inequalities: Task Group 2. </w:t>
      </w:r>
      <w:r>
        <w:rPr>
          <w:rFonts w:eastAsia="Times New Roman"/>
        </w:rPr>
        <w:t xml:space="preserve">Available at: </w:t>
      </w:r>
      <w:hyperlink r:id="rId37" w:history="1">
        <w:r w:rsidRPr="006065E6">
          <w:rPr>
            <w:rStyle w:val="Hyperlink"/>
            <w:rFonts w:eastAsia="Times New Roman"/>
          </w:rPr>
          <w:t>http://www.instituteofhealthequity.org/resources-reports/employment-and-work-task-group-report/employment-and-work-task-group-report-summary.pdf</w:t>
        </w:r>
      </w:hyperlink>
      <w:r>
        <w:rPr>
          <w:rFonts w:eastAsia="Times New Roman"/>
        </w:rPr>
        <w:t xml:space="preserve"> </w:t>
      </w:r>
      <w:bookmarkStart w:id="43" w:name="_Hlk534210415"/>
      <w:r>
        <w:t>(Accessed: 2 January 2019).</w:t>
      </w:r>
      <w:bookmarkEnd w:id="43"/>
    </w:p>
    <w:p w14:paraId="7AF32B43" w14:textId="77777777" w:rsidR="00FF2AF2" w:rsidRDefault="00FF2AF2" w:rsidP="00C0160B">
      <w:pPr>
        <w:spacing w:line="360" w:lineRule="auto"/>
        <w:rPr>
          <w:u w:val="single"/>
          <w:shd w:val="clear" w:color="auto" w:fill="FFFFFF"/>
        </w:rPr>
      </w:pPr>
    </w:p>
    <w:p w14:paraId="69B0D14C" w14:textId="394DC68D" w:rsidR="00FF2AF2" w:rsidRDefault="00FF2AF2" w:rsidP="00FF2AF2">
      <w:pPr>
        <w:spacing w:line="276" w:lineRule="auto"/>
      </w:pPr>
      <w:r>
        <w:rPr>
          <w:rFonts w:eastAsia="Times New Roman"/>
          <w:color w:val="000000" w:themeColor="text1"/>
          <w:shd w:val="clear" w:color="auto" w:fill="FFFFFF"/>
        </w:rPr>
        <w:lastRenderedPageBreak/>
        <w:t xml:space="preserve">The Health Foundation. (2018) </w:t>
      </w:r>
      <w:r w:rsidRPr="006D071B">
        <w:rPr>
          <w:rFonts w:eastAsia="Times New Roman"/>
          <w:i/>
          <w:color w:val="000000" w:themeColor="text1"/>
          <w:shd w:val="clear" w:color="auto" w:fill="FFFFFF"/>
        </w:rPr>
        <w:t>What makes us healthy</w:t>
      </w:r>
      <w:r>
        <w:rPr>
          <w:rFonts w:eastAsia="Times New Roman"/>
          <w:color w:val="000000" w:themeColor="text1"/>
          <w:shd w:val="clear" w:color="auto" w:fill="FFFFFF"/>
        </w:rPr>
        <w:t xml:space="preserve">? Available at: </w:t>
      </w:r>
      <w:hyperlink r:id="rId38" w:history="1">
        <w:r w:rsidRPr="006065E6">
          <w:rPr>
            <w:rStyle w:val="Hyperlink"/>
            <w:rFonts w:eastAsia="Times New Roman"/>
            <w:shd w:val="clear" w:color="auto" w:fill="FFFFFF"/>
          </w:rPr>
          <w:t>https://www.health.org.uk/sites/default/files/What-makes-us-healthy-quick-guide.pdf</w:t>
        </w:r>
      </w:hyperlink>
      <w:r>
        <w:rPr>
          <w:rFonts w:eastAsia="Times New Roman"/>
          <w:color w:val="000000" w:themeColor="text1"/>
          <w:shd w:val="clear" w:color="auto" w:fill="FFFFFF"/>
        </w:rPr>
        <w:t xml:space="preserve"> </w:t>
      </w:r>
      <w:r>
        <w:t>(Accessed: 2 January 2019).</w:t>
      </w:r>
    </w:p>
    <w:p w14:paraId="77C6D008" w14:textId="75A50783" w:rsidR="00B6722A" w:rsidRDefault="00B6722A" w:rsidP="00FF2AF2">
      <w:pPr>
        <w:spacing w:line="276" w:lineRule="auto"/>
      </w:pPr>
    </w:p>
    <w:p w14:paraId="571E2E11" w14:textId="6125D5B0" w:rsidR="00B6722A" w:rsidRPr="00FF2AF2" w:rsidRDefault="00B6722A" w:rsidP="00FF2AF2">
      <w:pPr>
        <w:spacing w:line="276" w:lineRule="auto"/>
      </w:pPr>
      <w:bookmarkStart w:id="44" w:name="_Hlk534211686"/>
      <w:r>
        <w:t xml:space="preserve">The Trussell Trust. (2019) </w:t>
      </w:r>
      <w:bookmarkEnd w:id="44"/>
      <w:r w:rsidRPr="00B6722A">
        <w:rPr>
          <w:i/>
        </w:rPr>
        <w:t>End of Year Stats</w:t>
      </w:r>
      <w:r>
        <w:t xml:space="preserve">. Available at: </w:t>
      </w:r>
      <w:hyperlink r:id="rId39" w:history="1">
        <w:r w:rsidRPr="006065E6">
          <w:rPr>
            <w:rStyle w:val="Hyperlink"/>
          </w:rPr>
          <w:t>https://www.trusselltrust.org/news-and-blog/latest-stats/end-year-stats/</w:t>
        </w:r>
      </w:hyperlink>
      <w:r>
        <w:t xml:space="preserve"> (Accessed: 2 January 2019).</w:t>
      </w:r>
    </w:p>
    <w:bookmarkEnd w:id="42"/>
    <w:p w14:paraId="24B0AA36" w14:textId="77777777" w:rsidR="005336B7" w:rsidRDefault="005336B7" w:rsidP="005336B7">
      <w:pPr>
        <w:spacing w:line="276" w:lineRule="auto"/>
        <w:jc w:val="both"/>
      </w:pPr>
    </w:p>
    <w:p w14:paraId="287E994F" w14:textId="77777777" w:rsidR="005336B7" w:rsidRPr="001478A3" w:rsidRDefault="005336B7" w:rsidP="005336B7">
      <w:pPr>
        <w:spacing w:line="276" w:lineRule="auto"/>
        <w:jc w:val="both"/>
        <w:rPr>
          <w:rFonts w:ascii="Arial" w:hAnsi="Arial" w:cs="Arial"/>
          <w:color w:val="000000"/>
          <w:sz w:val="18"/>
          <w:szCs w:val="18"/>
          <w:shd w:val="clear" w:color="auto" w:fill="FFFFFF"/>
        </w:rPr>
      </w:pPr>
      <w:proofErr w:type="spellStart"/>
      <w:r w:rsidRPr="001478A3">
        <w:t>Thimbleby</w:t>
      </w:r>
      <w:proofErr w:type="spellEnd"/>
      <w:r w:rsidRPr="001478A3">
        <w:t xml:space="preserve">, H. (2013) ‘Technology and the Future of Healthcare’, </w:t>
      </w:r>
      <w:r w:rsidRPr="001478A3">
        <w:rPr>
          <w:i/>
        </w:rPr>
        <w:t>Journal of Public Health Research,</w:t>
      </w:r>
      <w:r w:rsidRPr="001478A3">
        <w:t xml:space="preserve"> 2(3). </w:t>
      </w:r>
      <w:proofErr w:type="spellStart"/>
      <w:r w:rsidRPr="001478A3">
        <w:rPr>
          <w:rFonts w:ascii="Arial" w:hAnsi="Arial" w:cs="Arial"/>
          <w:color w:val="000000"/>
          <w:sz w:val="20"/>
          <w:szCs w:val="20"/>
          <w:shd w:val="clear" w:color="auto" w:fill="FFFFFF"/>
        </w:rPr>
        <w:t>doi</w:t>
      </w:r>
      <w:proofErr w:type="spellEnd"/>
      <w:r w:rsidRPr="001478A3">
        <w:rPr>
          <w:rFonts w:ascii="Arial" w:hAnsi="Arial" w:cs="Arial"/>
          <w:color w:val="000000"/>
          <w:sz w:val="20"/>
          <w:szCs w:val="20"/>
          <w:shd w:val="clear" w:color="auto" w:fill="FFFFFF"/>
        </w:rPr>
        <w:t>: 10.4081/</w:t>
      </w:r>
      <w:proofErr w:type="gramStart"/>
      <w:r w:rsidRPr="001478A3">
        <w:rPr>
          <w:rFonts w:ascii="Arial" w:hAnsi="Arial" w:cs="Arial"/>
          <w:color w:val="000000"/>
          <w:sz w:val="20"/>
          <w:szCs w:val="20"/>
          <w:shd w:val="clear" w:color="auto" w:fill="FFFFFF"/>
        </w:rPr>
        <w:t>jphr.2013.e</w:t>
      </w:r>
      <w:proofErr w:type="gramEnd"/>
      <w:r w:rsidRPr="001478A3">
        <w:rPr>
          <w:rFonts w:ascii="Arial" w:hAnsi="Arial" w:cs="Arial"/>
          <w:color w:val="000000"/>
          <w:sz w:val="20"/>
          <w:szCs w:val="20"/>
          <w:shd w:val="clear" w:color="auto" w:fill="FFFFFF"/>
        </w:rPr>
        <w:t>28</w:t>
      </w:r>
    </w:p>
    <w:p w14:paraId="1BCC2E50" w14:textId="77777777" w:rsidR="005336B7" w:rsidRPr="00E361B3" w:rsidRDefault="005336B7" w:rsidP="005336B7">
      <w:pPr>
        <w:spacing w:line="276" w:lineRule="auto"/>
        <w:jc w:val="both"/>
        <w:rPr>
          <w:highlight w:val="yellow"/>
        </w:rPr>
      </w:pPr>
    </w:p>
    <w:p w14:paraId="031978E6" w14:textId="77777777" w:rsidR="005336B7" w:rsidRPr="001478A3" w:rsidRDefault="005336B7" w:rsidP="005336B7">
      <w:pPr>
        <w:spacing w:line="276" w:lineRule="auto"/>
        <w:jc w:val="both"/>
        <w:rPr>
          <w:rFonts w:ascii="Arial" w:hAnsi="Arial" w:cs="Arial"/>
          <w:sz w:val="20"/>
          <w:szCs w:val="20"/>
          <w:shd w:val="clear" w:color="auto" w:fill="FFFFFF"/>
        </w:rPr>
      </w:pPr>
      <w:proofErr w:type="spellStart"/>
      <w:r w:rsidRPr="001478A3">
        <w:t>Trovato</w:t>
      </w:r>
      <w:proofErr w:type="spellEnd"/>
      <w:r w:rsidRPr="001478A3">
        <w:t>, G.M. (2012) ‘</w:t>
      </w:r>
      <w:proofErr w:type="spellStart"/>
      <w:r w:rsidRPr="001478A3">
        <w:t>Behavior</w:t>
      </w:r>
      <w:proofErr w:type="spellEnd"/>
      <w:r w:rsidRPr="001478A3">
        <w:t xml:space="preserve">, nutrition and lifestyle in a comprehensive health and disease paradigm: skills and knowledge for a predictive, preventive and personalized medicine’, </w:t>
      </w:r>
      <w:r w:rsidRPr="001478A3">
        <w:rPr>
          <w:i/>
        </w:rPr>
        <w:t>EPMA Journal</w:t>
      </w:r>
      <w:r w:rsidRPr="001478A3">
        <w:t xml:space="preserve">, 3(1), pp. 8. </w:t>
      </w:r>
      <w:proofErr w:type="spellStart"/>
      <w:r w:rsidRPr="001478A3">
        <w:rPr>
          <w:rFonts w:ascii="Arial" w:hAnsi="Arial" w:cs="Arial"/>
          <w:color w:val="000000"/>
          <w:sz w:val="20"/>
          <w:szCs w:val="20"/>
          <w:shd w:val="clear" w:color="auto" w:fill="FFFFFF"/>
        </w:rPr>
        <w:t>doi</w:t>
      </w:r>
      <w:proofErr w:type="spellEnd"/>
      <w:proofErr w:type="gramStart"/>
      <w:r w:rsidRPr="001478A3">
        <w:rPr>
          <w:rFonts w:ascii="Arial" w:hAnsi="Arial" w:cs="Arial"/>
          <w:color w:val="000000"/>
          <w:sz w:val="20"/>
          <w:szCs w:val="20"/>
          <w:shd w:val="clear" w:color="auto" w:fill="FFFFFF"/>
        </w:rPr>
        <w:t>:  </w:t>
      </w:r>
      <w:r w:rsidRPr="001478A3">
        <w:rPr>
          <w:rFonts w:ascii="Arial" w:hAnsi="Arial" w:cs="Arial"/>
          <w:sz w:val="20"/>
          <w:szCs w:val="20"/>
          <w:shd w:val="clear" w:color="auto" w:fill="FFFFFF"/>
        </w:rPr>
        <w:t>[</w:t>
      </w:r>
      <w:proofErr w:type="gramEnd"/>
      <w:hyperlink r:id="rId40" w:tgtFrame="pmc_ext" w:history="1">
        <w:r w:rsidRPr="001478A3">
          <w:rPr>
            <w:rFonts w:ascii="Arial" w:hAnsi="Arial" w:cs="Arial"/>
            <w:sz w:val="20"/>
            <w:szCs w:val="20"/>
            <w:u w:val="single"/>
            <w:shd w:val="clear" w:color="auto" w:fill="FFFFFF"/>
          </w:rPr>
          <w:t>10.1007/s13167-012-0141-2</w:t>
        </w:r>
      </w:hyperlink>
      <w:r w:rsidRPr="001478A3">
        <w:rPr>
          <w:rFonts w:ascii="Arial" w:hAnsi="Arial" w:cs="Arial"/>
          <w:sz w:val="20"/>
          <w:szCs w:val="20"/>
          <w:shd w:val="clear" w:color="auto" w:fill="FFFFFF"/>
        </w:rPr>
        <w:t>]</w:t>
      </w:r>
    </w:p>
    <w:p w14:paraId="618EE4F8" w14:textId="77777777" w:rsidR="005336B7" w:rsidRDefault="005336B7" w:rsidP="005336B7">
      <w:pPr>
        <w:spacing w:line="276" w:lineRule="auto"/>
        <w:jc w:val="both"/>
        <w:rPr>
          <w:rFonts w:ascii="Arial" w:hAnsi="Arial" w:cs="Arial"/>
          <w:sz w:val="20"/>
          <w:szCs w:val="20"/>
          <w:shd w:val="clear" w:color="auto" w:fill="FFFFFF"/>
        </w:rPr>
      </w:pPr>
    </w:p>
    <w:p w14:paraId="41F2F30F" w14:textId="77777777" w:rsidR="005336B7" w:rsidRDefault="005336B7" w:rsidP="005336B7">
      <w:pPr>
        <w:spacing w:line="276" w:lineRule="auto"/>
      </w:pPr>
      <w:r>
        <w:t xml:space="preserve">World Health Organization (WHO). (2002) </w:t>
      </w:r>
      <w:r w:rsidRPr="00A264BD">
        <w:rPr>
          <w:i/>
        </w:rPr>
        <w:t>Diet, nutrition and the prevention of chronic diseases</w:t>
      </w:r>
      <w:r>
        <w:t xml:space="preserve">. Available at: </w:t>
      </w:r>
      <w:hyperlink r:id="rId41" w:history="1">
        <w:r w:rsidRPr="00531A0E">
          <w:rPr>
            <w:rStyle w:val="Hyperlink"/>
          </w:rPr>
          <w:t>https://www.who.int/dietphysicalactivity/publications/trs916/summary/en/</w:t>
        </w:r>
      </w:hyperlink>
      <w:r>
        <w:t xml:space="preserve"> (Accessed: 28 October 2018).</w:t>
      </w:r>
    </w:p>
    <w:p w14:paraId="20634EAF" w14:textId="77777777" w:rsidR="005336B7" w:rsidRDefault="005336B7" w:rsidP="005336B7">
      <w:pPr>
        <w:spacing w:line="276" w:lineRule="auto"/>
      </w:pPr>
    </w:p>
    <w:p w14:paraId="1CCE46F3" w14:textId="77777777" w:rsidR="005336B7" w:rsidRPr="00A264BD" w:rsidRDefault="005336B7" w:rsidP="005336B7">
      <w:pPr>
        <w:spacing w:line="276" w:lineRule="auto"/>
      </w:pPr>
      <w:bookmarkStart w:id="45" w:name="_Hlk533172312"/>
      <w:r>
        <w:t xml:space="preserve">World Health Organization (WHO). (2003) </w:t>
      </w:r>
      <w:bookmarkEnd w:id="45"/>
      <w:r w:rsidRPr="00020A14">
        <w:rPr>
          <w:i/>
        </w:rPr>
        <w:t>Obesity and Overweight Factsheet</w:t>
      </w:r>
      <w:r>
        <w:t xml:space="preserve">. Available at: </w:t>
      </w:r>
      <w:hyperlink r:id="rId42" w:history="1">
        <w:r w:rsidRPr="00531A0E">
          <w:rPr>
            <w:rStyle w:val="Hyperlink"/>
          </w:rPr>
          <w:t>http://www.who.int/dietphysicalactivity/media/en/gsfs_obesity.pdf</w:t>
        </w:r>
      </w:hyperlink>
      <w:r>
        <w:t xml:space="preserve"> (Accessed: 28 October 2018).</w:t>
      </w:r>
    </w:p>
    <w:p w14:paraId="308494AC" w14:textId="77777777" w:rsidR="005336B7" w:rsidRDefault="005336B7" w:rsidP="005336B7">
      <w:pPr>
        <w:spacing w:line="276" w:lineRule="auto"/>
        <w:jc w:val="both"/>
      </w:pPr>
    </w:p>
    <w:p w14:paraId="69484D65" w14:textId="77777777" w:rsidR="005336B7" w:rsidRDefault="005336B7" w:rsidP="005336B7">
      <w:pPr>
        <w:spacing w:line="276" w:lineRule="auto"/>
        <w:jc w:val="both"/>
      </w:pPr>
      <w:bookmarkStart w:id="46" w:name="_Hlk531531250"/>
      <w:r w:rsidRPr="00F44E5D">
        <w:t>Worl</w:t>
      </w:r>
      <w:r>
        <w:t>d Health Organization (WHO). (2003</w:t>
      </w:r>
      <w:bookmarkEnd w:id="46"/>
      <w:r>
        <w:t xml:space="preserve">) </w:t>
      </w:r>
      <w:r w:rsidRPr="00BF7710">
        <w:rPr>
          <w:i/>
        </w:rPr>
        <w:t>WHO global strategy on diet, physical activity and health: The Americas regional consultation meeting report.</w:t>
      </w:r>
      <w:r>
        <w:t xml:space="preserve"> Available at: </w:t>
      </w:r>
      <w:hyperlink r:id="rId43" w:history="1">
        <w:r w:rsidRPr="00531A0E">
          <w:rPr>
            <w:rStyle w:val="Hyperlink"/>
          </w:rPr>
          <w:t>http://www.who.int/dietphysicalactivity/media/en/gscon_cs_report_paho.pdf</w:t>
        </w:r>
      </w:hyperlink>
      <w:r>
        <w:t xml:space="preserve"> (Accessed: 1 December 2018).</w:t>
      </w:r>
    </w:p>
    <w:p w14:paraId="15CDFD67" w14:textId="77777777" w:rsidR="005336B7" w:rsidRDefault="005336B7" w:rsidP="005336B7">
      <w:pPr>
        <w:spacing w:line="276" w:lineRule="auto"/>
        <w:jc w:val="both"/>
      </w:pPr>
    </w:p>
    <w:p w14:paraId="440826D1" w14:textId="77777777" w:rsidR="008A4799" w:rsidRDefault="008A4799" w:rsidP="005336B7">
      <w:pPr>
        <w:spacing w:line="360" w:lineRule="auto"/>
      </w:pPr>
    </w:p>
    <w:p w14:paraId="1389E060" w14:textId="1109FE65" w:rsidR="00862710" w:rsidRPr="0088462E" w:rsidRDefault="00862710" w:rsidP="00862710">
      <w:pPr>
        <w:spacing w:line="360" w:lineRule="auto"/>
        <w:rPr>
          <w:rFonts w:eastAsia="Times New Roman"/>
        </w:rPr>
      </w:pPr>
      <w:r w:rsidRPr="00F44E5D">
        <w:t>Wo</w:t>
      </w:r>
      <w:r>
        <w:t xml:space="preserve">rld Health Organization (WHO). (2013) </w:t>
      </w:r>
      <w:r>
        <w:rPr>
          <w:i/>
        </w:rPr>
        <w:t>Physical Activity Promotion in Socially Disadvantaged Groups: Principles for Action</w:t>
      </w:r>
      <w:r>
        <w:t xml:space="preserve">. Available at: </w:t>
      </w:r>
      <w:hyperlink r:id="rId44" w:history="1">
        <w:r w:rsidRPr="006311E1">
          <w:rPr>
            <w:rStyle w:val="Hyperlink"/>
          </w:rPr>
          <w:t>http://www.euro.who.int/__data/assets/pdf_file/0006/193092/PHAN-brochure_ENG.pdf</w:t>
        </w:r>
      </w:hyperlink>
      <w:r>
        <w:t xml:space="preserve"> (Accessed: 31 December 2018).</w:t>
      </w:r>
    </w:p>
    <w:p w14:paraId="16292B2D" w14:textId="77777777" w:rsidR="005336B7" w:rsidRDefault="005336B7" w:rsidP="005336B7">
      <w:pPr>
        <w:spacing w:line="276" w:lineRule="auto"/>
        <w:jc w:val="both"/>
      </w:pPr>
    </w:p>
    <w:p w14:paraId="446A2C8C" w14:textId="77777777" w:rsidR="005336B7" w:rsidRPr="0088462E" w:rsidRDefault="005336B7" w:rsidP="005336B7">
      <w:pPr>
        <w:spacing w:line="360" w:lineRule="auto"/>
        <w:rPr>
          <w:rFonts w:eastAsia="Times New Roman"/>
        </w:rPr>
      </w:pPr>
      <w:bookmarkStart w:id="47" w:name="_Hlk534032923"/>
      <w:r w:rsidRPr="00F44E5D">
        <w:t>Wo</w:t>
      </w:r>
      <w:r>
        <w:t xml:space="preserve">rld Health Organization </w:t>
      </w:r>
      <w:bookmarkStart w:id="48" w:name="_Hlk533173280"/>
      <w:r>
        <w:t>(</w:t>
      </w:r>
      <w:bookmarkStart w:id="49" w:name="_Hlk534023194"/>
      <w:r>
        <w:t>WHO). (2014)</w:t>
      </w:r>
      <w:bookmarkEnd w:id="48"/>
      <w:r>
        <w:t xml:space="preserve"> </w:t>
      </w:r>
      <w:bookmarkEnd w:id="49"/>
      <w:r w:rsidRPr="0088462E">
        <w:rPr>
          <w:i/>
        </w:rPr>
        <w:t>Obesity and inequities</w:t>
      </w:r>
      <w:r>
        <w:t xml:space="preserve">. Available at: </w:t>
      </w:r>
      <w:hyperlink r:id="rId45" w:history="1">
        <w:r w:rsidRPr="0049176A">
          <w:rPr>
            <w:rStyle w:val="Hyperlink"/>
          </w:rPr>
          <w:t>http://www.euro.who.int/__data/assets/pdf_file/0003/247638/obesity-090514.pdf</w:t>
        </w:r>
      </w:hyperlink>
      <w:r>
        <w:t xml:space="preserve"> </w:t>
      </w:r>
      <w:bookmarkStart w:id="50" w:name="_Hlk533173539"/>
      <w:r>
        <w:t>(Accessed: 18 December 2018).</w:t>
      </w:r>
    </w:p>
    <w:bookmarkEnd w:id="47"/>
    <w:bookmarkEnd w:id="50"/>
    <w:p w14:paraId="383BD079" w14:textId="77777777" w:rsidR="005336B7" w:rsidRDefault="005336B7" w:rsidP="005336B7">
      <w:pPr>
        <w:spacing w:line="276" w:lineRule="auto"/>
        <w:jc w:val="both"/>
      </w:pPr>
    </w:p>
    <w:p w14:paraId="6E09FFB0" w14:textId="05B98205" w:rsidR="008A4799" w:rsidRDefault="008A4799" w:rsidP="005336B7">
      <w:pPr>
        <w:spacing w:line="276" w:lineRule="auto"/>
        <w:jc w:val="both"/>
      </w:pPr>
      <w:r>
        <w:lastRenderedPageBreak/>
        <w:t xml:space="preserve">World Health Organization (WHO). (2017) </w:t>
      </w:r>
      <w:r>
        <w:rPr>
          <w:i/>
        </w:rPr>
        <w:t>Cardiovascular diseases (CVDs)</w:t>
      </w:r>
      <w:r w:rsidRPr="005D57E1">
        <w:rPr>
          <w:i/>
        </w:rPr>
        <w:t>.</w:t>
      </w:r>
      <w:r>
        <w:t xml:space="preserve"> Available at: </w:t>
      </w:r>
      <w:hyperlink r:id="rId46" w:history="1">
        <w:r w:rsidRPr="006311E1">
          <w:rPr>
            <w:rStyle w:val="Hyperlink"/>
          </w:rPr>
          <w:t>https://www.who.int/news-room/fact-sheets/detail/cardiovascular-diseases-(cvds)</w:t>
        </w:r>
      </w:hyperlink>
      <w:r>
        <w:t xml:space="preserve"> (Accessed: 31 December 2018).</w:t>
      </w:r>
    </w:p>
    <w:p w14:paraId="0F9952C0" w14:textId="77777777" w:rsidR="005336B7" w:rsidRDefault="005336B7" w:rsidP="005336B7">
      <w:pPr>
        <w:spacing w:line="276" w:lineRule="auto"/>
      </w:pPr>
    </w:p>
    <w:p w14:paraId="0808367E" w14:textId="5A58E606" w:rsidR="005336B7" w:rsidRDefault="005336B7" w:rsidP="005336B7">
      <w:pPr>
        <w:spacing w:line="276" w:lineRule="auto"/>
      </w:pPr>
      <w:bookmarkStart w:id="51" w:name="_Hlk531530106"/>
      <w:r>
        <w:t xml:space="preserve">World Health Organization </w:t>
      </w:r>
      <w:bookmarkEnd w:id="51"/>
      <w:r>
        <w:t xml:space="preserve">(WHO). (2018) </w:t>
      </w:r>
      <w:r w:rsidRPr="00971F22">
        <w:rPr>
          <w:i/>
        </w:rPr>
        <w:t>Frequently asked questions</w:t>
      </w:r>
      <w:r>
        <w:rPr>
          <w:i/>
        </w:rPr>
        <w:t xml:space="preserve">. </w:t>
      </w:r>
      <w:r>
        <w:t xml:space="preserve"> Available at: </w:t>
      </w:r>
      <w:hyperlink r:id="rId47" w:history="1">
        <w:r w:rsidRPr="003F1F05">
          <w:rPr>
            <w:rStyle w:val="Hyperlink"/>
          </w:rPr>
          <w:t>http://www.who.int/suggestions/faq/en/</w:t>
        </w:r>
      </w:hyperlink>
      <w:r>
        <w:t xml:space="preserve"> </w:t>
      </w:r>
      <w:bookmarkStart w:id="52" w:name="_Hlk528514698"/>
      <w:bookmarkStart w:id="53" w:name="_Hlk531531125"/>
      <w:r>
        <w:t>(Accessed: 28 October 2018).</w:t>
      </w:r>
      <w:bookmarkEnd w:id="52"/>
    </w:p>
    <w:p w14:paraId="1F7D694B" w14:textId="2414FED4" w:rsidR="00D430CF" w:rsidRDefault="00D430CF" w:rsidP="005336B7">
      <w:pPr>
        <w:spacing w:line="276" w:lineRule="auto"/>
      </w:pPr>
    </w:p>
    <w:p w14:paraId="4D05C8A2" w14:textId="4EDB27FC" w:rsidR="00D430CF" w:rsidRDefault="00D430CF" w:rsidP="00D430CF">
      <w:pPr>
        <w:spacing w:line="276" w:lineRule="auto"/>
      </w:pPr>
      <w:r>
        <w:t xml:space="preserve">World Health Organization (WHO). (2018) </w:t>
      </w:r>
      <w:r>
        <w:rPr>
          <w:i/>
        </w:rPr>
        <w:t xml:space="preserve">Increasing fruit and vegetable consumption to reduce the risk of noncommunicable diseases. </w:t>
      </w:r>
      <w:r>
        <w:t xml:space="preserve"> Available at: </w:t>
      </w:r>
      <w:hyperlink r:id="rId48" w:history="1">
        <w:r w:rsidRPr="00666E4D">
          <w:rPr>
            <w:rStyle w:val="Hyperlink"/>
          </w:rPr>
          <w:t>https://www.who.int/elena/titles/fruit_vegetables_ncds/en/</w:t>
        </w:r>
      </w:hyperlink>
      <w:r>
        <w:t xml:space="preserve"> (Accessed: 31 December 2018).</w:t>
      </w:r>
    </w:p>
    <w:p w14:paraId="4899C1B8" w14:textId="4DA97B25" w:rsidR="00446F33" w:rsidRDefault="00446F33" w:rsidP="00D430CF">
      <w:pPr>
        <w:spacing w:line="276" w:lineRule="auto"/>
      </w:pPr>
    </w:p>
    <w:p w14:paraId="0DCC9B7E" w14:textId="7B0CFAFD" w:rsidR="00446F33" w:rsidRDefault="00446F33" w:rsidP="00446F33">
      <w:pPr>
        <w:spacing w:line="276" w:lineRule="auto"/>
      </w:pPr>
      <w:r>
        <w:t xml:space="preserve">World Health Organization (WHO). (2018) </w:t>
      </w:r>
      <w:r>
        <w:rPr>
          <w:i/>
        </w:rPr>
        <w:t xml:space="preserve">Physical activity. </w:t>
      </w:r>
      <w:r>
        <w:t xml:space="preserve"> Available at: </w:t>
      </w:r>
      <w:hyperlink r:id="rId49" w:history="1">
        <w:r w:rsidRPr="006311E1">
          <w:rPr>
            <w:rStyle w:val="Hyperlink"/>
          </w:rPr>
          <w:t>https://www.who.int/news-room/fact-sheets/detail/physical-activity</w:t>
        </w:r>
      </w:hyperlink>
      <w:r>
        <w:t xml:space="preserve"> (Accessed: 31 December 2018).</w:t>
      </w:r>
    </w:p>
    <w:p w14:paraId="7D75DCC1" w14:textId="77777777" w:rsidR="00446F33" w:rsidRPr="002E5434" w:rsidRDefault="00446F33" w:rsidP="00446F33">
      <w:pPr>
        <w:spacing w:line="276" w:lineRule="auto"/>
      </w:pPr>
    </w:p>
    <w:p w14:paraId="1E3E1214" w14:textId="04CAEB55" w:rsidR="003C18B5" w:rsidRDefault="003C18B5" w:rsidP="003C18B5">
      <w:pPr>
        <w:spacing w:line="276" w:lineRule="auto"/>
      </w:pPr>
      <w:r>
        <w:t xml:space="preserve">World Health Organization (WHO). (2018) </w:t>
      </w:r>
      <w:r>
        <w:rPr>
          <w:i/>
        </w:rPr>
        <w:t xml:space="preserve">Prevalence of insufficient physical activity. </w:t>
      </w:r>
      <w:r>
        <w:t xml:space="preserve"> Available at: </w:t>
      </w:r>
      <w:hyperlink r:id="rId50" w:history="1">
        <w:r w:rsidRPr="006311E1">
          <w:rPr>
            <w:rStyle w:val="Hyperlink"/>
          </w:rPr>
          <w:t>https://www.who.int/gho/ncd/risk_factors/physical_activity_text/en/</w:t>
        </w:r>
      </w:hyperlink>
      <w:r>
        <w:t xml:space="preserve"> (Accessed: 31 December 2018).</w:t>
      </w:r>
    </w:p>
    <w:p w14:paraId="4E484EB9" w14:textId="77777777" w:rsidR="003C18B5" w:rsidRPr="002E5434" w:rsidRDefault="003C18B5" w:rsidP="003C18B5">
      <w:pPr>
        <w:spacing w:line="276" w:lineRule="auto"/>
      </w:pPr>
    </w:p>
    <w:p w14:paraId="79E62955" w14:textId="77777777" w:rsidR="00446F33" w:rsidRDefault="00446F33" w:rsidP="00D430CF">
      <w:pPr>
        <w:spacing w:line="276" w:lineRule="auto"/>
      </w:pPr>
    </w:p>
    <w:p w14:paraId="71EED3DA" w14:textId="77777777" w:rsidR="00D430CF" w:rsidRPr="002E5434" w:rsidRDefault="00D430CF" w:rsidP="00D430CF">
      <w:pPr>
        <w:spacing w:line="276" w:lineRule="auto"/>
      </w:pPr>
    </w:p>
    <w:p w14:paraId="5480CBFA" w14:textId="77777777" w:rsidR="00D430CF" w:rsidRDefault="00D430CF" w:rsidP="005336B7">
      <w:pPr>
        <w:spacing w:line="276" w:lineRule="auto"/>
      </w:pPr>
    </w:p>
    <w:bookmarkEnd w:id="53"/>
    <w:p w14:paraId="3E1F2FBA" w14:textId="77777777" w:rsidR="005336B7" w:rsidRPr="002E5434" w:rsidRDefault="005336B7" w:rsidP="005336B7">
      <w:pPr>
        <w:spacing w:line="276" w:lineRule="auto"/>
      </w:pPr>
    </w:p>
    <w:p w14:paraId="4D76D600" w14:textId="77777777" w:rsidR="005336B7" w:rsidRPr="002455C7" w:rsidRDefault="005336B7" w:rsidP="005336B7">
      <w:pPr>
        <w:spacing w:line="360" w:lineRule="auto"/>
        <w:rPr>
          <w:rFonts w:eastAsia="Times New Roman"/>
          <w:color w:val="FF0000"/>
        </w:rPr>
      </w:pPr>
    </w:p>
    <w:p w14:paraId="62FC9943" w14:textId="77777777" w:rsidR="005336B7" w:rsidRDefault="005336B7" w:rsidP="005336B7"/>
    <w:p w14:paraId="5A2D1282" w14:textId="77777777" w:rsidR="00E800FB" w:rsidRPr="003915CB" w:rsidRDefault="00F85BCD" w:rsidP="003915CB"/>
    <w:sectPr w:rsidR="00E800FB" w:rsidRPr="003915CB" w:rsidSect="004770D2">
      <w:footerReference w:type="even" r:id="rId51"/>
      <w:footerReference w:type="default" r:id="rId5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351902" w14:textId="77777777" w:rsidR="00F85BCD" w:rsidRDefault="00F85BCD" w:rsidP="005D0543">
      <w:r>
        <w:separator/>
      </w:r>
    </w:p>
  </w:endnote>
  <w:endnote w:type="continuationSeparator" w:id="0">
    <w:p w14:paraId="59EEAA97" w14:textId="77777777" w:rsidR="00F85BCD" w:rsidRDefault="00F85BCD" w:rsidP="005D05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altName w:val="Calibri"/>
    <w:charset w:val="00"/>
    <w:family w:val="swiss"/>
    <w:pitch w:val="variable"/>
    <w:sig w:usb0="E4002EFF" w:usb1="C000E47F" w:usb2="00000009" w:usb3="00000000" w:csb0="000001FF" w:csb1="00000000"/>
  </w:font>
  <w:font w:name="Merriweather">
    <w:altName w:val="Times New Roman"/>
    <w:panose1 w:val="00000000000000000000"/>
    <w:charset w:val="00"/>
    <w:family w:val="roman"/>
    <w:notTrueType/>
    <w:pitch w:val="default"/>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D8DC46" w14:textId="77777777" w:rsidR="005D0543" w:rsidRDefault="005D0543" w:rsidP="00ED521C">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15F3CBA9" w14:textId="77777777" w:rsidR="005D0543" w:rsidRDefault="005D0543" w:rsidP="005D0543">
    <w:pPr>
      <w:pStyle w:val="Footer"/>
      <w:ind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EDFD95" w14:textId="77777777" w:rsidR="005D0543" w:rsidRDefault="005D0543" w:rsidP="00ED521C">
    <w:pPr>
      <w:pStyle w:val="Footer"/>
      <w:framePr w:wrap="none"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36BC3946" w14:textId="77777777" w:rsidR="005D0543" w:rsidRDefault="005D0543" w:rsidP="005D0543">
    <w:pPr>
      <w:pStyle w:val="Footer"/>
      <w:ind w:firstLine="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253B5C" w14:textId="77777777" w:rsidR="00F85BCD" w:rsidRDefault="00F85BCD" w:rsidP="005D0543">
      <w:r>
        <w:separator/>
      </w:r>
    </w:p>
  </w:footnote>
  <w:footnote w:type="continuationSeparator" w:id="0">
    <w:p w14:paraId="7CFD9CD8" w14:textId="77777777" w:rsidR="00F85BCD" w:rsidRDefault="00F85BCD" w:rsidP="005D05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15CB"/>
    <w:rsid w:val="000A1FE1"/>
    <w:rsid w:val="0010182E"/>
    <w:rsid w:val="00126174"/>
    <w:rsid w:val="001478A3"/>
    <w:rsid w:val="00147F14"/>
    <w:rsid w:val="001E4460"/>
    <w:rsid w:val="00201FED"/>
    <w:rsid w:val="002328EB"/>
    <w:rsid w:val="00234893"/>
    <w:rsid w:val="002C551F"/>
    <w:rsid w:val="002E4318"/>
    <w:rsid w:val="00304010"/>
    <w:rsid w:val="00323547"/>
    <w:rsid w:val="00323BA0"/>
    <w:rsid w:val="00387A8E"/>
    <w:rsid w:val="003915CB"/>
    <w:rsid w:val="003A6A35"/>
    <w:rsid w:val="003C18B5"/>
    <w:rsid w:val="003E5BC8"/>
    <w:rsid w:val="00446F33"/>
    <w:rsid w:val="004770D2"/>
    <w:rsid w:val="0052369F"/>
    <w:rsid w:val="005336B7"/>
    <w:rsid w:val="0053742A"/>
    <w:rsid w:val="0058686E"/>
    <w:rsid w:val="005A18A2"/>
    <w:rsid w:val="005C1CF1"/>
    <w:rsid w:val="005D0543"/>
    <w:rsid w:val="005E76B2"/>
    <w:rsid w:val="00697A0C"/>
    <w:rsid w:val="006C1702"/>
    <w:rsid w:val="006D071B"/>
    <w:rsid w:val="006D0E3E"/>
    <w:rsid w:val="00770058"/>
    <w:rsid w:val="007A3896"/>
    <w:rsid w:val="007F3041"/>
    <w:rsid w:val="00806008"/>
    <w:rsid w:val="008537BE"/>
    <w:rsid w:val="00862710"/>
    <w:rsid w:val="00873145"/>
    <w:rsid w:val="0089297F"/>
    <w:rsid w:val="008A4799"/>
    <w:rsid w:val="008B6A73"/>
    <w:rsid w:val="008B7BEA"/>
    <w:rsid w:val="008C0D61"/>
    <w:rsid w:val="008C1165"/>
    <w:rsid w:val="008D270C"/>
    <w:rsid w:val="00901953"/>
    <w:rsid w:val="00931F46"/>
    <w:rsid w:val="009538B7"/>
    <w:rsid w:val="009553C2"/>
    <w:rsid w:val="00986C6C"/>
    <w:rsid w:val="009933E2"/>
    <w:rsid w:val="009D414C"/>
    <w:rsid w:val="00A12930"/>
    <w:rsid w:val="00A50B6F"/>
    <w:rsid w:val="00A92280"/>
    <w:rsid w:val="00AC1688"/>
    <w:rsid w:val="00B11EE1"/>
    <w:rsid w:val="00B4759B"/>
    <w:rsid w:val="00B6722A"/>
    <w:rsid w:val="00B76A31"/>
    <w:rsid w:val="00B82E80"/>
    <w:rsid w:val="00BB6AC0"/>
    <w:rsid w:val="00C0160B"/>
    <w:rsid w:val="00C661E1"/>
    <w:rsid w:val="00C938D9"/>
    <w:rsid w:val="00CC6680"/>
    <w:rsid w:val="00CD70D6"/>
    <w:rsid w:val="00CD746B"/>
    <w:rsid w:val="00D014CE"/>
    <w:rsid w:val="00D2500F"/>
    <w:rsid w:val="00D31709"/>
    <w:rsid w:val="00D430CF"/>
    <w:rsid w:val="00D5393C"/>
    <w:rsid w:val="00D82B3F"/>
    <w:rsid w:val="00DA7041"/>
    <w:rsid w:val="00DC5B4D"/>
    <w:rsid w:val="00DF0442"/>
    <w:rsid w:val="00DF14C0"/>
    <w:rsid w:val="00DF2B66"/>
    <w:rsid w:val="00E361B3"/>
    <w:rsid w:val="00E3684C"/>
    <w:rsid w:val="00E5642C"/>
    <w:rsid w:val="00EB0EDA"/>
    <w:rsid w:val="00F5178E"/>
    <w:rsid w:val="00F80BF2"/>
    <w:rsid w:val="00F85BCD"/>
    <w:rsid w:val="00FF2AF2"/>
    <w:rsid w:val="00FF4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0D35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4759B"/>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5CB"/>
    <w:rPr>
      <w:color w:val="0563C1" w:themeColor="hyperlink"/>
      <w:u w:val="single"/>
    </w:rPr>
  </w:style>
  <w:style w:type="paragraph" w:styleId="NormalWeb">
    <w:name w:val="Normal (Web)"/>
    <w:basedOn w:val="Normal"/>
    <w:uiPriority w:val="99"/>
    <w:unhideWhenUsed/>
    <w:rsid w:val="003915CB"/>
    <w:pPr>
      <w:spacing w:before="100" w:beforeAutospacing="1" w:after="100" w:afterAutospacing="1"/>
    </w:pPr>
  </w:style>
  <w:style w:type="character" w:styleId="FollowedHyperlink">
    <w:name w:val="FollowedHyperlink"/>
    <w:basedOn w:val="DefaultParagraphFont"/>
    <w:uiPriority w:val="99"/>
    <w:semiHidden/>
    <w:unhideWhenUsed/>
    <w:rsid w:val="003915CB"/>
    <w:rPr>
      <w:color w:val="954F72" w:themeColor="followedHyperlink"/>
      <w:u w:val="single"/>
    </w:rPr>
  </w:style>
  <w:style w:type="character" w:styleId="CommentReference">
    <w:name w:val="annotation reference"/>
    <w:basedOn w:val="DefaultParagraphFont"/>
    <w:uiPriority w:val="99"/>
    <w:semiHidden/>
    <w:unhideWhenUsed/>
    <w:rsid w:val="00FF4D51"/>
    <w:rPr>
      <w:sz w:val="16"/>
      <w:szCs w:val="16"/>
    </w:rPr>
  </w:style>
  <w:style w:type="paragraph" w:styleId="CommentText">
    <w:name w:val="annotation text"/>
    <w:basedOn w:val="Normal"/>
    <w:link w:val="CommentTextChar"/>
    <w:uiPriority w:val="99"/>
    <w:semiHidden/>
    <w:unhideWhenUsed/>
    <w:rsid w:val="00FF4D51"/>
    <w:rPr>
      <w:sz w:val="20"/>
      <w:szCs w:val="20"/>
    </w:rPr>
  </w:style>
  <w:style w:type="character" w:customStyle="1" w:styleId="CommentTextChar">
    <w:name w:val="Comment Text Char"/>
    <w:basedOn w:val="DefaultParagraphFont"/>
    <w:link w:val="CommentText"/>
    <w:uiPriority w:val="99"/>
    <w:semiHidden/>
    <w:rsid w:val="00FF4D51"/>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F4D51"/>
    <w:rPr>
      <w:b/>
      <w:bCs/>
    </w:rPr>
  </w:style>
  <w:style w:type="character" w:customStyle="1" w:styleId="CommentSubjectChar">
    <w:name w:val="Comment Subject Char"/>
    <w:basedOn w:val="CommentTextChar"/>
    <w:link w:val="CommentSubject"/>
    <w:uiPriority w:val="99"/>
    <w:semiHidden/>
    <w:rsid w:val="00FF4D51"/>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FF4D5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D51"/>
    <w:rPr>
      <w:rFonts w:ascii="Segoe UI" w:hAnsi="Segoe UI" w:cs="Segoe UI"/>
      <w:sz w:val="18"/>
      <w:szCs w:val="18"/>
      <w:lang w:eastAsia="en-GB"/>
    </w:rPr>
  </w:style>
  <w:style w:type="character" w:customStyle="1" w:styleId="UnresolvedMention1">
    <w:name w:val="Unresolved Mention1"/>
    <w:basedOn w:val="DefaultParagraphFont"/>
    <w:uiPriority w:val="99"/>
    <w:rsid w:val="0053742A"/>
    <w:rPr>
      <w:color w:val="605E5C"/>
      <w:shd w:val="clear" w:color="auto" w:fill="E1DFDD"/>
    </w:rPr>
  </w:style>
  <w:style w:type="character" w:customStyle="1" w:styleId="UnresolvedMention">
    <w:name w:val="Unresolved Mention"/>
    <w:basedOn w:val="DefaultParagraphFont"/>
    <w:uiPriority w:val="99"/>
    <w:rsid w:val="00FF2AF2"/>
    <w:rPr>
      <w:color w:val="605E5C"/>
      <w:shd w:val="clear" w:color="auto" w:fill="E1DFDD"/>
    </w:rPr>
  </w:style>
  <w:style w:type="paragraph" w:styleId="ListParagraph">
    <w:name w:val="List Paragraph"/>
    <w:basedOn w:val="Normal"/>
    <w:uiPriority w:val="34"/>
    <w:qFormat/>
    <w:rsid w:val="008D270C"/>
    <w:pPr>
      <w:ind w:left="720"/>
      <w:contextualSpacing/>
    </w:pPr>
  </w:style>
  <w:style w:type="paragraph" w:styleId="Footer">
    <w:name w:val="footer"/>
    <w:basedOn w:val="Normal"/>
    <w:link w:val="FooterChar"/>
    <w:uiPriority w:val="99"/>
    <w:unhideWhenUsed/>
    <w:rsid w:val="005D0543"/>
    <w:pPr>
      <w:tabs>
        <w:tab w:val="center" w:pos="4513"/>
        <w:tab w:val="right" w:pos="9026"/>
      </w:tabs>
    </w:pPr>
  </w:style>
  <w:style w:type="character" w:customStyle="1" w:styleId="FooterChar">
    <w:name w:val="Footer Char"/>
    <w:basedOn w:val="DefaultParagraphFont"/>
    <w:link w:val="Footer"/>
    <w:uiPriority w:val="99"/>
    <w:rsid w:val="005D0543"/>
    <w:rPr>
      <w:rFonts w:ascii="Times New Roman" w:hAnsi="Times New Roman" w:cs="Times New Roman"/>
      <w:lang w:eastAsia="en-GB"/>
    </w:rPr>
  </w:style>
  <w:style w:type="character" w:styleId="PageNumber">
    <w:name w:val="page number"/>
    <w:basedOn w:val="DefaultParagraphFont"/>
    <w:uiPriority w:val="99"/>
    <w:semiHidden/>
    <w:unhideWhenUsed/>
    <w:rsid w:val="005D0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3088683">
      <w:bodyDiv w:val="1"/>
      <w:marLeft w:val="0"/>
      <w:marRight w:val="0"/>
      <w:marTop w:val="0"/>
      <w:marBottom w:val="0"/>
      <w:divBdr>
        <w:top w:val="none" w:sz="0" w:space="0" w:color="auto"/>
        <w:left w:val="none" w:sz="0" w:space="0" w:color="auto"/>
        <w:bottom w:val="none" w:sz="0" w:space="0" w:color="auto"/>
        <w:right w:val="none" w:sz="0" w:space="0" w:color="auto"/>
      </w:divBdr>
    </w:div>
    <w:div w:id="1661732166">
      <w:bodyDiv w:val="1"/>
      <w:marLeft w:val="0"/>
      <w:marRight w:val="0"/>
      <w:marTop w:val="0"/>
      <w:marBottom w:val="0"/>
      <w:divBdr>
        <w:top w:val="none" w:sz="0" w:space="0" w:color="auto"/>
        <w:left w:val="none" w:sz="0" w:space="0" w:color="auto"/>
        <w:bottom w:val="none" w:sz="0" w:space="0" w:color="auto"/>
        <w:right w:val="none" w:sz="0" w:space="0" w:color="auto"/>
      </w:divBdr>
    </w:div>
    <w:div w:id="17187717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digitalcommons.iwu.edu/cgi/viewcontent.cgi?article=1009&amp;context=econ_honproj" TargetMode="External"/><Relationship Id="rId14" Type="http://schemas.openxmlformats.org/officeDocument/2006/relationships/hyperlink" Target="https://www.englishoutdoorcouncil.org/wp-content/uploads/Change.pdf" TargetMode="External"/><Relationship Id="rId15" Type="http://schemas.openxmlformats.org/officeDocument/2006/relationships/hyperlink" Target="https://publichealthmatters.blog.gov.uk/2017/03/31/health-matters-obesity-and-the-food-environment/" TargetMode="External"/><Relationship Id="rId16" Type="http://schemas.openxmlformats.org/officeDocument/2006/relationships/hyperlink" Target="https://foodfoundation.org.uk/wp-content/uploads/2016/11/Food-Environment-policy-brief.pdf" TargetMode="External"/><Relationship Id="rId17" Type="http://schemas.openxmlformats.org/officeDocument/2006/relationships/hyperlink" Target="https://assets.publishing.service.gov.uk/government/uploads/system/uploads/attachment_data/file/287937/07-1184x-tackling-obesities-future-choices-report.pdf" TargetMode="External"/><Relationship Id="rId18" Type="http://schemas.openxmlformats.org/officeDocument/2006/relationships/hyperlink" Target="http://www.osfi-bsif.gc.ca/Eng/Docs/DEIP_Gallop.pdf" TargetMode="External"/><Relationship Id="rId19" Type="http://schemas.openxmlformats.org/officeDocument/2006/relationships/hyperlink" Target="https://www.gov.uk/government/news/phe-publishes-latest-data-on-nations-diet" TargetMode="External"/><Relationship Id="rId50" Type="http://schemas.openxmlformats.org/officeDocument/2006/relationships/hyperlink" Target="https://www.who.int/gho/ncd/risk_factors/physical_activity_text/en/" TargetMode="External"/><Relationship Id="rId51" Type="http://schemas.openxmlformats.org/officeDocument/2006/relationships/footer" Target="footer1.xml"/><Relationship Id="rId52" Type="http://schemas.openxmlformats.org/officeDocument/2006/relationships/footer" Target="footer2.xml"/><Relationship Id="rId53" Type="http://schemas.openxmlformats.org/officeDocument/2006/relationships/fontTable" Target="fontTable.xml"/><Relationship Id="rId54" Type="http://schemas.openxmlformats.org/officeDocument/2006/relationships/theme" Target="theme/theme1.xml"/><Relationship Id="rId40" Type="http://schemas.openxmlformats.org/officeDocument/2006/relationships/hyperlink" Target="https://dx.doi.org/10.1007%2Fs13167-012-0141-2" TargetMode="External"/><Relationship Id="rId41" Type="http://schemas.openxmlformats.org/officeDocument/2006/relationships/hyperlink" Target="https://www.who.int/dietphysicalactivity/publications/trs916/summary/en/" TargetMode="External"/><Relationship Id="rId42" Type="http://schemas.openxmlformats.org/officeDocument/2006/relationships/hyperlink" Target="http://www.who.int/dietphysicalactivity/media/en/gsfs_obesity.pdf" TargetMode="External"/><Relationship Id="rId43" Type="http://schemas.openxmlformats.org/officeDocument/2006/relationships/hyperlink" Target="http://www.who.int/dietphysicalactivity/media/en/gscon_cs_report_paho.pdf" TargetMode="External"/><Relationship Id="rId44" Type="http://schemas.openxmlformats.org/officeDocument/2006/relationships/hyperlink" Target="http://www.euro.who.int/__data/assets/pdf_file/0006/193092/PHAN-brochure_ENG.pdf" TargetMode="External"/><Relationship Id="rId45" Type="http://schemas.openxmlformats.org/officeDocument/2006/relationships/hyperlink" Target="http://www.euro.who.int/__data/assets/pdf_file/0003/247638/obesity-090514.pdf" TargetMode="External"/><Relationship Id="rId46" Type="http://schemas.openxmlformats.org/officeDocument/2006/relationships/hyperlink" Target="https://www.who.int/news-room/fact-sheets/detail/cardiovascular-diseases-(cvds)" TargetMode="External"/><Relationship Id="rId47" Type="http://schemas.openxmlformats.org/officeDocument/2006/relationships/hyperlink" Target="http://www.who.int/suggestions/faq/en/" TargetMode="External"/><Relationship Id="rId48" Type="http://schemas.openxmlformats.org/officeDocument/2006/relationships/hyperlink" Target="https://www.who.int/elena/titles/fruit_vegetables_ncds/en/" TargetMode="External"/><Relationship Id="rId49" Type="http://schemas.openxmlformats.org/officeDocument/2006/relationships/hyperlink" Target="https://www.who.int/news-room/fact-sheets/detail/physical-activity"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g"/><Relationship Id="rId7" Type="http://schemas.openxmlformats.org/officeDocument/2006/relationships/hyperlink" Target="https://www.ohchr.org/Documents/Issues/Poverty/EOM_GB_16Nov2018.pdf" TargetMode="External"/><Relationship Id="rId8" Type="http://schemas.openxmlformats.org/officeDocument/2006/relationships/hyperlink" Target="https://uk-air.defra.gov.uk/assets/documents/reports/aqeg/fullreport.pdf" TargetMode="External"/><Relationship Id="rId9" Type="http://schemas.openxmlformats.org/officeDocument/2006/relationships/hyperlink" Target="https://www.jrf.org.uk/sites/default/files/jrf/migrated/files/income-health-poverty-full.pdf" TargetMode="External"/><Relationship Id="rId30" Type="http://schemas.openxmlformats.org/officeDocument/2006/relationships/hyperlink" Target="https://www.gov.uk/government/publications/health-matters-obesity-and-the-food-environment/health-matters-obesity-and-the-food-environment--2" TargetMode="External"/><Relationship Id="rId31" Type="http://schemas.openxmlformats.org/officeDocument/2006/relationships/hyperlink" Target="https://assets.publishing.service.gov.uk/government/uploads/system/uploads/attachment_data/file/538344/Commissioning_infant_feeding_services_a_toolkit_for_local_authorities__Part_2_.pdf" TargetMode="External"/><Relationship Id="rId32" Type="http://schemas.openxmlformats.org/officeDocument/2006/relationships/hyperlink" Target="https://www.gov.uk/government/publications/health-profile-for-england-2018/chapter-5-inequalities-in-health" TargetMode="External"/><Relationship Id="rId33" Type="http://schemas.openxmlformats.org/officeDocument/2006/relationships/hyperlink" Target="https://assets.publishing.service.gov.uk/government/uploads/system/uploads/attachment_data/file/742750/Eatwell_Guide_booklet_2018v4.pdf" TargetMode="External"/><Relationship Id="rId34" Type="http://schemas.openxmlformats.org/officeDocument/2006/relationships/hyperlink" Target="http://sru.soc.surrey.ac.uk/SRU9.html" TargetMode="External"/><Relationship Id="rId35" Type="http://schemas.openxmlformats.org/officeDocument/2006/relationships/hyperlink" Target="https://www2.gov.scot/resource/doc/229649/0062206.pdf" TargetMode="External"/><Relationship Id="rId36" Type="http://schemas.openxmlformats.org/officeDocument/2006/relationships/hyperlink" Target="https://dx.doi.org/10.3390%2Fnu8100633" TargetMode="External"/><Relationship Id="rId37" Type="http://schemas.openxmlformats.org/officeDocument/2006/relationships/hyperlink" Target="http://www.instituteofhealthequity.org/resources-reports/employment-and-work-task-group-report/employment-and-work-task-group-report-summary.pdf" TargetMode="External"/><Relationship Id="rId38" Type="http://schemas.openxmlformats.org/officeDocument/2006/relationships/hyperlink" Target="https://www.health.org.uk/sites/default/files/What-makes-us-healthy-quick-guide.pdf" TargetMode="External"/><Relationship Id="rId39" Type="http://schemas.openxmlformats.org/officeDocument/2006/relationships/hyperlink" Target="https://www.trusselltrust.org/news-and-blog/latest-stats/end-year-stats/" TargetMode="External"/><Relationship Id="rId20" Type="http://schemas.openxmlformats.org/officeDocument/2006/relationships/hyperlink" Target="https://www.growingfamilybenefits.com/financial-assistance-while-pregnant/" TargetMode="External"/><Relationship Id="rId21" Type="http://schemas.openxmlformats.org/officeDocument/2006/relationships/hyperlink" Target="https://doi.org/10.1177/1559827612468687" TargetMode="External"/><Relationship Id="rId22" Type="http://schemas.openxmlformats.org/officeDocument/2006/relationships/hyperlink" Target="https://www.povertyalliance.org/userfiles/files/Play%26Poverty_in_Fife_FINAL_March15.pdf" TargetMode="External"/><Relationship Id="rId23" Type="http://schemas.openxmlformats.org/officeDocument/2006/relationships/hyperlink" Target="http://www.cpa.org.uk/cpa_documents/FairSocietyHealthyLivesExecSummary.pdf" TargetMode="External"/><Relationship Id="rId24" Type="http://schemas.openxmlformats.org/officeDocument/2006/relationships/hyperlink" Target="https://www.nhlbi.nih.gov/health-topics/physical-activity-and-your-heart" TargetMode="External"/><Relationship Id="rId25" Type="http://schemas.openxmlformats.org/officeDocument/2006/relationships/hyperlink" Target="http://www.publichealthwalesobservatory.wales.nhs.uk/healthy-eating" TargetMode="External"/><Relationship Id="rId26" Type="http://schemas.openxmlformats.org/officeDocument/2006/relationships/hyperlink" Target="https://www.oecd.org/els/soc/cope-divide-europe-2017-background-report.pdf" TargetMode="External"/><Relationship Id="rId27" Type="http://schemas.openxmlformats.org/officeDocument/2006/relationships/hyperlink" Target="https://www.ons.gov.uk/peoplepopulationandcommunity/birthsdeathsandmarriages/lifeexpectancies/bulletins/nationallifetablesunitedkingdom/2015to2017" TargetMode="External"/><Relationship Id="rId28" Type="http://schemas.openxmlformats.org/officeDocument/2006/relationships/hyperlink" Target="https://www.ons.gov.uk/search?q=The+National+Statistics+Socio-Economic+Classification+%28NS-SEC%29+has+now+replaced+the+RGSC" TargetMode="External"/><Relationship Id="rId29" Type="http://schemas.openxmlformats.org/officeDocument/2006/relationships/hyperlink" Target="https://dx.doi.org/10.1146%2Fannurev.soc.012809.102529" TargetMode="External"/><Relationship Id="rId10" Type="http://schemas.openxmlformats.org/officeDocument/2006/relationships/hyperlink" Target="http://www.thecarmarthenshirewewant.wales/media/8178/psb-wellbeing-assessment.pdf" TargetMode="External"/><Relationship Id="rId11" Type="http://schemas.openxmlformats.org/officeDocument/2006/relationships/hyperlink" Target="https://whiasu.publichealthnetwork.cymru/files/2915/3243/8664/planning_for_health_and_wellbeing_in_wales.pdf" TargetMode="External"/><Relationship Id="rId12" Type="http://schemas.openxmlformats.org/officeDocument/2006/relationships/hyperlink" Target="https://www.ifs.org.uk/docs/ER_JC_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7415</Words>
  <Characters>42268</Characters>
  <Application>Microsoft Macintosh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Maree Mclaughlin (1502314)</dc:creator>
  <cp:keywords/>
  <dc:description/>
  <cp:lastModifiedBy>Maree Mclaughlin (1502314)</cp:lastModifiedBy>
  <cp:revision>2</cp:revision>
  <dcterms:created xsi:type="dcterms:W3CDTF">2019-01-04T12:43:00Z</dcterms:created>
  <dcterms:modified xsi:type="dcterms:W3CDTF">2019-01-04T12:43:00Z</dcterms:modified>
</cp:coreProperties>
</file>