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FD4B42" w14:textId="502BEAF7" w:rsidR="00A76E99" w:rsidRDefault="00AF699E" w:rsidP="44C3BCB0">
      <w:pPr>
        <w:spacing w:line="360" w:lineRule="auto"/>
        <w:rPr>
          <w:rFonts w:ascii="Times New Roman" w:hAnsi="Times New Roman" w:cs="Times New Roman"/>
          <w:sz w:val="24"/>
          <w:szCs w:val="24"/>
        </w:rPr>
      </w:pPr>
      <w:bookmarkStart w:id="0" w:name="_GoBack"/>
      <w:r>
        <w:rPr>
          <w:rFonts w:ascii="Times New Roman" w:hAnsi="Times New Roman" w:cs="Times New Roman"/>
          <w:sz w:val="24"/>
          <w:szCs w:val="24"/>
        </w:rPr>
        <w:t xml:space="preserve"> </w:t>
      </w:r>
      <w:r w:rsidR="00A76E99">
        <w:rPr>
          <w:rFonts w:ascii="Times New Roman" w:hAnsi="Times New Roman" w:cs="Times New Roman"/>
          <w:sz w:val="24"/>
          <w:szCs w:val="24"/>
        </w:rPr>
        <w:t>T</w:t>
      </w:r>
      <w:r>
        <w:rPr>
          <w:rFonts w:ascii="Times New Roman" w:hAnsi="Times New Roman" w:cs="Times New Roman"/>
          <w:sz w:val="24"/>
          <w:szCs w:val="24"/>
        </w:rPr>
        <w:t>his</w:t>
      </w:r>
      <w:r w:rsidR="002E3131">
        <w:rPr>
          <w:rFonts w:ascii="Times New Roman" w:hAnsi="Times New Roman" w:cs="Times New Roman"/>
          <w:sz w:val="24"/>
          <w:szCs w:val="24"/>
        </w:rPr>
        <w:t xml:space="preserve"> </w:t>
      </w:r>
      <w:r w:rsidR="00506431">
        <w:rPr>
          <w:rFonts w:ascii="Times New Roman" w:hAnsi="Times New Roman" w:cs="Times New Roman"/>
          <w:sz w:val="24"/>
          <w:szCs w:val="24"/>
        </w:rPr>
        <w:t xml:space="preserve">essay </w:t>
      </w:r>
      <w:r w:rsidR="00D44FE3">
        <w:rPr>
          <w:rFonts w:ascii="Times New Roman" w:hAnsi="Times New Roman" w:cs="Times New Roman"/>
          <w:sz w:val="24"/>
          <w:szCs w:val="24"/>
        </w:rPr>
        <w:t xml:space="preserve">will </w:t>
      </w:r>
      <w:r w:rsidR="00A76E99">
        <w:rPr>
          <w:rFonts w:ascii="Times New Roman" w:hAnsi="Times New Roman" w:cs="Times New Roman"/>
          <w:sz w:val="24"/>
          <w:szCs w:val="24"/>
        </w:rPr>
        <w:t>discuss</w:t>
      </w:r>
      <w:r w:rsidR="00506431">
        <w:rPr>
          <w:rFonts w:ascii="Times New Roman" w:hAnsi="Times New Roman" w:cs="Times New Roman"/>
          <w:sz w:val="24"/>
          <w:szCs w:val="24"/>
        </w:rPr>
        <w:t xml:space="preserve"> and describes what constitutes empowerment</w:t>
      </w:r>
      <w:r w:rsidR="0052231D">
        <w:rPr>
          <w:rFonts w:ascii="Times New Roman" w:hAnsi="Times New Roman" w:cs="Times New Roman"/>
          <w:sz w:val="24"/>
          <w:szCs w:val="24"/>
        </w:rPr>
        <w:t>, agency and anti-</w:t>
      </w:r>
      <w:r w:rsidR="00A76E99">
        <w:rPr>
          <w:rFonts w:ascii="Times New Roman" w:hAnsi="Times New Roman" w:cs="Times New Roman"/>
          <w:sz w:val="24"/>
          <w:szCs w:val="24"/>
        </w:rPr>
        <w:t>oppressive</w:t>
      </w:r>
      <w:r w:rsidR="0052231D">
        <w:rPr>
          <w:rFonts w:ascii="Times New Roman" w:hAnsi="Times New Roman" w:cs="Times New Roman"/>
          <w:sz w:val="24"/>
          <w:szCs w:val="24"/>
        </w:rPr>
        <w:t xml:space="preserve"> practices</w:t>
      </w:r>
      <w:r w:rsidR="00A76E99">
        <w:rPr>
          <w:rFonts w:ascii="Times New Roman" w:hAnsi="Times New Roman" w:cs="Times New Roman"/>
          <w:sz w:val="24"/>
          <w:szCs w:val="24"/>
        </w:rPr>
        <w:t xml:space="preserve"> </w:t>
      </w:r>
      <w:r w:rsidR="00D44FE3">
        <w:rPr>
          <w:rFonts w:ascii="Times New Roman" w:hAnsi="Times New Roman" w:cs="Times New Roman"/>
          <w:sz w:val="24"/>
          <w:szCs w:val="24"/>
        </w:rPr>
        <w:t>and these will be related to</w:t>
      </w:r>
      <w:r w:rsidR="00A76E99">
        <w:rPr>
          <w:rFonts w:ascii="Times New Roman" w:hAnsi="Times New Roman" w:cs="Times New Roman"/>
          <w:sz w:val="24"/>
          <w:szCs w:val="24"/>
        </w:rPr>
        <w:t xml:space="preserve"> the role of the advocate.</w:t>
      </w:r>
    </w:p>
    <w:p w14:paraId="3CEC6A10" w14:textId="699A071D" w:rsidR="006B63B3" w:rsidRPr="0015008E" w:rsidRDefault="44C3BCB0" w:rsidP="44C3BCB0">
      <w:pPr>
        <w:spacing w:line="360" w:lineRule="auto"/>
        <w:rPr>
          <w:rFonts w:ascii="Times New Roman" w:hAnsi="Times New Roman" w:cs="Times New Roman"/>
          <w:sz w:val="24"/>
          <w:szCs w:val="24"/>
        </w:rPr>
      </w:pPr>
      <w:r w:rsidRPr="44C3BCB0">
        <w:rPr>
          <w:rFonts w:ascii="Times New Roman" w:hAnsi="Times New Roman" w:cs="Times New Roman"/>
          <w:sz w:val="24"/>
          <w:szCs w:val="24"/>
        </w:rPr>
        <w:t>Advocacy has a generic aim to ensure that individuals that are perceived as vulnerable people, within society, have the means to have a voice that is heard and to be able to defend their rights</w:t>
      </w:r>
      <w:r w:rsidR="00815E9F">
        <w:rPr>
          <w:rFonts w:ascii="Times New Roman" w:hAnsi="Times New Roman" w:cs="Times New Roman"/>
          <w:sz w:val="24"/>
          <w:szCs w:val="24"/>
        </w:rPr>
        <w:t xml:space="preserve">. </w:t>
      </w:r>
      <w:r w:rsidRPr="44C3BCB0">
        <w:rPr>
          <w:rFonts w:ascii="Times New Roman" w:hAnsi="Times New Roman" w:cs="Times New Roman"/>
          <w:sz w:val="24"/>
          <w:szCs w:val="24"/>
        </w:rPr>
        <w:t>In some cases where decisions are being made for individuals</w:t>
      </w:r>
      <w:r w:rsidR="00EB7D81">
        <w:rPr>
          <w:rFonts w:ascii="Times New Roman" w:hAnsi="Times New Roman" w:cs="Times New Roman"/>
          <w:sz w:val="24"/>
          <w:szCs w:val="24"/>
        </w:rPr>
        <w:t>,</w:t>
      </w:r>
      <w:r w:rsidR="00FF366F">
        <w:rPr>
          <w:rFonts w:ascii="Times New Roman" w:hAnsi="Times New Roman" w:cs="Times New Roman"/>
          <w:sz w:val="24"/>
          <w:szCs w:val="24"/>
        </w:rPr>
        <w:t xml:space="preserve"> because of their age or mental capacity</w:t>
      </w:r>
      <w:r w:rsidR="00EB7D81">
        <w:rPr>
          <w:rFonts w:ascii="Times New Roman" w:hAnsi="Times New Roman" w:cs="Times New Roman"/>
          <w:sz w:val="24"/>
          <w:szCs w:val="24"/>
        </w:rPr>
        <w:t>,</w:t>
      </w:r>
      <w:r w:rsidRPr="44C3BCB0">
        <w:rPr>
          <w:rFonts w:ascii="Times New Roman" w:hAnsi="Times New Roman" w:cs="Times New Roman"/>
          <w:sz w:val="24"/>
          <w:szCs w:val="24"/>
        </w:rPr>
        <w:t xml:space="preserve"> which could have an impact on their lives, personal wishes and beliefs must be considered and kept in mind when being an advocate on their behalf. Advocacy enables vulnerable people to access information services and to explore their options and choices, leading to empowerment (NHS, 2019). The advocacy role may include support such as attending meetings or interviews with vulnerable people, writing letters on their behalf, or providing a voice which reflects the service user </w:t>
      </w:r>
      <w:r w:rsidR="00815E9F" w:rsidRPr="44C3BCB0">
        <w:rPr>
          <w:rFonts w:ascii="Times New Roman" w:hAnsi="Times New Roman" w:cs="Times New Roman"/>
          <w:sz w:val="24"/>
          <w:szCs w:val="24"/>
        </w:rPr>
        <w:t>for</w:t>
      </w:r>
      <w:r w:rsidRPr="44C3BCB0">
        <w:rPr>
          <w:rFonts w:ascii="Times New Roman" w:hAnsi="Times New Roman" w:cs="Times New Roman"/>
          <w:sz w:val="24"/>
          <w:szCs w:val="24"/>
        </w:rPr>
        <w:t xml:space="preserve"> their opinions and feelings to be heard. An advocate, should work closely with individuals to get to know them fully and understand who they are,</w:t>
      </w:r>
      <w:r w:rsidR="00750ACC">
        <w:rPr>
          <w:rFonts w:ascii="Times New Roman" w:hAnsi="Times New Roman" w:cs="Times New Roman"/>
          <w:sz w:val="24"/>
          <w:szCs w:val="24"/>
        </w:rPr>
        <w:t xml:space="preserve"> this is</w:t>
      </w:r>
      <w:r w:rsidRPr="44C3BCB0">
        <w:rPr>
          <w:rFonts w:ascii="Times New Roman" w:hAnsi="Times New Roman" w:cs="Times New Roman"/>
          <w:sz w:val="24"/>
          <w:szCs w:val="24"/>
        </w:rPr>
        <w:t xml:space="preserve"> distinctly different from social services who are subject to many time pressures due to workload, this close working</w:t>
      </w:r>
      <w:r w:rsidR="00641A91">
        <w:rPr>
          <w:rFonts w:ascii="Times New Roman" w:hAnsi="Times New Roman" w:cs="Times New Roman"/>
          <w:sz w:val="24"/>
          <w:szCs w:val="24"/>
        </w:rPr>
        <w:t xml:space="preserve"> relationship</w:t>
      </w:r>
      <w:r w:rsidRPr="44C3BCB0">
        <w:rPr>
          <w:rFonts w:ascii="Times New Roman" w:hAnsi="Times New Roman" w:cs="Times New Roman"/>
          <w:sz w:val="24"/>
          <w:szCs w:val="24"/>
        </w:rPr>
        <w:t xml:space="preserve"> gives individual’s independence with regards to their livelihoods, and secures the best interests for that individual (Mind UK, 2013). For example, an advocate working towards best practice guidelines should accept client beliefs and wishes and represent their views exactly how the client wishes, securing positive outcomes for the individual when possible. </w:t>
      </w:r>
    </w:p>
    <w:p w14:paraId="7C4660A4" w14:textId="702959B5" w:rsidR="006B63B3" w:rsidRPr="0015008E" w:rsidRDefault="44C3BCB0" w:rsidP="44C3BCB0">
      <w:pPr>
        <w:spacing w:line="360" w:lineRule="auto"/>
        <w:rPr>
          <w:rFonts w:ascii="Times New Roman" w:hAnsi="Times New Roman" w:cs="Times New Roman"/>
          <w:sz w:val="24"/>
          <w:szCs w:val="24"/>
        </w:rPr>
      </w:pPr>
      <w:r w:rsidRPr="44C3BCB0">
        <w:rPr>
          <w:rFonts w:ascii="Times New Roman" w:hAnsi="Times New Roman" w:cs="Times New Roman"/>
          <w:sz w:val="24"/>
          <w:szCs w:val="24"/>
        </w:rPr>
        <w:t>Health and social care staff do have a ‘Duty of Care’, a legal obligation to secure the safety and wellbeing of people in their care. However, an advocate will work in many different capacities, to ensure that the needs of the individual are met. In a social care setting such as an elderly care home, an advocate may be responsible for design changes within the care setting to accommodate the needs of everybody, but they could also represent clients on a political level if necessary, fighting to make changes to policies and guidelines which may be the cause of their clients safety or wellbeing not being secure, and looking to alter these policies for the better of all individuals that they could affect (Cox, 2007).</w:t>
      </w:r>
    </w:p>
    <w:p w14:paraId="51143C9F" w14:textId="4CCC51B8" w:rsidR="001028CB" w:rsidRPr="0015008E" w:rsidRDefault="44C3BCB0" w:rsidP="44C3BCB0">
      <w:pPr>
        <w:spacing w:line="360" w:lineRule="auto"/>
        <w:rPr>
          <w:rFonts w:ascii="Times New Roman" w:hAnsi="Times New Roman" w:cs="Times New Roman"/>
          <w:sz w:val="24"/>
          <w:szCs w:val="24"/>
        </w:rPr>
      </w:pPr>
      <w:r w:rsidRPr="44C3BCB0">
        <w:rPr>
          <w:rFonts w:ascii="Times New Roman" w:hAnsi="Times New Roman" w:cs="Times New Roman"/>
          <w:sz w:val="24"/>
          <w:szCs w:val="24"/>
        </w:rPr>
        <w:t>Advocates can be provided for clients to understand their care and support processes</w:t>
      </w:r>
      <w:r w:rsidR="00A72D02">
        <w:rPr>
          <w:rFonts w:ascii="Times New Roman" w:hAnsi="Times New Roman" w:cs="Times New Roman"/>
          <w:sz w:val="24"/>
          <w:szCs w:val="24"/>
        </w:rPr>
        <w:t xml:space="preserve"> in order to help them</w:t>
      </w:r>
      <w:r w:rsidRPr="44C3BCB0">
        <w:rPr>
          <w:rFonts w:ascii="Times New Roman" w:hAnsi="Times New Roman" w:cs="Times New Roman"/>
          <w:sz w:val="24"/>
          <w:szCs w:val="24"/>
        </w:rPr>
        <w:t xml:space="preserve">. </w:t>
      </w:r>
      <w:r w:rsidR="00E65A2D">
        <w:rPr>
          <w:rFonts w:ascii="Times New Roman" w:hAnsi="Times New Roman" w:cs="Times New Roman"/>
          <w:sz w:val="24"/>
          <w:szCs w:val="24"/>
        </w:rPr>
        <w:t xml:space="preserve">An advocate </w:t>
      </w:r>
      <w:r w:rsidRPr="44C3BCB0">
        <w:rPr>
          <w:rFonts w:ascii="Times New Roman" w:hAnsi="Times New Roman" w:cs="Times New Roman"/>
          <w:sz w:val="24"/>
          <w:szCs w:val="24"/>
        </w:rPr>
        <w:t xml:space="preserve">can discuss with clients how they feel about the care they are receiving and make decisions as to what care or treatment </w:t>
      </w:r>
      <w:r w:rsidR="008F1629" w:rsidRPr="44C3BCB0">
        <w:rPr>
          <w:rFonts w:ascii="Times New Roman" w:hAnsi="Times New Roman" w:cs="Times New Roman"/>
          <w:sz w:val="24"/>
          <w:szCs w:val="24"/>
        </w:rPr>
        <w:t>plans;</w:t>
      </w:r>
      <w:r w:rsidRPr="44C3BCB0">
        <w:rPr>
          <w:rFonts w:ascii="Times New Roman" w:hAnsi="Times New Roman" w:cs="Times New Roman"/>
          <w:sz w:val="24"/>
          <w:szCs w:val="24"/>
        </w:rPr>
        <w:t xml:space="preserve"> they wish to receive. They can also assist clients to challenge decisions made about the care and support they are currently receiving. Advocates are independent of social services and the NHS therefore are not tied into the ‘Duty of Care’ policies and are completely unbiased to decisions made by the </w:t>
      </w:r>
      <w:r w:rsidRPr="44C3BCB0">
        <w:rPr>
          <w:rFonts w:ascii="Times New Roman" w:hAnsi="Times New Roman" w:cs="Times New Roman"/>
          <w:sz w:val="24"/>
          <w:szCs w:val="24"/>
        </w:rPr>
        <w:lastRenderedPageBreak/>
        <w:t xml:space="preserve">client.  They are there to support clients and empower them to be able to make decisions within their lives and to above all, ensure that their clients voice is heard and that they are treated fairly and have their safeguarding rights protected. </w:t>
      </w:r>
    </w:p>
    <w:p w14:paraId="0C527340" w14:textId="07F5776F" w:rsidR="001028CB" w:rsidRPr="0015008E" w:rsidRDefault="44C3BCB0" w:rsidP="44C3BCB0">
      <w:pPr>
        <w:spacing w:line="360" w:lineRule="auto"/>
        <w:rPr>
          <w:rFonts w:ascii="Times New Roman" w:hAnsi="Times New Roman" w:cs="Times New Roman"/>
          <w:sz w:val="24"/>
          <w:szCs w:val="24"/>
        </w:rPr>
      </w:pPr>
      <w:r w:rsidRPr="44C3BCB0">
        <w:rPr>
          <w:rFonts w:ascii="Times New Roman" w:hAnsi="Times New Roman" w:cs="Times New Roman"/>
          <w:sz w:val="24"/>
          <w:szCs w:val="24"/>
        </w:rPr>
        <w:t>Local Council Authorities can provide advocates to clients if they are experiencing difficulties, especially if they do not have any family or friends to act as an advocate for them. The support the advocates can provide for clients receiving local authority housing and social welfare benefits include; assistance to understand and remember important information and to be able to communicate the client's views back to the service providers. The advocate will also look at pros and cons of decision</w:t>
      </w:r>
      <w:r w:rsidR="00673539">
        <w:rPr>
          <w:rFonts w:ascii="Times New Roman" w:hAnsi="Times New Roman" w:cs="Times New Roman"/>
          <w:sz w:val="24"/>
          <w:szCs w:val="24"/>
        </w:rPr>
        <w:t xml:space="preserve"> </w:t>
      </w:r>
      <w:r w:rsidR="00AB2E9B">
        <w:rPr>
          <w:rFonts w:ascii="Times New Roman" w:hAnsi="Times New Roman" w:cs="Times New Roman"/>
          <w:sz w:val="24"/>
          <w:szCs w:val="24"/>
        </w:rPr>
        <w:t>making</w:t>
      </w:r>
      <w:r w:rsidR="00AB2E9B" w:rsidRPr="44C3BCB0">
        <w:rPr>
          <w:rFonts w:ascii="Times New Roman" w:hAnsi="Times New Roman" w:cs="Times New Roman"/>
          <w:sz w:val="24"/>
          <w:szCs w:val="24"/>
        </w:rPr>
        <w:t xml:space="preserve"> and</w:t>
      </w:r>
      <w:r w:rsidRPr="44C3BCB0">
        <w:rPr>
          <w:rFonts w:ascii="Times New Roman" w:hAnsi="Times New Roman" w:cs="Times New Roman"/>
          <w:sz w:val="24"/>
          <w:szCs w:val="24"/>
        </w:rPr>
        <w:t xml:space="preserve"> discuss with clients if it would be beneficial to them in any way. If necessary, the can produce different options where the client can request amendments in order to come to an agreement that suits them, rather than decisions being forced upon them, and just living with the consequences of those decisions. A paid carer cannot act as an advocate on the client’s behalf, this is part of protecting the individual from abuse due to conflict of interest (Mind UK, 2013). Individuals can either contact the social services department within their local councils to receive referrals in order to obtain an advocate, alternatively there are charitable services that can provide advocates, such as </w:t>
      </w:r>
      <w:proofErr w:type="spellStart"/>
      <w:r w:rsidRPr="44C3BCB0">
        <w:rPr>
          <w:rFonts w:ascii="Times New Roman" w:hAnsi="Times New Roman" w:cs="Times New Roman"/>
          <w:sz w:val="24"/>
          <w:szCs w:val="24"/>
        </w:rPr>
        <w:t>POhWER</w:t>
      </w:r>
      <w:proofErr w:type="spellEnd"/>
      <w:r w:rsidRPr="44C3BCB0">
        <w:rPr>
          <w:rFonts w:ascii="Times New Roman" w:hAnsi="Times New Roman" w:cs="Times New Roman"/>
          <w:sz w:val="24"/>
          <w:szCs w:val="24"/>
        </w:rPr>
        <w:t xml:space="preserve"> which is a charity that will help individuals to be involved in decisions being made about their care services. Support Empower Advocate Promote (</w:t>
      </w:r>
      <w:proofErr w:type="spellStart"/>
      <w:r w:rsidRPr="44C3BCB0">
        <w:rPr>
          <w:rFonts w:ascii="Times New Roman" w:hAnsi="Times New Roman" w:cs="Times New Roman"/>
          <w:sz w:val="24"/>
          <w:szCs w:val="24"/>
        </w:rPr>
        <w:t>seAp</w:t>
      </w:r>
      <w:proofErr w:type="spellEnd"/>
      <w:r w:rsidRPr="44C3BCB0">
        <w:rPr>
          <w:rFonts w:ascii="Times New Roman" w:hAnsi="Times New Roman" w:cs="Times New Roman"/>
          <w:sz w:val="24"/>
          <w:szCs w:val="24"/>
        </w:rPr>
        <w:t>) is another charitable organisation available and its objective aim is to empower its clients within society.</w:t>
      </w:r>
    </w:p>
    <w:p w14:paraId="06B51D12" w14:textId="7D9C77AC" w:rsidR="00F57E7C" w:rsidRPr="0015008E" w:rsidRDefault="44C3BCB0" w:rsidP="44C3BCB0">
      <w:pPr>
        <w:spacing w:line="360" w:lineRule="auto"/>
        <w:rPr>
          <w:rFonts w:ascii="Times New Roman" w:hAnsi="Times New Roman" w:cs="Times New Roman"/>
          <w:sz w:val="24"/>
          <w:szCs w:val="24"/>
        </w:rPr>
      </w:pPr>
      <w:r w:rsidRPr="44C3BCB0">
        <w:rPr>
          <w:rFonts w:ascii="Times New Roman" w:hAnsi="Times New Roman" w:cs="Times New Roman"/>
          <w:sz w:val="24"/>
          <w:szCs w:val="24"/>
        </w:rPr>
        <w:t xml:space="preserve">Advocacy is the route of empowerment and ‘Advocacy for all’ has been included to the Care Act 2014. Empowerment </w:t>
      </w:r>
      <w:proofErr w:type="gramStart"/>
      <w:r w:rsidRPr="44C3BCB0">
        <w:rPr>
          <w:rFonts w:ascii="Times New Roman" w:hAnsi="Times New Roman" w:cs="Times New Roman"/>
          <w:sz w:val="24"/>
          <w:szCs w:val="24"/>
        </w:rPr>
        <w:t>by definition means</w:t>
      </w:r>
      <w:proofErr w:type="gramEnd"/>
      <w:r w:rsidRPr="44C3BCB0">
        <w:rPr>
          <w:rFonts w:ascii="Times New Roman" w:hAnsi="Times New Roman" w:cs="Times New Roman"/>
          <w:sz w:val="24"/>
          <w:szCs w:val="24"/>
        </w:rPr>
        <w:t xml:space="preserve"> to give people a voice and the power to take control of their own lives as much as possible. Any possibility of empowerment requires that power must be able to adapt, if the power has no means of adaptation then empowerment is unachievable. The concept of power must have the potential to be able to expand and change </w:t>
      </w:r>
      <w:proofErr w:type="gramStart"/>
      <w:r w:rsidRPr="44C3BCB0">
        <w:rPr>
          <w:rFonts w:ascii="Times New Roman" w:hAnsi="Times New Roman" w:cs="Times New Roman"/>
          <w:sz w:val="24"/>
          <w:szCs w:val="24"/>
        </w:rPr>
        <w:t>in order for</w:t>
      </w:r>
      <w:proofErr w:type="gramEnd"/>
      <w:r w:rsidRPr="44C3BCB0">
        <w:rPr>
          <w:rFonts w:ascii="Times New Roman" w:hAnsi="Times New Roman" w:cs="Times New Roman"/>
          <w:sz w:val="24"/>
          <w:szCs w:val="24"/>
        </w:rPr>
        <w:t xml:space="preserve"> empowerment to be possible (Lord &amp; Hutchison, 2009). Historically people with disabilities have lost power and have had to fight to regain some control over what happens to them (Quinn et al, 2014), this process has been long fought and is now recognised as protective legislation (Human Rights Act, 1998), that underpins a system of basic freedoms for every individual. As a result of this historic imbalance of power that disabled people have become accustomed to, empowerment has now become a key term in social work, aiming to give power back to these people. Advocacy is a means to empower people in your care.</w:t>
      </w:r>
    </w:p>
    <w:p w14:paraId="3A7D6CD9" w14:textId="38500410" w:rsidR="00ED58E6" w:rsidRPr="0015008E" w:rsidRDefault="44C3BCB0" w:rsidP="44C3BCB0">
      <w:pPr>
        <w:spacing w:line="360" w:lineRule="auto"/>
        <w:rPr>
          <w:rFonts w:ascii="Times New Roman" w:hAnsi="Times New Roman" w:cs="Times New Roman"/>
          <w:sz w:val="24"/>
          <w:szCs w:val="24"/>
        </w:rPr>
      </w:pPr>
      <w:r w:rsidRPr="44C3BCB0">
        <w:rPr>
          <w:rFonts w:ascii="Times New Roman" w:hAnsi="Times New Roman" w:cs="Times New Roman"/>
          <w:sz w:val="24"/>
          <w:szCs w:val="24"/>
        </w:rPr>
        <w:lastRenderedPageBreak/>
        <w:t>Empowerment work should expose social, political and material inequalities, whilst highlighting the strengths of individuals and communities and working towards the empowerment of these individuals (</w:t>
      </w:r>
      <w:proofErr w:type="spellStart"/>
      <w:r w:rsidRPr="44C3BCB0">
        <w:rPr>
          <w:rFonts w:ascii="Times New Roman" w:hAnsi="Times New Roman" w:cs="Times New Roman"/>
          <w:sz w:val="24"/>
          <w:szCs w:val="24"/>
        </w:rPr>
        <w:t>Cattaneo</w:t>
      </w:r>
      <w:proofErr w:type="spellEnd"/>
      <w:r w:rsidRPr="44C3BCB0">
        <w:rPr>
          <w:rFonts w:ascii="Times New Roman" w:hAnsi="Times New Roman" w:cs="Times New Roman"/>
          <w:sz w:val="24"/>
          <w:szCs w:val="24"/>
        </w:rPr>
        <w:t xml:space="preserve"> and Chapman, 2010). Empowerment advocacy is a term that in some way contradicts the idea of empowerment but in certain cases it is clear that without someone to speak for you it would be very easy for decisions to be made without the input of an individual, a good example of this is somebody who has clear problems in communication.  Empowerment is fundamentally about getting, or in terms of social work, often regaining power. Literature on empowerment gives a wide variety of definitions of empowerment but most come back to the reason behind this term being so prevalent in social work, that is empowerment is a process of change, and is required in social work as a result of the historical taking away of power that so many people have been subject to. McClelland (1975) noted the importance of an individual’s information about themselves and the environment, and how the knowledge gained from this can identify areas that need to be concentrated on in order to develop.</w:t>
      </w:r>
    </w:p>
    <w:p w14:paraId="79FEB8DC" w14:textId="76D431C3" w:rsidR="00A07C2F" w:rsidRPr="0015008E" w:rsidRDefault="44C3BCB0" w:rsidP="44C3BCB0">
      <w:pPr>
        <w:spacing w:line="360" w:lineRule="auto"/>
        <w:rPr>
          <w:rFonts w:ascii="Times New Roman" w:hAnsi="Times New Roman" w:cs="Times New Roman"/>
          <w:sz w:val="24"/>
          <w:szCs w:val="24"/>
        </w:rPr>
      </w:pPr>
      <w:r w:rsidRPr="44C3BCB0">
        <w:rPr>
          <w:rFonts w:ascii="Times New Roman" w:hAnsi="Times New Roman" w:cs="Times New Roman"/>
          <w:sz w:val="24"/>
          <w:szCs w:val="24"/>
        </w:rPr>
        <w:t>The Empowerment Process Model is fundamentally about gaining power (</w:t>
      </w:r>
      <w:proofErr w:type="spellStart"/>
      <w:r w:rsidRPr="44C3BCB0">
        <w:rPr>
          <w:rFonts w:ascii="Times New Roman" w:hAnsi="Times New Roman" w:cs="Times New Roman"/>
          <w:sz w:val="24"/>
          <w:szCs w:val="24"/>
        </w:rPr>
        <w:t>Cattaneo</w:t>
      </w:r>
      <w:proofErr w:type="spellEnd"/>
      <w:r w:rsidRPr="44C3BCB0">
        <w:rPr>
          <w:rFonts w:ascii="Times New Roman" w:hAnsi="Times New Roman" w:cs="Times New Roman"/>
          <w:sz w:val="24"/>
          <w:szCs w:val="24"/>
        </w:rPr>
        <w:t xml:space="preserve"> and Chapman, 2010)., this model proposes that empowerment is iterative and non-linear and shows the empowerment process as a cycle that a person can repeat. With a goal in mind that will increase power, actions can be taken towards this goal and observations and reflections made upon the outcomes and impacts of this goal. This process can then be cycled through with new levels of self-efficacy, improved knowledge and higher competence in this area (</w:t>
      </w:r>
      <w:proofErr w:type="spellStart"/>
      <w:r w:rsidRPr="44C3BCB0">
        <w:rPr>
          <w:rFonts w:ascii="Times New Roman" w:hAnsi="Times New Roman" w:cs="Times New Roman"/>
          <w:sz w:val="24"/>
          <w:szCs w:val="24"/>
        </w:rPr>
        <w:t>Cattaneo</w:t>
      </w:r>
      <w:proofErr w:type="spellEnd"/>
      <w:r w:rsidRPr="44C3BCB0">
        <w:rPr>
          <w:rFonts w:ascii="Times New Roman" w:hAnsi="Times New Roman" w:cs="Times New Roman"/>
          <w:sz w:val="24"/>
          <w:szCs w:val="24"/>
        </w:rPr>
        <w:t xml:space="preserve"> and Chapman, 2010). The term empowerment is widely used, and defined in numerous ways, an international examination of empowerment indicators state thirty-two different definitions of empowerment (Ibrahim &amp; </w:t>
      </w:r>
      <w:proofErr w:type="spellStart"/>
      <w:r w:rsidRPr="44C3BCB0">
        <w:rPr>
          <w:rFonts w:ascii="Times New Roman" w:hAnsi="Times New Roman" w:cs="Times New Roman"/>
          <w:sz w:val="24"/>
          <w:szCs w:val="24"/>
        </w:rPr>
        <w:t>Alkire</w:t>
      </w:r>
      <w:proofErr w:type="spellEnd"/>
      <w:r w:rsidRPr="44C3BCB0">
        <w:rPr>
          <w:rFonts w:ascii="Times New Roman" w:hAnsi="Times New Roman" w:cs="Times New Roman"/>
          <w:sz w:val="24"/>
          <w:szCs w:val="24"/>
        </w:rPr>
        <w:t xml:space="preserve">, 2007). However, most of the research the authors looked at incorporates the term ‘agency’, the ability to make one’s own choices that are purposeful and lead to a desired outcome, into their work. This term agency relates to the self-efficacy, knowledge, and competence that </w:t>
      </w:r>
      <w:proofErr w:type="spellStart"/>
      <w:r w:rsidRPr="44C3BCB0">
        <w:rPr>
          <w:rFonts w:ascii="Times New Roman" w:hAnsi="Times New Roman" w:cs="Times New Roman"/>
          <w:sz w:val="24"/>
          <w:szCs w:val="24"/>
        </w:rPr>
        <w:t>Cattaneo</w:t>
      </w:r>
      <w:proofErr w:type="spellEnd"/>
      <w:r w:rsidRPr="44C3BCB0">
        <w:rPr>
          <w:rFonts w:ascii="Times New Roman" w:hAnsi="Times New Roman" w:cs="Times New Roman"/>
          <w:sz w:val="24"/>
          <w:szCs w:val="24"/>
        </w:rPr>
        <w:t xml:space="preserve"> and Chapman (2010) discuss in their proposed model of empowerment. Once agency is considered this becomes a far more individual perspective on empowerment, especially in the realm of social work (</w:t>
      </w:r>
      <w:proofErr w:type="spellStart"/>
      <w:r w:rsidRPr="44C3BCB0">
        <w:rPr>
          <w:rFonts w:ascii="Times New Roman" w:hAnsi="Times New Roman" w:cs="Times New Roman"/>
          <w:sz w:val="24"/>
          <w:szCs w:val="24"/>
        </w:rPr>
        <w:t>Lausch</w:t>
      </w:r>
      <w:proofErr w:type="spellEnd"/>
      <w:r w:rsidRPr="44C3BCB0">
        <w:rPr>
          <w:rFonts w:ascii="Times New Roman" w:hAnsi="Times New Roman" w:cs="Times New Roman"/>
          <w:sz w:val="24"/>
          <w:szCs w:val="24"/>
        </w:rPr>
        <w:t xml:space="preserve">, 2011). </w:t>
      </w:r>
    </w:p>
    <w:p w14:paraId="26C2DC2A" w14:textId="6DB1507A" w:rsidR="00387562" w:rsidRPr="0015008E" w:rsidRDefault="44C3BCB0" w:rsidP="44C3BCB0">
      <w:pPr>
        <w:spacing w:line="360" w:lineRule="auto"/>
        <w:rPr>
          <w:rFonts w:ascii="Times New Roman" w:hAnsi="Times New Roman" w:cs="Times New Roman"/>
          <w:sz w:val="24"/>
          <w:szCs w:val="24"/>
        </w:rPr>
      </w:pPr>
      <w:r w:rsidRPr="44C3BCB0">
        <w:rPr>
          <w:rFonts w:ascii="Times New Roman" w:hAnsi="Times New Roman" w:cs="Times New Roman"/>
          <w:sz w:val="24"/>
          <w:szCs w:val="24"/>
        </w:rPr>
        <w:t xml:space="preserve">Agency is an important consideration in empowerment theory, in a review of agency and empowerment </w:t>
      </w:r>
      <w:proofErr w:type="spellStart"/>
      <w:r w:rsidRPr="44C3BCB0">
        <w:rPr>
          <w:rFonts w:ascii="Times New Roman" w:hAnsi="Times New Roman" w:cs="Times New Roman"/>
          <w:sz w:val="24"/>
          <w:szCs w:val="24"/>
        </w:rPr>
        <w:t>Samman</w:t>
      </w:r>
      <w:proofErr w:type="spellEnd"/>
      <w:r w:rsidRPr="44C3BCB0">
        <w:rPr>
          <w:rFonts w:ascii="Times New Roman" w:hAnsi="Times New Roman" w:cs="Times New Roman"/>
          <w:sz w:val="24"/>
          <w:szCs w:val="24"/>
        </w:rPr>
        <w:t xml:space="preserve"> and Santos (2009, p. 4) define agency as:</w:t>
      </w:r>
    </w:p>
    <w:p w14:paraId="459C3303" w14:textId="57A90DC0" w:rsidR="003B46ED" w:rsidRDefault="00F17F24" w:rsidP="0015008E">
      <w:pPr>
        <w:spacing w:line="240" w:lineRule="auto"/>
        <w:ind w:left="1474" w:right="1474"/>
        <w:rPr>
          <w:rFonts w:ascii="Times New Roman" w:hAnsi="Times New Roman" w:cs="Times New Roman"/>
          <w:sz w:val="24"/>
          <w:szCs w:val="24"/>
        </w:rPr>
      </w:pPr>
      <w:r w:rsidRPr="0015008E">
        <w:rPr>
          <w:rFonts w:ascii="Times New Roman" w:hAnsi="Times New Roman" w:cs="Times New Roman"/>
          <w:sz w:val="24"/>
          <w:szCs w:val="24"/>
        </w:rPr>
        <w:t>an actor‘s or group‘s ability to make purposeful choices</w:t>
      </w:r>
      <w:r w:rsidR="00E03344" w:rsidRPr="0015008E">
        <w:rPr>
          <w:rFonts w:ascii="Times New Roman" w:hAnsi="Times New Roman" w:cs="Times New Roman"/>
          <w:sz w:val="24"/>
          <w:szCs w:val="24"/>
        </w:rPr>
        <w:t>…..</w:t>
      </w:r>
      <w:r w:rsidRPr="0015008E">
        <w:rPr>
          <w:rFonts w:ascii="Times New Roman" w:hAnsi="Times New Roman" w:cs="Times New Roman"/>
          <w:sz w:val="24"/>
          <w:szCs w:val="24"/>
        </w:rPr>
        <w:t xml:space="preserve">and capabilities of all types: human (such as good health and </w:t>
      </w:r>
      <w:r w:rsidRPr="0015008E">
        <w:rPr>
          <w:rFonts w:ascii="Times New Roman" w:hAnsi="Times New Roman" w:cs="Times New Roman"/>
          <w:sz w:val="24"/>
          <w:szCs w:val="24"/>
        </w:rPr>
        <w:lastRenderedPageBreak/>
        <w:t>education), social (such as social belonging, a sense of identity, leadership relations) and psychological (self-esteem, self-confidence, the ability to imagine and aspire to a better future), and by people</w:t>
      </w:r>
      <w:r w:rsidR="003853C6" w:rsidRPr="0015008E">
        <w:rPr>
          <w:rFonts w:ascii="Times New Roman" w:hAnsi="Times New Roman" w:cs="Times New Roman"/>
          <w:sz w:val="24"/>
          <w:szCs w:val="24"/>
        </w:rPr>
        <w:t>’</w:t>
      </w:r>
      <w:r w:rsidRPr="0015008E">
        <w:rPr>
          <w:rFonts w:ascii="Times New Roman" w:hAnsi="Times New Roman" w:cs="Times New Roman"/>
          <w:sz w:val="24"/>
          <w:szCs w:val="24"/>
        </w:rPr>
        <w:t>s collective assets and capabilities, such as voice, organization, representation and identity.</w:t>
      </w:r>
    </w:p>
    <w:p w14:paraId="0B815EF6" w14:textId="77777777" w:rsidR="0092240A" w:rsidRPr="0015008E" w:rsidRDefault="0092240A" w:rsidP="0015008E">
      <w:pPr>
        <w:spacing w:line="240" w:lineRule="auto"/>
        <w:ind w:left="1474" w:right="1474"/>
        <w:rPr>
          <w:rFonts w:ascii="Times New Roman" w:hAnsi="Times New Roman" w:cs="Times New Roman"/>
          <w:sz w:val="24"/>
          <w:szCs w:val="24"/>
        </w:rPr>
      </w:pPr>
    </w:p>
    <w:p w14:paraId="4A986323" w14:textId="7A6281EA" w:rsidR="009541BE" w:rsidRPr="0015008E" w:rsidRDefault="00F17F24" w:rsidP="0015008E">
      <w:pPr>
        <w:spacing w:line="360" w:lineRule="auto"/>
        <w:rPr>
          <w:rFonts w:ascii="Times New Roman" w:hAnsi="Times New Roman" w:cs="Times New Roman"/>
          <w:sz w:val="24"/>
          <w:szCs w:val="24"/>
        </w:rPr>
      </w:pPr>
      <w:r w:rsidRPr="0015008E">
        <w:rPr>
          <w:rFonts w:ascii="Times New Roman" w:hAnsi="Times New Roman" w:cs="Times New Roman"/>
          <w:sz w:val="24"/>
          <w:szCs w:val="24"/>
        </w:rPr>
        <w:t xml:space="preserve">The role of an advocate is often to recognise these capabilities and </w:t>
      </w:r>
      <w:r w:rsidR="00E03344" w:rsidRPr="0015008E">
        <w:rPr>
          <w:rFonts w:ascii="Times New Roman" w:hAnsi="Times New Roman" w:cs="Times New Roman"/>
          <w:sz w:val="24"/>
          <w:szCs w:val="24"/>
        </w:rPr>
        <w:t xml:space="preserve">help individuals to recognise themselves as capable, </w:t>
      </w:r>
      <w:r w:rsidRPr="0015008E">
        <w:rPr>
          <w:rFonts w:ascii="Times New Roman" w:hAnsi="Times New Roman" w:cs="Times New Roman"/>
          <w:sz w:val="24"/>
          <w:szCs w:val="24"/>
        </w:rPr>
        <w:t>empower</w:t>
      </w:r>
      <w:r w:rsidR="00E03344" w:rsidRPr="0015008E">
        <w:rPr>
          <w:rFonts w:ascii="Times New Roman" w:hAnsi="Times New Roman" w:cs="Times New Roman"/>
          <w:sz w:val="24"/>
          <w:szCs w:val="24"/>
        </w:rPr>
        <w:t>ing them</w:t>
      </w:r>
      <w:r w:rsidRPr="0015008E">
        <w:rPr>
          <w:rFonts w:ascii="Times New Roman" w:hAnsi="Times New Roman" w:cs="Times New Roman"/>
          <w:sz w:val="24"/>
          <w:szCs w:val="24"/>
        </w:rPr>
        <w:t xml:space="preserve"> to make the purposeful decisions for themselves. This focus on the individual</w:t>
      </w:r>
      <w:r w:rsidR="00E03344" w:rsidRPr="0015008E">
        <w:rPr>
          <w:rFonts w:ascii="Times New Roman" w:hAnsi="Times New Roman" w:cs="Times New Roman"/>
          <w:sz w:val="24"/>
          <w:szCs w:val="24"/>
        </w:rPr>
        <w:t>’</w:t>
      </w:r>
      <w:r w:rsidRPr="0015008E">
        <w:rPr>
          <w:rFonts w:ascii="Times New Roman" w:hAnsi="Times New Roman" w:cs="Times New Roman"/>
          <w:sz w:val="24"/>
          <w:szCs w:val="24"/>
        </w:rPr>
        <w:t xml:space="preserve">s choices </w:t>
      </w:r>
      <w:r w:rsidR="00E03344" w:rsidRPr="0015008E">
        <w:rPr>
          <w:rFonts w:ascii="Times New Roman" w:hAnsi="Times New Roman" w:cs="Times New Roman"/>
          <w:sz w:val="24"/>
          <w:szCs w:val="24"/>
        </w:rPr>
        <w:t xml:space="preserve">could be argued </w:t>
      </w:r>
      <w:r w:rsidRPr="0015008E">
        <w:rPr>
          <w:rFonts w:ascii="Times New Roman" w:hAnsi="Times New Roman" w:cs="Times New Roman"/>
          <w:sz w:val="24"/>
          <w:szCs w:val="24"/>
        </w:rPr>
        <w:t xml:space="preserve">in some way </w:t>
      </w:r>
      <w:r w:rsidR="00E03344" w:rsidRPr="0015008E">
        <w:rPr>
          <w:rFonts w:ascii="Times New Roman" w:hAnsi="Times New Roman" w:cs="Times New Roman"/>
          <w:sz w:val="24"/>
          <w:szCs w:val="24"/>
        </w:rPr>
        <w:t>to contradict</w:t>
      </w:r>
      <w:r w:rsidRPr="0015008E">
        <w:rPr>
          <w:rFonts w:ascii="Times New Roman" w:hAnsi="Times New Roman" w:cs="Times New Roman"/>
          <w:sz w:val="24"/>
          <w:szCs w:val="24"/>
        </w:rPr>
        <w:t xml:space="preserve"> the nature of being an advocate, but many people who are disadvantaged struggle to identify these capabilities for themselves or suffer from a lack of information and opportunity, limiting their agency </w:t>
      </w:r>
      <w:r w:rsidR="00E03344" w:rsidRPr="0015008E">
        <w:rPr>
          <w:rFonts w:ascii="Times New Roman" w:hAnsi="Times New Roman" w:cs="Times New Roman"/>
          <w:sz w:val="24"/>
          <w:szCs w:val="24"/>
        </w:rPr>
        <w:t>potential,</w:t>
      </w:r>
      <w:r w:rsidRPr="0015008E">
        <w:rPr>
          <w:rFonts w:ascii="Times New Roman" w:hAnsi="Times New Roman" w:cs="Times New Roman"/>
          <w:sz w:val="24"/>
          <w:szCs w:val="24"/>
        </w:rPr>
        <w:t xml:space="preserve"> and </w:t>
      </w:r>
      <w:r w:rsidR="00E03344" w:rsidRPr="0015008E">
        <w:rPr>
          <w:rFonts w:ascii="Times New Roman" w:hAnsi="Times New Roman" w:cs="Times New Roman"/>
          <w:sz w:val="24"/>
          <w:szCs w:val="24"/>
        </w:rPr>
        <w:t xml:space="preserve">require this advocate work in order to increase agency. This increase in personal agency allows for individuals to fully appreciate their </w:t>
      </w:r>
      <w:r w:rsidR="008C71E1" w:rsidRPr="0015008E">
        <w:rPr>
          <w:rFonts w:ascii="Times New Roman" w:hAnsi="Times New Roman" w:cs="Times New Roman"/>
          <w:sz w:val="24"/>
          <w:szCs w:val="24"/>
        </w:rPr>
        <w:t xml:space="preserve">own </w:t>
      </w:r>
      <w:r w:rsidR="00E03344" w:rsidRPr="0015008E">
        <w:rPr>
          <w:rFonts w:ascii="Times New Roman" w:hAnsi="Times New Roman" w:cs="Times New Roman"/>
          <w:sz w:val="24"/>
          <w:szCs w:val="24"/>
        </w:rPr>
        <w:t>capabilities and develop meaningful choices for their future</w:t>
      </w:r>
      <w:r w:rsidR="00036A6C" w:rsidRPr="0015008E">
        <w:rPr>
          <w:rFonts w:ascii="Times New Roman" w:hAnsi="Times New Roman" w:cs="Times New Roman"/>
          <w:sz w:val="24"/>
          <w:szCs w:val="24"/>
        </w:rPr>
        <w:t xml:space="preserve"> (</w:t>
      </w:r>
      <w:proofErr w:type="spellStart"/>
      <w:r w:rsidR="00036A6C" w:rsidRPr="0015008E">
        <w:rPr>
          <w:rFonts w:ascii="Times New Roman" w:hAnsi="Times New Roman" w:cs="Times New Roman"/>
          <w:sz w:val="24"/>
          <w:szCs w:val="24"/>
        </w:rPr>
        <w:t>Lausch</w:t>
      </w:r>
      <w:proofErr w:type="spellEnd"/>
      <w:r w:rsidR="00036A6C" w:rsidRPr="0015008E">
        <w:rPr>
          <w:rFonts w:ascii="Times New Roman" w:hAnsi="Times New Roman" w:cs="Times New Roman"/>
          <w:sz w:val="24"/>
          <w:szCs w:val="24"/>
        </w:rPr>
        <w:t xml:space="preserve">, 2011; </w:t>
      </w:r>
      <w:proofErr w:type="spellStart"/>
      <w:r w:rsidR="00036A6C" w:rsidRPr="0015008E">
        <w:rPr>
          <w:rFonts w:ascii="Times New Roman" w:hAnsi="Times New Roman" w:cs="Times New Roman"/>
          <w:sz w:val="24"/>
          <w:szCs w:val="24"/>
        </w:rPr>
        <w:t>Samman</w:t>
      </w:r>
      <w:proofErr w:type="spellEnd"/>
      <w:r w:rsidR="00036A6C" w:rsidRPr="0015008E">
        <w:rPr>
          <w:rFonts w:ascii="Times New Roman" w:hAnsi="Times New Roman" w:cs="Times New Roman"/>
          <w:sz w:val="24"/>
          <w:szCs w:val="24"/>
        </w:rPr>
        <w:t xml:space="preserve"> &amp; Santos, 2009)</w:t>
      </w:r>
      <w:r w:rsidR="00E03344" w:rsidRPr="0015008E">
        <w:rPr>
          <w:rFonts w:ascii="Times New Roman" w:hAnsi="Times New Roman" w:cs="Times New Roman"/>
          <w:sz w:val="24"/>
          <w:szCs w:val="24"/>
        </w:rPr>
        <w:t>.</w:t>
      </w:r>
    </w:p>
    <w:p w14:paraId="301EE49F" w14:textId="7E150C52" w:rsidR="00036A6C" w:rsidRPr="0015008E" w:rsidRDefault="44C3BCB0" w:rsidP="44C3BCB0">
      <w:pPr>
        <w:spacing w:line="360" w:lineRule="auto"/>
        <w:rPr>
          <w:rFonts w:ascii="Times New Roman" w:hAnsi="Times New Roman" w:cs="Times New Roman"/>
          <w:sz w:val="24"/>
          <w:szCs w:val="24"/>
        </w:rPr>
      </w:pPr>
      <w:r w:rsidRPr="44C3BCB0">
        <w:rPr>
          <w:rFonts w:ascii="Times New Roman" w:hAnsi="Times New Roman" w:cs="Times New Roman"/>
          <w:sz w:val="24"/>
          <w:szCs w:val="24"/>
        </w:rPr>
        <w:t xml:space="preserve">Bandura’s (1992) work on self-efficacy shows the value of human agency and how developing strong self-efficacy skills can help an individual prepare themselves with the information and ability to make meaningful decisions about their future. Bandura states how self-efficacy operates as a self-regulatory mechanism of human agency (Bandura, 1982). This idea of human agency can change over time and people who may have had the agency necessary to make valid and meaningful decisions about their life course, can be subject to circumstance change which affects the agency they have (Elder, 1994). With advocacy being recognised as a political process by some authors it is clear that the capacity to influence policy and allocation of resources could lead to improvements in political systems, economic allocation of resources and social systems helping to begin the process of the removal of embedded barriers to inclusion that many disadvantaged people are subject to (Cohen et al, 2001; Morley &amp; Croft, 2011). </w:t>
      </w:r>
    </w:p>
    <w:p w14:paraId="6CBAF471" w14:textId="07A89538" w:rsidR="00F57E7C" w:rsidRDefault="44C3BCB0" w:rsidP="44C3BCB0">
      <w:pPr>
        <w:spacing w:line="360" w:lineRule="auto"/>
        <w:rPr>
          <w:rFonts w:ascii="Times New Roman" w:hAnsi="Times New Roman" w:cs="Times New Roman"/>
          <w:sz w:val="24"/>
          <w:szCs w:val="24"/>
        </w:rPr>
      </w:pPr>
      <w:r w:rsidRPr="44C3BCB0">
        <w:rPr>
          <w:rFonts w:ascii="Times New Roman" w:hAnsi="Times New Roman" w:cs="Times New Roman"/>
          <w:sz w:val="24"/>
          <w:szCs w:val="24"/>
        </w:rPr>
        <w:t>Human agency has become a core part of social work (</w:t>
      </w:r>
      <w:proofErr w:type="spellStart"/>
      <w:r w:rsidRPr="44C3BCB0">
        <w:rPr>
          <w:rFonts w:ascii="Times New Roman" w:hAnsi="Times New Roman" w:cs="Times New Roman"/>
          <w:sz w:val="24"/>
          <w:szCs w:val="24"/>
        </w:rPr>
        <w:t>Parsell</w:t>
      </w:r>
      <w:proofErr w:type="spellEnd"/>
      <w:r w:rsidRPr="44C3BCB0">
        <w:rPr>
          <w:rFonts w:ascii="Times New Roman" w:hAnsi="Times New Roman" w:cs="Times New Roman"/>
          <w:sz w:val="24"/>
          <w:szCs w:val="24"/>
        </w:rPr>
        <w:t xml:space="preserve">, </w:t>
      </w:r>
      <w:proofErr w:type="spellStart"/>
      <w:r w:rsidRPr="44C3BCB0">
        <w:rPr>
          <w:rFonts w:ascii="Times New Roman" w:hAnsi="Times New Roman" w:cs="Times New Roman"/>
          <w:sz w:val="24"/>
          <w:szCs w:val="24"/>
        </w:rPr>
        <w:t>Eggins</w:t>
      </w:r>
      <w:proofErr w:type="spellEnd"/>
      <w:r w:rsidRPr="44C3BCB0">
        <w:rPr>
          <w:rFonts w:ascii="Times New Roman" w:hAnsi="Times New Roman" w:cs="Times New Roman"/>
          <w:sz w:val="24"/>
          <w:szCs w:val="24"/>
        </w:rPr>
        <w:t xml:space="preserve"> &amp; Marston, 2017). Often social workers campaign to change social institutions and systems to enhance the lives of disadvantaged or excluded people. However, practice guidelines often make assumptions as to the level of human agency, focussing too much on human agency in clients, which has been argued can sometimes remove focus away from embedded institutional, structural and systematic forces that are barriers to human agency in some marginalized groups (Schram, 2002). </w:t>
      </w:r>
      <w:proofErr w:type="spellStart"/>
      <w:r w:rsidRPr="44C3BCB0">
        <w:rPr>
          <w:rFonts w:ascii="Times New Roman" w:hAnsi="Times New Roman" w:cs="Times New Roman"/>
          <w:sz w:val="24"/>
          <w:szCs w:val="24"/>
        </w:rPr>
        <w:t>Parsell</w:t>
      </w:r>
      <w:proofErr w:type="spellEnd"/>
      <w:r w:rsidRPr="44C3BCB0">
        <w:rPr>
          <w:rFonts w:ascii="Times New Roman" w:hAnsi="Times New Roman" w:cs="Times New Roman"/>
          <w:sz w:val="24"/>
          <w:szCs w:val="24"/>
        </w:rPr>
        <w:t xml:space="preserve">, </w:t>
      </w:r>
      <w:proofErr w:type="spellStart"/>
      <w:r w:rsidRPr="44C3BCB0">
        <w:rPr>
          <w:rFonts w:ascii="Times New Roman" w:hAnsi="Times New Roman" w:cs="Times New Roman"/>
          <w:sz w:val="24"/>
          <w:szCs w:val="24"/>
        </w:rPr>
        <w:t>Eggins</w:t>
      </w:r>
      <w:proofErr w:type="spellEnd"/>
      <w:r w:rsidRPr="44C3BCB0">
        <w:rPr>
          <w:rFonts w:ascii="Times New Roman" w:hAnsi="Times New Roman" w:cs="Times New Roman"/>
          <w:sz w:val="24"/>
          <w:szCs w:val="24"/>
        </w:rPr>
        <w:t xml:space="preserve"> and Marston (2017) further discuss these barriers to the development </w:t>
      </w:r>
      <w:r w:rsidRPr="44C3BCB0">
        <w:rPr>
          <w:rFonts w:ascii="Times New Roman" w:hAnsi="Times New Roman" w:cs="Times New Roman"/>
          <w:sz w:val="24"/>
          <w:szCs w:val="24"/>
        </w:rPr>
        <w:lastRenderedPageBreak/>
        <w:t>of human agency and note the importance of changes to institutional, practice and regulation reforms in order to make barriers to human agency for marginalised groups more transparent. This breakdown of embedded barriers would allow social work practice to apply the theory of agency development more extensively to individuals and improve the reflective self-efficacy and capability of individuals. It could be argued, therefore, that some of these embedded barriers are oppressive practice and limit the capability of marginalised individuals in society.</w:t>
      </w:r>
    </w:p>
    <w:p w14:paraId="5F5B5093" w14:textId="26F963F2" w:rsidR="0015008E" w:rsidRDefault="44C3BCB0" w:rsidP="44C3BCB0">
      <w:pPr>
        <w:spacing w:line="360" w:lineRule="auto"/>
        <w:rPr>
          <w:rFonts w:ascii="Times New Roman" w:hAnsi="Times New Roman" w:cs="Times New Roman"/>
          <w:sz w:val="24"/>
          <w:szCs w:val="24"/>
        </w:rPr>
      </w:pPr>
      <w:r w:rsidRPr="44C3BCB0">
        <w:rPr>
          <w:rFonts w:ascii="Times New Roman" w:hAnsi="Times New Roman" w:cs="Times New Roman"/>
          <w:sz w:val="24"/>
          <w:szCs w:val="24"/>
        </w:rPr>
        <w:t>Anti-oppressive practice aims to incorporate and promote equality in society, breaking down differences and social divisions to incorporate everyone equally (</w:t>
      </w:r>
      <w:proofErr w:type="spellStart"/>
      <w:r w:rsidRPr="44C3BCB0">
        <w:rPr>
          <w:rFonts w:ascii="Times New Roman" w:hAnsi="Times New Roman" w:cs="Times New Roman"/>
          <w:sz w:val="24"/>
          <w:szCs w:val="24"/>
        </w:rPr>
        <w:t>OpenLearnCymru</w:t>
      </w:r>
      <w:proofErr w:type="spellEnd"/>
      <w:r w:rsidRPr="44C3BCB0">
        <w:rPr>
          <w:rFonts w:ascii="Times New Roman" w:hAnsi="Times New Roman" w:cs="Times New Roman"/>
          <w:sz w:val="24"/>
          <w:szCs w:val="24"/>
        </w:rPr>
        <w:t>, 2019). The Thompson model of anti-oppressive practice highlights personal, cultural and structural barriers to working in an anti-oppressive way for social workers (Thompson, 2006). Thompson’s model shows how these three factors influence each other and recognises how discrimination is not only apparent at an individual level but is also present within cultural, social and structural networks within society. Once this recognition of these built in cultural and social discriminatory networks becomes apparent, there is the opportunity to challenge them, improving society and making it more inclusive for future generations (</w:t>
      </w:r>
      <w:proofErr w:type="spellStart"/>
      <w:r w:rsidRPr="44C3BCB0">
        <w:rPr>
          <w:rFonts w:ascii="Times New Roman" w:hAnsi="Times New Roman" w:cs="Times New Roman"/>
          <w:sz w:val="24"/>
          <w:szCs w:val="24"/>
        </w:rPr>
        <w:t>RtSW</w:t>
      </w:r>
      <w:proofErr w:type="spellEnd"/>
      <w:r w:rsidRPr="44C3BCB0">
        <w:rPr>
          <w:rFonts w:ascii="Times New Roman" w:hAnsi="Times New Roman" w:cs="Times New Roman"/>
          <w:sz w:val="24"/>
          <w:szCs w:val="24"/>
        </w:rPr>
        <w:t xml:space="preserve">, 2019). </w:t>
      </w:r>
    </w:p>
    <w:p w14:paraId="10E779E3" w14:textId="06B2627F" w:rsidR="004576E4" w:rsidRDefault="44C3BCB0" w:rsidP="44C3BCB0">
      <w:pPr>
        <w:spacing w:line="360" w:lineRule="auto"/>
        <w:rPr>
          <w:rFonts w:ascii="Times New Roman" w:hAnsi="Times New Roman" w:cs="Times New Roman"/>
          <w:sz w:val="24"/>
          <w:szCs w:val="24"/>
        </w:rPr>
      </w:pPr>
      <w:r w:rsidRPr="44C3BCB0">
        <w:rPr>
          <w:rFonts w:ascii="Times New Roman" w:hAnsi="Times New Roman" w:cs="Times New Roman"/>
          <w:sz w:val="24"/>
          <w:szCs w:val="24"/>
        </w:rPr>
        <w:t>Developments in Community Care law (Gov.UK, 1990), guidelines and practice have meant a shift in the application of many social services and a difference in the way these services work together. The need and choice of individuals is often balanced with the provision of services and the cost of providing that service (</w:t>
      </w:r>
      <w:proofErr w:type="spellStart"/>
      <w:r w:rsidRPr="44C3BCB0">
        <w:rPr>
          <w:rFonts w:ascii="Times New Roman" w:hAnsi="Times New Roman" w:cs="Times New Roman"/>
          <w:sz w:val="24"/>
          <w:szCs w:val="24"/>
        </w:rPr>
        <w:t>Braye</w:t>
      </w:r>
      <w:proofErr w:type="spellEnd"/>
      <w:r w:rsidRPr="44C3BCB0">
        <w:rPr>
          <w:rFonts w:ascii="Times New Roman" w:hAnsi="Times New Roman" w:cs="Times New Roman"/>
          <w:sz w:val="24"/>
          <w:szCs w:val="24"/>
        </w:rPr>
        <w:t>, 1995). Often it is the professional who has the last say on provision of resources and this undermines the self-efficacy and human agency of many individuals (</w:t>
      </w:r>
      <w:proofErr w:type="spellStart"/>
      <w:r w:rsidRPr="44C3BCB0">
        <w:rPr>
          <w:rFonts w:ascii="Times New Roman" w:hAnsi="Times New Roman" w:cs="Times New Roman"/>
          <w:sz w:val="24"/>
          <w:szCs w:val="24"/>
        </w:rPr>
        <w:t>Braye</w:t>
      </w:r>
      <w:proofErr w:type="spellEnd"/>
      <w:r w:rsidRPr="44C3BCB0">
        <w:rPr>
          <w:rFonts w:ascii="Times New Roman" w:hAnsi="Times New Roman" w:cs="Times New Roman"/>
          <w:sz w:val="24"/>
          <w:szCs w:val="24"/>
        </w:rPr>
        <w:t xml:space="preserve">, 1995).  Whilst new regulations state that social work should be anti-oppressive, this shift to community care has meant that this undermining of individuals choice, due to cost and provision of resources, has </w:t>
      </w:r>
      <w:proofErr w:type="gramStart"/>
      <w:r w:rsidRPr="44C3BCB0">
        <w:rPr>
          <w:rFonts w:ascii="Times New Roman" w:hAnsi="Times New Roman" w:cs="Times New Roman"/>
          <w:sz w:val="24"/>
          <w:szCs w:val="24"/>
        </w:rPr>
        <w:t>in itself become</w:t>
      </w:r>
      <w:proofErr w:type="gramEnd"/>
      <w:r w:rsidRPr="44C3BCB0">
        <w:rPr>
          <w:rFonts w:ascii="Times New Roman" w:hAnsi="Times New Roman" w:cs="Times New Roman"/>
          <w:sz w:val="24"/>
          <w:szCs w:val="24"/>
        </w:rPr>
        <w:t xml:space="preserve"> an oppressive parameter to the choice and therefore human agency of many individua</w:t>
      </w:r>
      <w:r w:rsidR="00815E9F">
        <w:rPr>
          <w:rFonts w:ascii="Times New Roman" w:hAnsi="Times New Roman" w:cs="Times New Roman"/>
          <w:sz w:val="24"/>
          <w:szCs w:val="24"/>
        </w:rPr>
        <w:t>l.</w:t>
      </w:r>
      <w:r w:rsidRPr="44C3BCB0">
        <w:rPr>
          <w:rFonts w:ascii="Times New Roman" w:hAnsi="Times New Roman" w:cs="Times New Roman"/>
          <w:sz w:val="24"/>
          <w:szCs w:val="24"/>
        </w:rPr>
        <w:t xml:space="preserve">   </w:t>
      </w:r>
    </w:p>
    <w:p w14:paraId="27C9614A" w14:textId="77777777" w:rsidR="00815E9F" w:rsidRPr="00F50685" w:rsidRDefault="00815E9F" w:rsidP="00815E9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summarise, this research has described what constitutes empowerment, agency and anti-oppression practices which relate to the role of an advocate. The research has shown that empowerment means to give people a voice and the power to take control of their own lives as much as possible. The role of an advocate is to help individuals to recognise that they are capable and able to empower themselves to make focused decisions for themselves. The research also highlighted the need to identify the individual’s capabilities for themselves, so they do not lack the information and opportunities which limit the agency potential. The research has shown that the increase in personal agency allows individuals to fully appreciate </w:t>
      </w:r>
      <w:r>
        <w:rPr>
          <w:rFonts w:ascii="Times New Roman" w:hAnsi="Times New Roman" w:cs="Times New Roman"/>
          <w:sz w:val="24"/>
          <w:szCs w:val="24"/>
        </w:rPr>
        <w:lastRenderedPageBreak/>
        <w:t xml:space="preserve">their own capabilities and develop meaningful choices for their future. Finally, anti-oppression practice has shown to have negative impacts and creates barriers. </w:t>
      </w:r>
    </w:p>
    <w:bookmarkEnd w:id="0"/>
    <w:p w14:paraId="30C09A1C" w14:textId="77777777" w:rsidR="00815E9F" w:rsidRPr="007D7C6C" w:rsidRDefault="00815E9F" w:rsidP="44C3BCB0">
      <w:pPr>
        <w:spacing w:line="360" w:lineRule="auto"/>
        <w:rPr>
          <w:rFonts w:ascii="Times New Roman" w:hAnsi="Times New Roman" w:cs="Times New Roman"/>
          <w:color w:val="FF0000"/>
          <w:sz w:val="24"/>
          <w:szCs w:val="24"/>
        </w:rPr>
      </w:pPr>
    </w:p>
    <w:p w14:paraId="1C1DF74F" w14:textId="388A85BA" w:rsidR="004576E4" w:rsidRPr="0015008E" w:rsidRDefault="008E5839" w:rsidP="0015008E">
      <w:pPr>
        <w:spacing w:line="360" w:lineRule="auto"/>
        <w:rPr>
          <w:rFonts w:ascii="Times New Roman" w:hAnsi="Times New Roman" w:cs="Times New Roman"/>
          <w:color w:val="FF0000"/>
          <w:sz w:val="24"/>
          <w:szCs w:val="24"/>
        </w:rPr>
      </w:pPr>
      <w:r>
        <w:rPr>
          <w:rFonts w:ascii="Times New Roman" w:hAnsi="Times New Roman" w:cs="Times New Roman"/>
          <w:color w:val="FF0000"/>
          <w:sz w:val="24"/>
          <w:szCs w:val="24"/>
        </w:rPr>
        <w:t>,</w:t>
      </w:r>
    </w:p>
    <w:p w14:paraId="17C26E54" w14:textId="190F3B59" w:rsidR="004576E4" w:rsidRPr="0015008E" w:rsidRDefault="004576E4" w:rsidP="0015008E">
      <w:pPr>
        <w:spacing w:line="360" w:lineRule="auto"/>
        <w:rPr>
          <w:rFonts w:ascii="Times New Roman" w:hAnsi="Times New Roman" w:cs="Times New Roman"/>
          <w:color w:val="FF0000"/>
          <w:sz w:val="24"/>
          <w:szCs w:val="24"/>
        </w:rPr>
      </w:pPr>
    </w:p>
    <w:p w14:paraId="78648CF6" w14:textId="4480AC15" w:rsidR="004576E4" w:rsidRPr="0015008E" w:rsidRDefault="004576E4" w:rsidP="0015008E">
      <w:pPr>
        <w:spacing w:line="360" w:lineRule="auto"/>
        <w:rPr>
          <w:rFonts w:ascii="Times New Roman" w:hAnsi="Times New Roman" w:cs="Times New Roman"/>
          <w:color w:val="FF0000"/>
          <w:sz w:val="24"/>
          <w:szCs w:val="24"/>
        </w:rPr>
      </w:pPr>
    </w:p>
    <w:p w14:paraId="17567F11" w14:textId="6C55760E" w:rsidR="004576E4" w:rsidRPr="0015008E" w:rsidRDefault="004576E4" w:rsidP="0015008E">
      <w:pPr>
        <w:spacing w:line="360" w:lineRule="auto"/>
        <w:rPr>
          <w:rFonts w:ascii="Times New Roman" w:hAnsi="Times New Roman" w:cs="Times New Roman"/>
          <w:color w:val="FF0000"/>
          <w:sz w:val="24"/>
          <w:szCs w:val="24"/>
        </w:rPr>
      </w:pPr>
    </w:p>
    <w:p w14:paraId="259EF0D9" w14:textId="5D8A6EC0" w:rsidR="004576E4" w:rsidRPr="0015008E" w:rsidRDefault="004576E4" w:rsidP="0015008E">
      <w:pPr>
        <w:spacing w:line="360" w:lineRule="auto"/>
        <w:rPr>
          <w:rFonts w:ascii="Times New Roman" w:hAnsi="Times New Roman" w:cs="Times New Roman"/>
          <w:color w:val="FF0000"/>
          <w:sz w:val="24"/>
          <w:szCs w:val="24"/>
        </w:rPr>
      </w:pPr>
    </w:p>
    <w:p w14:paraId="22C7A540" w14:textId="601B587F" w:rsidR="004576E4" w:rsidRPr="0015008E" w:rsidRDefault="004576E4" w:rsidP="0015008E">
      <w:pPr>
        <w:spacing w:line="360" w:lineRule="auto"/>
        <w:rPr>
          <w:rFonts w:ascii="Times New Roman" w:hAnsi="Times New Roman" w:cs="Times New Roman"/>
          <w:color w:val="FF0000"/>
          <w:sz w:val="24"/>
          <w:szCs w:val="24"/>
        </w:rPr>
      </w:pPr>
    </w:p>
    <w:p w14:paraId="141EEE96" w14:textId="01B399EF" w:rsidR="004576E4" w:rsidRPr="0015008E" w:rsidRDefault="004576E4" w:rsidP="0015008E">
      <w:pPr>
        <w:spacing w:line="360" w:lineRule="auto"/>
        <w:rPr>
          <w:rFonts w:ascii="Times New Roman" w:hAnsi="Times New Roman" w:cs="Times New Roman"/>
          <w:color w:val="FF0000"/>
          <w:sz w:val="24"/>
          <w:szCs w:val="24"/>
        </w:rPr>
      </w:pPr>
    </w:p>
    <w:p w14:paraId="62250418" w14:textId="411AF53F" w:rsidR="004576E4" w:rsidRPr="0015008E" w:rsidRDefault="004576E4" w:rsidP="0015008E">
      <w:pPr>
        <w:spacing w:line="360" w:lineRule="auto"/>
        <w:rPr>
          <w:rFonts w:ascii="Times New Roman" w:hAnsi="Times New Roman" w:cs="Times New Roman"/>
          <w:color w:val="FF0000"/>
          <w:sz w:val="24"/>
          <w:szCs w:val="24"/>
        </w:rPr>
      </w:pPr>
    </w:p>
    <w:p w14:paraId="423F4B47" w14:textId="1137B105" w:rsidR="004576E4" w:rsidRPr="0015008E" w:rsidRDefault="004576E4" w:rsidP="0015008E">
      <w:pPr>
        <w:spacing w:line="360" w:lineRule="auto"/>
        <w:rPr>
          <w:rFonts w:ascii="Times New Roman" w:hAnsi="Times New Roman" w:cs="Times New Roman"/>
          <w:color w:val="FF0000"/>
          <w:sz w:val="24"/>
          <w:szCs w:val="24"/>
        </w:rPr>
      </w:pPr>
    </w:p>
    <w:p w14:paraId="208ED892" w14:textId="23172505" w:rsidR="004576E4" w:rsidRPr="0015008E" w:rsidRDefault="004576E4" w:rsidP="0015008E">
      <w:pPr>
        <w:spacing w:line="360" w:lineRule="auto"/>
        <w:rPr>
          <w:rFonts w:ascii="Times New Roman" w:hAnsi="Times New Roman" w:cs="Times New Roman"/>
          <w:color w:val="FF0000"/>
          <w:sz w:val="24"/>
          <w:szCs w:val="24"/>
        </w:rPr>
      </w:pPr>
    </w:p>
    <w:p w14:paraId="49F3EB56" w14:textId="2D9816C3" w:rsidR="004576E4" w:rsidRPr="0015008E" w:rsidRDefault="004576E4" w:rsidP="0015008E">
      <w:pPr>
        <w:spacing w:line="360" w:lineRule="auto"/>
        <w:rPr>
          <w:rFonts w:ascii="Times New Roman" w:hAnsi="Times New Roman" w:cs="Times New Roman"/>
          <w:color w:val="FF0000"/>
          <w:sz w:val="24"/>
          <w:szCs w:val="24"/>
        </w:rPr>
      </w:pPr>
    </w:p>
    <w:p w14:paraId="3EAE0C7C" w14:textId="3621BC20" w:rsidR="004576E4" w:rsidRPr="0015008E" w:rsidRDefault="004576E4" w:rsidP="0015008E">
      <w:pPr>
        <w:spacing w:line="360" w:lineRule="auto"/>
        <w:rPr>
          <w:rFonts w:ascii="Times New Roman" w:hAnsi="Times New Roman" w:cs="Times New Roman"/>
          <w:color w:val="FF0000"/>
          <w:sz w:val="24"/>
          <w:szCs w:val="24"/>
        </w:rPr>
      </w:pPr>
    </w:p>
    <w:p w14:paraId="473AF19D" w14:textId="3B53F3A5" w:rsidR="004576E4" w:rsidRPr="0015008E" w:rsidRDefault="004576E4" w:rsidP="0015008E">
      <w:pPr>
        <w:spacing w:line="360" w:lineRule="auto"/>
        <w:rPr>
          <w:rFonts w:ascii="Times New Roman" w:hAnsi="Times New Roman" w:cs="Times New Roman"/>
          <w:color w:val="FF0000"/>
          <w:sz w:val="24"/>
          <w:szCs w:val="24"/>
        </w:rPr>
      </w:pPr>
    </w:p>
    <w:p w14:paraId="1EB6D217" w14:textId="66A68B54" w:rsidR="004576E4" w:rsidRPr="0015008E" w:rsidRDefault="004576E4" w:rsidP="0015008E">
      <w:pPr>
        <w:spacing w:line="360" w:lineRule="auto"/>
        <w:rPr>
          <w:rFonts w:ascii="Times New Roman" w:hAnsi="Times New Roman" w:cs="Times New Roman"/>
          <w:color w:val="FF0000"/>
          <w:sz w:val="24"/>
          <w:szCs w:val="24"/>
        </w:rPr>
      </w:pPr>
    </w:p>
    <w:p w14:paraId="1E3C0097" w14:textId="7EEF69FB" w:rsidR="004576E4" w:rsidRPr="0015008E" w:rsidRDefault="004576E4" w:rsidP="0015008E">
      <w:pPr>
        <w:spacing w:line="360" w:lineRule="auto"/>
        <w:rPr>
          <w:rFonts w:ascii="Times New Roman" w:hAnsi="Times New Roman" w:cs="Times New Roman"/>
          <w:color w:val="FF0000"/>
          <w:sz w:val="24"/>
          <w:szCs w:val="24"/>
        </w:rPr>
      </w:pPr>
    </w:p>
    <w:p w14:paraId="33DB68DB" w14:textId="77777777" w:rsidR="0015008E" w:rsidRPr="0015008E" w:rsidRDefault="0015008E" w:rsidP="0015008E">
      <w:pPr>
        <w:spacing w:line="360" w:lineRule="auto"/>
        <w:rPr>
          <w:rFonts w:ascii="Times New Roman" w:hAnsi="Times New Roman" w:cs="Times New Roman"/>
          <w:color w:val="FF0000"/>
          <w:sz w:val="24"/>
          <w:szCs w:val="24"/>
        </w:rPr>
      </w:pPr>
    </w:p>
    <w:p w14:paraId="0E529405" w14:textId="77777777" w:rsidR="0015008E" w:rsidRPr="0015008E" w:rsidRDefault="0015008E" w:rsidP="0015008E">
      <w:pPr>
        <w:spacing w:line="360" w:lineRule="auto"/>
        <w:rPr>
          <w:rFonts w:ascii="Times New Roman" w:hAnsi="Times New Roman" w:cs="Times New Roman"/>
          <w:color w:val="FF0000"/>
          <w:sz w:val="24"/>
          <w:szCs w:val="24"/>
        </w:rPr>
      </w:pPr>
    </w:p>
    <w:p w14:paraId="139C7917" w14:textId="77777777" w:rsidR="0015008E" w:rsidRPr="0015008E" w:rsidRDefault="0015008E" w:rsidP="0015008E">
      <w:pPr>
        <w:spacing w:line="360" w:lineRule="auto"/>
        <w:rPr>
          <w:rFonts w:ascii="Times New Roman" w:hAnsi="Times New Roman" w:cs="Times New Roman"/>
          <w:color w:val="FF0000"/>
          <w:sz w:val="24"/>
          <w:szCs w:val="24"/>
        </w:rPr>
      </w:pPr>
    </w:p>
    <w:p w14:paraId="0B8C62F4" w14:textId="77777777" w:rsidR="0015008E" w:rsidRPr="0015008E" w:rsidRDefault="0015008E" w:rsidP="0015008E">
      <w:pPr>
        <w:spacing w:line="360" w:lineRule="auto"/>
        <w:rPr>
          <w:rFonts w:ascii="Times New Roman" w:hAnsi="Times New Roman" w:cs="Times New Roman"/>
          <w:color w:val="FF0000"/>
          <w:sz w:val="24"/>
          <w:szCs w:val="24"/>
        </w:rPr>
      </w:pPr>
    </w:p>
    <w:p w14:paraId="21B2DEC7" w14:textId="77777777" w:rsidR="0015008E" w:rsidRPr="0015008E" w:rsidRDefault="0015008E" w:rsidP="0015008E">
      <w:pPr>
        <w:spacing w:line="360" w:lineRule="auto"/>
        <w:rPr>
          <w:rFonts w:ascii="Times New Roman" w:hAnsi="Times New Roman" w:cs="Times New Roman"/>
          <w:color w:val="FF0000"/>
          <w:sz w:val="24"/>
          <w:szCs w:val="24"/>
        </w:rPr>
      </w:pPr>
    </w:p>
    <w:p w14:paraId="444997F8" w14:textId="77777777" w:rsidR="00E61A27" w:rsidRDefault="00E61A27" w:rsidP="0015008E">
      <w:pPr>
        <w:spacing w:line="360" w:lineRule="auto"/>
        <w:rPr>
          <w:rFonts w:ascii="Times New Roman" w:hAnsi="Times New Roman" w:cs="Times New Roman"/>
          <w:sz w:val="24"/>
          <w:szCs w:val="24"/>
        </w:rPr>
      </w:pPr>
    </w:p>
    <w:p w14:paraId="015E678A" w14:textId="77777777" w:rsidR="00E61A27" w:rsidRDefault="00E61A27" w:rsidP="0015008E">
      <w:pPr>
        <w:spacing w:line="360" w:lineRule="auto"/>
        <w:rPr>
          <w:rFonts w:ascii="Times New Roman" w:hAnsi="Times New Roman" w:cs="Times New Roman"/>
          <w:sz w:val="24"/>
          <w:szCs w:val="24"/>
        </w:rPr>
      </w:pPr>
    </w:p>
    <w:p w14:paraId="41C1CD2D" w14:textId="5657CCF3" w:rsidR="004576E4" w:rsidRPr="0015008E" w:rsidRDefault="004576E4" w:rsidP="0015008E">
      <w:pPr>
        <w:spacing w:line="360" w:lineRule="auto"/>
        <w:rPr>
          <w:rFonts w:ascii="Times New Roman" w:hAnsi="Times New Roman" w:cs="Times New Roman"/>
          <w:sz w:val="24"/>
          <w:szCs w:val="24"/>
        </w:rPr>
      </w:pPr>
      <w:r w:rsidRPr="0015008E">
        <w:rPr>
          <w:rFonts w:ascii="Times New Roman" w:hAnsi="Times New Roman" w:cs="Times New Roman"/>
          <w:sz w:val="24"/>
          <w:szCs w:val="24"/>
        </w:rPr>
        <w:lastRenderedPageBreak/>
        <w:t xml:space="preserve">References </w:t>
      </w:r>
    </w:p>
    <w:p w14:paraId="13B75DE4" w14:textId="7D449C4C" w:rsidR="0015008E" w:rsidRPr="0015008E" w:rsidRDefault="0015008E" w:rsidP="44C3BCB0">
      <w:pPr>
        <w:rPr>
          <w:rFonts w:ascii="Times New Roman" w:hAnsi="Times New Roman" w:cs="Times New Roman"/>
          <w:sz w:val="24"/>
          <w:szCs w:val="24"/>
        </w:rPr>
      </w:pPr>
      <w:r w:rsidRPr="0015008E">
        <w:rPr>
          <w:rFonts w:ascii="Times New Roman" w:hAnsi="Times New Roman" w:cs="Times New Roman"/>
          <w:sz w:val="24"/>
          <w:szCs w:val="24"/>
          <w:shd w:val="clear" w:color="auto" w:fill="FFFFFF"/>
        </w:rPr>
        <w:t>Bandura, A. (1982) Self-efficacy mechanism in human agency. </w:t>
      </w:r>
      <w:r w:rsidRPr="44C3BCB0">
        <w:rPr>
          <w:rFonts w:ascii="Times New Roman" w:hAnsi="Times New Roman" w:cs="Times New Roman"/>
          <w:i/>
          <w:iCs/>
          <w:sz w:val="24"/>
          <w:szCs w:val="24"/>
          <w:shd w:val="clear" w:color="auto" w:fill="FFFFFF"/>
        </w:rPr>
        <w:t>American psychologist</w:t>
      </w:r>
      <w:r w:rsidRPr="0015008E">
        <w:rPr>
          <w:rFonts w:ascii="Times New Roman" w:hAnsi="Times New Roman" w:cs="Times New Roman"/>
          <w:sz w:val="24"/>
          <w:szCs w:val="24"/>
          <w:shd w:val="clear" w:color="auto" w:fill="FFFFFF"/>
        </w:rPr>
        <w:t>, </w:t>
      </w:r>
      <w:r w:rsidRPr="44C3BCB0">
        <w:rPr>
          <w:rFonts w:ascii="Times New Roman" w:hAnsi="Times New Roman" w:cs="Times New Roman"/>
          <w:i/>
          <w:iCs/>
          <w:sz w:val="24"/>
          <w:szCs w:val="24"/>
          <w:shd w:val="clear" w:color="auto" w:fill="FFFFFF"/>
        </w:rPr>
        <w:t>37</w:t>
      </w:r>
      <w:r w:rsidRPr="0015008E">
        <w:rPr>
          <w:rFonts w:ascii="Times New Roman" w:hAnsi="Times New Roman" w:cs="Times New Roman"/>
          <w:sz w:val="24"/>
          <w:szCs w:val="24"/>
          <w:shd w:val="clear" w:color="auto" w:fill="FFFFFF"/>
        </w:rPr>
        <w:t>(2), p. 122.</w:t>
      </w:r>
    </w:p>
    <w:p w14:paraId="7C99AC65" w14:textId="422A66ED" w:rsidR="0015008E" w:rsidRPr="0015008E" w:rsidRDefault="0015008E" w:rsidP="44C3BCB0">
      <w:pPr>
        <w:rPr>
          <w:rFonts w:ascii="Times New Roman" w:hAnsi="Times New Roman" w:cs="Times New Roman"/>
          <w:sz w:val="24"/>
          <w:szCs w:val="24"/>
        </w:rPr>
      </w:pPr>
      <w:r w:rsidRPr="0015008E">
        <w:rPr>
          <w:rFonts w:ascii="Times New Roman" w:hAnsi="Times New Roman" w:cs="Times New Roman"/>
          <w:sz w:val="24"/>
          <w:szCs w:val="24"/>
          <w:shd w:val="clear" w:color="auto" w:fill="FFFFFF"/>
        </w:rPr>
        <w:t>Bandura, A. (1992) Exercise of personal agency through the self-efficacy mechanism. </w:t>
      </w:r>
      <w:r w:rsidRPr="44C3BCB0">
        <w:rPr>
          <w:rFonts w:ascii="Times New Roman" w:hAnsi="Times New Roman" w:cs="Times New Roman"/>
          <w:i/>
          <w:iCs/>
          <w:sz w:val="24"/>
          <w:szCs w:val="24"/>
          <w:shd w:val="clear" w:color="auto" w:fill="FFFFFF"/>
        </w:rPr>
        <w:t>Self-efficacy: Thought control of action</w:t>
      </w:r>
      <w:r w:rsidRPr="0015008E">
        <w:rPr>
          <w:rFonts w:ascii="Times New Roman" w:hAnsi="Times New Roman" w:cs="Times New Roman"/>
          <w:sz w:val="24"/>
          <w:szCs w:val="24"/>
          <w:shd w:val="clear" w:color="auto" w:fill="FFFFFF"/>
        </w:rPr>
        <w:t>, </w:t>
      </w:r>
      <w:r w:rsidRPr="44C3BCB0">
        <w:rPr>
          <w:rFonts w:ascii="Times New Roman" w:hAnsi="Times New Roman" w:cs="Times New Roman"/>
          <w:i/>
          <w:iCs/>
          <w:sz w:val="24"/>
          <w:szCs w:val="24"/>
          <w:shd w:val="clear" w:color="auto" w:fill="FFFFFF"/>
        </w:rPr>
        <w:t>1</w:t>
      </w:r>
      <w:r w:rsidRPr="0015008E">
        <w:rPr>
          <w:rFonts w:ascii="Times New Roman" w:hAnsi="Times New Roman" w:cs="Times New Roman"/>
          <w:sz w:val="24"/>
          <w:szCs w:val="24"/>
          <w:shd w:val="clear" w:color="auto" w:fill="FFFFFF"/>
        </w:rPr>
        <w:t>, pp. 3-37.</w:t>
      </w:r>
    </w:p>
    <w:p w14:paraId="764F992A" w14:textId="1AEBA5CC" w:rsidR="000E0B08" w:rsidRDefault="44C3BCB0" w:rsidP="44C3BCB0">
      <w:pPr>
        <w:rPr>
          <w:rFonts w:ascii="Times New Roman" w:hAnsi="Times New Roman" w:cs="Times New Roman"/>
          <w:sz w:val="24"/>
          <w:szCs w:val="24"/>
        </w:rPr>
      </w:pPr>
      <w:proofErr w:type="spellStart"/>
      <w:r w:rsidRPr="44C3BCB0">
        <w:rPr>
          <w:rFonts w:ascii="Times New Roman" w:hAnsi="Times New Roman" w:cs="Times New Roman"/>
          <w:sz w:val="24"/>
          <w:szCs w:val="24"/>
        </w:rPr>
        <w:t>Braye</w:t>
      </w:r>
      <w:proofErr w:type="spellEnd"/>
      <w:r w:rsidRPr="44C3BCB0">
        <w:rPr>
          <w:rFonts w:ascii="Times New Roman" w:hAnsi="Times New Roman" w:cs="Times New Roman"/>
          <w:sz w:val="24"/>
          <w:szCs w:val="24"/>
        </w:rPr>
        <w:t>, S. (1995) </w:t>
      </w:r>
      <w:r w:rsidRPr="44C3BCB0">
        <w:rPr>
          <w:rFonts w:ascii="Times New Roman" w:hAnsi="Times New Roman" w:cs="Times New Roman"/>
          <w:i/>
          <w:iCs/>
          <w:sz w:val="24"/>
          <w:szCs w:val="24"/>
        </w:rPr>
        <w:t>Empowering practice in social care</w:t>
      </w:r>
      <w:r w:rsidRPr="44C3BCB0">
        <w:rPr>
          <w:rFonts w:ascii="Times New Roman" w:hAnsi="Times New Roman" w:cs="Times New Roman"/>
          <w:sz w:val="24"/>
          <w:szCs w:val="24"/>
        </w:rPr>
        <w:t>. McGraw-Hill Education (UK).</w:t>
      </w:r>
    </w:p>
    <w:p w14:paraId="01F5FAB9" w14:textId="48048AC2" w:rsidR="44C3BCB0" w:rsidRDefault="44C3BCB0" w:rsidP="44C3BCB0">
      <w:pPr>
        <w:rPr>
          <w:rFonts w:ascii="Times New Roman" w:hAnsi="Times New Roman" w:cs="Times New Roman"/>
          <w:sz w:val="24"/>
          <w:szCs w:val="24"/>
        </w:rPr>
      </w:pPr>
      <w:proofErr w:type="spellStart"/>
      <w:r w:rsidRPr="44C3BCB0">
        <w:rPr>
          <w:rFonts w:ascii="Times New Roman" w:hAnsi="Times New Roman" w:cs="Times New Roman"/>
          <w:sz w:val="24"/>
          <w:szCs w:val="24"/>
        </w:rPr>
        <w:t>Cattaneo</w:t>
      </w:r>
      <w:proofErr w:type="spellEnd"/>
      <w:r w:rsidRPr="44C3BCB0">
        <w:rPr>
          <w:rFonts w:ascii="Times New Roman" w:hAnsi="Times New Roman" w:cs="Times New Roman"/>
          <w:sz w:val="24"/>
          <w:szCs w:val="24"/>
        </w:rPr>
        <w:t xml:space="preserve">, L., B. and Chapman, A., R. (2010) </w:t>
      </w:r>
      <w:r w:rsidRPr="44C3BCB0">
        <w:rPr>
          <w:rFonts w:ascii="Times New Roman" w:hAnsi="Times New Roman" w:cs="Times New Roman"/>
          <w:i/>
          <w:iCs/>
          <w:sz w:val="24"/>
          <w:szCs w:val="24"/>
        </w:rPr>
        <w:t xml:space="preserve">The Process of Empowerment. </w:t>
      </w:r>
      <w:r w:rsidRPr="44C3BCB0">
        <w:rPr>
          <w:rFonts w:ascii="Times New Roman" w:hAnsi="Times New Roman" w:cs="Times New Roman"/>
          <w:sz w:val="24"/>
          <w:szCs w:val="24"/>
        </w:rPr>
        <w:t>American Psychologist. 65(7), pp. 646-659.</w:t>
      </w:r>
    </w:p>
    <w:p w14:paraId="2E77A437" w14:textId="59FA6709" w:rsidR="0015008E" w:rsidRPr="0015008E" w:rsidRDefault="0015008E">
      <w:pPr>
        <w:rPr>
          <w:rFonts w:ascii="Times New Roman" w:hAnsi="Times New Roman" w:cs="Times New Roman"/>
          <w:sz w:val="24"/>
          <w:szCs w:val="24"/>
        </w:rPr>
      </w:pPr>
      <w:r w:rsidRPr="0015008E">
        <w:rPr>
          <w:rFonts w:ascii="Times New Roman" w:hAnsi="Times New Roman" w:cs="Times New Roman"/>
          <w:sz w:val="24"/>
          <w:szCs w:val="24"/>
        </w:rPr>
        <w:t xml:space="preserve">Cohen, D., Vega, R. de la &amp; Watson, G. (2001) Advocacy for Social Justice. Bloomfield, CT: </w:t>
      </w:r>
      <w:proofErr w:type="spellStart"/>
      <w:r w:rsidRPr="0015008E">
        <w:rPr>
          <w:rFonts w:ascii="Times New Roman" w:hAnsi="Times New Roman" w:cs="Times New Roman"/>
          <w:sz w:val="24"/>
          <w:szCs w:val="24"/>
        </w:rPr>
        <w:t>Kumarian</w:t>
      </w:r>
      <w:proofErr w:type="spellEnd"/>
      <w:r w:rsidRPr="0015008E">
        <w:rPr>
          <w:rFonts w:ascii="Times New Roman" w:hAnsi="Times New Roman" w:cs="Times New Roman"/>
          <w:sz w:val="24"/>
          <w:szCs w:val="24"/>
        </w:rPr>
        <w:t xml:space="preserve"> Press.</w:t>
      </w:r>
    </w:p>
    <w:p w14:paraId="3EE39FD5" w14:textId="411A247A" w:rsidR="0015008E" w:rsidRPr="0015008E" w:rsidRDefault="44C3BCB0" w:rsidP="44C3BCB0">
      <w:pPr>
        <w:rPr>
          <w:rFonts w:ascii="Times New Roman" w:hAnsi="Times New Roman" w:cs="Times New Roman"/>
          <w:sz w:val="24"/>
          <w:szCs w:val="24"/>
        </w:rPr>
      </w:pPr>
      <w:r w:rsidRPr="44C3BCB0">
        <w:rPr>
          <w:rFonts w:ascii="Times New Roman" w:hAnsi="Times New Roman" w:cs="Times New Roman"/>
          <w:sz w:val="24"/>
          <w:szCs w:val="24"/>
        </w:rPr>
        <w:t>Cox, B. C. (2007). Dementia and social work practice; research and interventions. Springer publishing, incorporated. 1, pp. 315.</w:t>
      </w:r>
    </w:p>
    <w:p w14:paraId="3D777DA7" w14:textId="3BA9F17C" w:rsidR="0015008E" w:rsidRPr="0015008E" w:rsidRDefault="0015008E" w:rsidP="44C3BCB0">
      <w:pPr>
        <w:rPr>
          <w:rFonts w:ascii="Times New Roman" w:hAnsi="Times New Roman" w:cs="Times New Roman"/>
          <w:sz w:val="24"/>
          <w:szCs w:val="24"/>
        </w:rPr>
      </w:pPr>
      <w:r w:rsidRPr="0015008E">
        <w:rPr>
          <w:rFonts w:ascii="Times New Roman" w:hAnsi="Times New Roman" w:cs="Times New Roman"/>
          <w:sz w:val="24"/>
          <w:szCs w:val="24"/>
          <w:shd w:val="clear" w:color="auto" w:fill="FFFFFF"/>
        </w:rPr>
        <w:t>Elder Jr, G. H. (1994) Time, human agency, and social change: Perspectives on the life course. </w:t>
      </w:r>
      <w:r w:rsidRPr="44C3BCB0">
        <w:rPr>
          <w:rFonts w:ascii="Times New Roman" w:hAnsi="Times New Roman" w:cs="Times New Roman"/>
          <w:i/>
          <w:iCs/>
          <w:sz w:val="24"/>
          <w:szCs w:val="24"/>
          <w:shd w:val="clear" w:color="auto" w:fill="FFFFFF"/>
        </w:rPr>
        <w:t>Social psychology quarterly</w:t>
      </w:r>
      <w:r w:rsidRPr="0015008E">
        <w:rPr>
          <w:rFonts w:ascii="Times New Roman" w:hAnsi="Times New Roman" w:cs="Times New Roman"/>
          <w:sz w:val="24"/>
          <w:szCs w:val="24"/>
          <w:shd w:val="clear" w:color="auto" w:fill="FFFFFF"/>
        </w:rPr>
        <w:t>, pp. 4-15.</w:t>
      </w:r>
    </w:p>
    <w:p w14:paraId="2C1C5041" w14:textId="6E0B375E" w:rsidR="0015008E" w:rsidRPr="0015008E" w:rsidRDefault="44C3BCB0" w:rsidP="44C3BCB0">
      <w:pPr>
        <w:rPr>
          <w:rFonts w:ascii="Times New Roman" w:hAnsi="Times New Roman" w:cs="Times New Roman"/>
          <w:sz w:val="24"/>
          <w:szCs w:val="24"/>
        </w:rPr>
      </w:pPr>
      <w:r w:rsidRPr="44C3BCB0">
        <w:rPr>
          <w:rFonts w:ascii="Times New Roman" w:hAnsi="Times New Roman" w:cs="Times New Roman"/>
          <w:i/>
          <w:iCs/>
          <w:sz w:val="24"/>
          <w:szCs w:val="24"/>
        </w:rPr>
        <w:t xml:space="preserve">Human Rights Act </w:t>
      </w:r>
      <w:proofErr w:type="gramStart"/>
      <w:r w:rsidRPr="44C3BCB0">
        <w:rPr>
          <w:rFonts w:ascii="Times New Roman" w:hAnsi="Times New Roman" w:cs="Times New Roman"/>
          <w:i/>
          <w:iCs/>
          <w:sz w:val="24"/>
          <w:szCs w:val="24"/>
        </w:rPr>
        <w:t>1998 </w:t>
      </w:r>
      <w:r w:rsidRPr="44C3BCB0">
        <w:rPr>
          <w:rFonts w:ascii="Times New Roman" w:hAnsi="Times New Roman" w:cs="Times New Roman"/>
          <w:sz w:val="24"/>
          <w:szCs w:val="24"/>
        </w:rPr>
        <w:t> [</w:t>
      </w:r>
      <w:proofErr w:type="gramEnd"/>
      <w:r w:rsidRPr="44C3BCB0">
        <w:rPr>
          <w:rFonts w:ascii="Times New Roman" w:hAnsi="Times New Roman" w:cs="Times New Roman"/>
          <w:sz w:val="24"/>
          <w:szCs w:val="24"/>
        </w:rPr>
        <w:t xml:space="preserve">United Kingdom of Great Britain and Northern Ireland],  9 November 1998. Available at: </w:t>
      </w:r>
      <w:hyperlink r:id="rId6">
        <w:r w:rsidRPr="44C3BCB0">
          <w:rPr>
            <w:rStyle w:val="Hyperlink"/>
            <w:rFonts w:ascii="Times New Roman" w:hAnsi="Times New Roman" w:cs="Times New Roman"/>
            <w:sz w:val="24"/>
            <w:szCs w:val="24"/>
          </w:rPr>
          <w:t>https://www.refworld.org/docid/3ae6b5a7a.html</w:t>
        </w:r>
      </w:hyperlink>
      <w:r w:rsidRPr="44C3BCB0">
        <w:rPr>
          <w:rFonts w:ascii="Times New Roman" w:hAnsi="Times New Roman" w:cs="Times New Roman"/>
          <w:sz w:val="24"/>
          <w:szCs w:val="24"/>
        </w:rPr>
        <w:t xml:space="preserve">  (Accessed: 29 April 2019).</w:t>
      </w:r>
    </w:p>
    <w:p w14:paraId="553F8642" w14:textId="4AB3203B" w:rsidR="0015008E" w:rsidRPr="0015008E" w:rsidRDefault="0015008E" w:rsidP="44C3BCB0">
      <w:pPr>
        <w:rPr>
          <w:rFonts w:ascii="Times New Roman" w:hAnsi="Times New Roman" w:cs="Times New Roman"/>
          <w:sz w:val="24"/>
          <w:szCs w:val="24"/>
        </w:rPr>
      </w:pPr>
      <w:r w:rsidRPr="0015008E">
        <w:rPr>
          <w:rFonts w:ascii="Times New Roman" w:hAnsi="Times New Roman" w:cs="Times New Roman"/>
          <w:sz w:val="24"/>
          <w:szCs w:val="24"/>
          <w:shd w:val="clear" w:color="auto" w:fill="FFFFFF"/>
        </w:rPr>
        <w:t xml:space="preserve">Ibrahim, S., &amp; </w:t>
      </w:r>
      <w:proofErr w:type="spellStart"/>
      <w:r w:rsidRPr="0015008E">
        <w:rPr>
          <w:rFonts w:ascii="Times New Roman" w:hAnsi="Times New Roman" w:cs="Times New Roman"/>
          <w:sz w:val="24"/>
          <w:szCs w:val="24"/>
          <w:shd w:val="clear" w:color="auto" w:fill="FFFFFF"/>
        </w:rPr>
        <w:t>Alkire</w:t>
      </w:r>
      <w:proofErr w:type="spellEnd"/>
      <w:r w:rsidRPr="0015008E">
        <w:rPr>
          <w:rFonts w:ascii="Times New Roman" w:hAnsi="Times New Roman" w:cs="Times New Roman"/>
          <w:sz w:val="24"/>
          <w:szCs w:val="24"/>
          <w:shd w:val="clear" w:color="auto" w:fill="FFFFFF"/>
        </w:rPr>
        <w:t>, S. (2007) Agency and empowerment: A proposal for internationally comparable indicators. </w:t>
      </w:r>
      <w:r w:rsidRPr="44C3BCB0">
        <w:rPr>
          <w:rFonts w:ascii="Times New Roman" w:hAnsi="Times New Roman" w:cs="Times New Roman"/>
          <w:i/>
          <w:iCs/>
          <w:sz w:val="24"/>
          <w:szCs w:val="24"/>
          <w:shd w:val="clear" w:color="auto" w:fill="FFFFFF"/>
        </w:rPr>
        <w:t>Oxford development studies</w:t>
      </w:r>
      <w:r w:rsidRPr="0015008E">
        <w:rPr>
          <w:rFonts w:ascii="Times New Roman" w:hAnsi="Times New Roman" w:cs="Times New Roman"/>
          <w:sz w:val="24"/>
          <w:szCs w:val="24"/>
          <w:shd w:val="clear" w:color="auto" w:fill="FFFFFF"/>
        </w:rPr>
        <w:t>, </w:t>
      </w:r>
      <w:r w:rsidRPr="44C3BCB0">
        <w:rPr>
          <w:rFonts w:ascii="Times New Roman" w:hAnsi="Times New Roman" w:cs="Times New Roman"/>
          <w:i/>
          <w:iCs/>
          <w:sz w:val="24"/>
          <w:szCs w:val="24"/>
          <w:shd w:val="clear" w:color="auto" w:fill="FFFFFF"/>
        </w:rPr>
        <w:t>35</w:t>
      </w:r>
      <w:r w:rsidRPr="0015008E">
        <w:rPr>
          <w:rFonts w:ascii="Times New Roman" w:hAnsi="Times New Roman" w:cs="Times New Roman"/>
          <w:sz w:val="24"/>
          <w:szCs w:val="24"/>
          <w:shd w:val="clear" w:color="auto" w:fill="FFFFFF"/>
        </w:rPr>
        <w:t>(4), pp. 379-403.</w:t>
      </w:r>
    </w:p>
    <w:p w14:paraId="010E781C" w14:textId="21106107" w:rsidR="0015008E" w:rsidRPr="0015008E" w:rsidRDefault="0015008E" w:rsidP="44C3BCB0">
      <w:pPr>
        <w:rPr>
          <w:rFonts w:ascii="Times New Roman" w:hAnsi="Times New Roman" w:cs="Times New Roman"/>
          <w:sz w:val="24"/>
          <w:szCs w:val="24"/>
        </w:rPr>
      </w:pPr>
      <w:proofErr w:type="spellStart"/>
      <w:r w:rsidRPr="0015008E">
        <w:rPr>
          <w:rFonts w:ascii="Times New Roman" w:hAnsi="Times New Roman" w:cs="Times New Roman"/>
          <w:sz w:val="24"/>
          <w:szCs w:val="24"/>
          <w:shd w:val="clear" w:color="auto" w:fill="FFFFFF"/>
        </w:rPr>
        <w:t>Lausch</w:t>
      </w:r>
      <w:proofErr w:type="spellEnd"/>
      <w:r w:rsidRPr="0015008E">
        <w:rPr>
          <w:rFonts w:ascii="Times New Roman" w:hAnsi="Times New Roman" w:cs="Times New Roman"/>
          <w:sz w:val="24"/>
          <w:szCs w:val="24"/>
          <w:shd w:val="clear" w:color="auto" w:fill="FFFFFF"/>
        </w:rPr>
        <w:t>, H. (2011) </w:t>
      </w:r>
      <w:r w:rsidRPr="44C3BCB0">
        <w:rPr>
          <w:rFonts w:ascii="Times New Roman" w:hAnsi="Times New Roman" w:cs="Times New Roman"/>
          <w:i/>
          <w:iCs/>
          <w:sz w:val="24"/>
          <w:szCs w:val="24"/>
          <w:shd w:val="clear" w:color="auto" w:fill="FFFFFF"/>
        </w:rPr>
        <w:t>Literature Review: Theories of Empowerment</w:t>
      </w:r>
      <w:r w:rsidRPr="0015008E">
        <w:rPr>
          <w:rFonts w:ascii="Times New Roman" w:hAnsi="Times New Roman" w:cs="Times New Roman"/>
          <w:sz w:val="24"/>
          <w:szCs w:val="24"/>
          <w:shd w:val="clear" w:color="auto" w:fill="FFFFFF"/>
        </w:rPr>
        <w:t>. [online] Village Earth. Available at: http://www.villageearth.org/training/literature-review-theories-of-empowerment/ (Accessed: 10 April 2019).</w:t>
      </w:r>
    </w:p>
    <w:p w14:paraId="23226D64" w14:textId="27A6C62C" w:rsidR="0015008E" w:rsidRPr="0015008E" w:rsidRDefault="44C3BCB0" w:rsidP="44C3BCB0">
      <w:pPr>
        <w:rPr>
          <w:rFonts w:ascii="Times New Roman" w:hAnsi="Times New Roman" w:cs="Times New Roman"/>
          <w:sz w:val="24"/>
          <w:szCs w:val="24"/>
        </w:rPr>
      </w:pPr>
      <w:r w:rsidRPr="44C3BCB0">
        <w:rPr>
          <w:rFonts w:ascii="Times New Roman" w:hAnsi="Times New Roman" w:cs="Times New Roman"/>
          <w:sz w:val="24"/>
          <w:szCs w:val="24"/>
        </w:rPr>
        <w:t>Lord, J., &amp; Hutchison, P. (2009) The process of empowerment: Implications for theory and practice. </w:t>
      </w:r>
      <w:r w:rsidRPr="44C3BCB0">
        <w:rPr>
          <w:rFonts w:ascii="Times New Roman" w:hAnsi="Times New Roman" w:cs="Times New Roman"/>
          <w:i/>
          <w:iCs/>
          <w:sz w:val="24"/>
          <w:szCs w:val="24"/>
        </w:rPr>
        <w:t>Canadian Journal of Community Mental Health</w:t>
      </w:r>
      <w:r w:rsidRPr="44C3BCB0">
        <w:rPr>
          <w:rFonts w:ascii="Times New Roman" w:hAnsi="Times New Roman" w:cs="Times New Roman"/>
          <w:sz w:val="24"/>
          <w:szCs w:val="24"/>
        </w:rPr>
        <w:t>, </w:t>
      </w:r>
      <w:r w:rsidRPr="44C3BCB0">
        <w:rPr>
          <w:rFonts w:ascii="Times New Roman" w:hAnsi="Times New Roman" w:cs="Times New Roman"/>
          <w:i/>
          <w:iCs/>
          <w:sz w:val="24"/>
          <w:szCs w:val="24"/>
        </w:rPr>
        <w:t>12</w:t>
      </w:r>
      <w:r w:rsidRPr="44C3BCB0">
        <w:rPr>
          <w:rFonts w:ascii="Times New Roman" w:hAnsi="Times New Roman" w:cs="Times New Roman"/>
          <w:sz w:val="24"/>
          <w:szCs w:val="24"/>
        </w:rPr>
        <w:t>(1), 5-22.</w:t>
      </w:r>
    </w:p>
    <w:p w14:paraId="7ACB570A" w14:textId="58A0614E" w:rsidR="0015008E" w:rsidRPr="0015008E" w:rsidRDefault="44C3BCB0" w:rsidP="44C3BCB0">
      <w:pPr>
        <w:rPr>
          <w:rFonts w:ascii="Times New Roman" w:hAnsi="Times New Roman" w:cs="Times New Roman"/>
          <w:sz w:val="24"/>
          <w:szCs w:val="24"/>
        </w:rPr>
      </w:pPr>
      <w:r w:rsidRPr="44C3BCB0">
        <w:rPr>
          <w:rFonts w:ascii="Times New Roman" w:hAnsi="Times New Roman" w:cs="Times New Roman"/>
          <w:sz w:val="24"/>
          <w:szCs w:val="24"/>
        </w:rPr>
        <w:t>McClelland, D. C. (1975) Power: The inner experience. New York: Irvington Press.</w:t>
      </w:r>
    </w:p>
    <w:p w14:paraId="65D70B6F" w14:textId="64D4B40D" w:rsidR="0015008E" w:rsidRPr="0015008E" w:rsidRDefault="44C3BCB0" w:rsidP="44C3BCB0">
      <w:pPr>
        <w:rPr>
          <w:rFonts w:ascii="Times New Roman" w:hAnsi="Times New Roman" w:cs="Times New Roman"/>
          <w:sz w:val="24"/>
          <w:szCs w:val="24"/>
        </w:rPr>
      </w:pPr>
      <w:r w:rsidRPr="44C3BCB0">
        <w:rPr>
          <w:rFonts w:ascii="Times New Roman" w:hAnsi="Times New Roman" w:cs="Times New Roman"/>
          <w:sz w:val="24"/>
          <w:szCs w:val="24"/>
        </w:rPr>
        <w:t>Mind UK (2013) </w:t>
      </w:r>
      <w:r w:rsidRPr="44C3BCB0">
        <w:rPr>
          <w:rFonts w:ascii="Times New Roman" w:hAnsi="Times New Roman" w:cs="Times New Roman"/>
          <w:i/>
          <w:iCs/>
          <w:sz w:val="24"/>
          <w:szCs w:val="24"/>
        </w:rPr>
        <w:t>Social care advocates | Mind, the mental health charity - help for mental health problems</w:t>
      </w:r>
      <w:r w:rsidRPr="44C3BCB0">
        <w:rPr>
          <w:rFonts w:ascii="Times New Roman" w:hAnsi="Times New Roman" w:cs="Times New Roman"/>
          <w:sz w:val="24"/>
          <w:szCs w:val="24"/>
        </w:rPr>
        <w:t>. [online] Mind.org.uk. Available at: https://www.mind.org.uk/information-support/guides-to-support-and-services/advocacy/social-care-advocates/#.XMa7TltKiUk (Accessed: 12 April 2019).</w:t>
      </w:r>
    </w:p>
    <w:p w14:paraId="05DEA008" w14:textId="1CF248CF" w:rsidR="0015008E" w:rsidRPr="0015008E" w:rsidRDefault="0015008E" w:rsidP="44C3BCB0">
      <w:pPr>
        <w:rPr>
          <w:rFonts w:ascii="Times New Roman" w:hAnsi="Times New Roman" w:cs="Times New Roman"/>
          <w:sz w:val="24"/>
          <w:szCs w:val="24"/>
        </w:rPr>
      </w:pPr>
      <w:r w:rsidRPr="0015008E">
        <w:rPr>
          <w:rFonts w:ascii="Times New Roman" w:hAnsi="Times New Roman" w:cs="Times New Roman"/>
          <w:sz w:val="24"/>
          <w:szCs w:val="24"/>
          <w:shd w:val="clear" w:color="auto" w:fill="FFFFFF"/>
        </w:rPr>
        <w:t>Morley, L., &amp; Croft, A. (2011) Agency and advocacy: Disabled students in higher education in Ghana and Tanzania. </w:t>
      </w:r>
      <w:r w:rsidRPr="44C3BCB0">
        <w:rPr>
          <w:rFonts w:ascii="Times New Roman" w:hAnsi="Times New Roman" w:cs="Times New Roman"/>
          <w:i/>
          <w:iCs/>
          <w:sz w:val="24"/>
          <w:szCs w:val="24"/>
          <w:shd w:val="clear" w:color="auto" w:fill="FFFFFF"/>
        </w:rPr>
        <w:t>Research in Comparative and International Education</w:t>
      </w:r>
      <w:r w:rsidRPr="0015008E">
        <w:rPr>
          <w:rFonts w:ascii="Times New Roman" w:hAnsi="Times New Roman" w:cs="Times New Roman"/>
          <w:sz w:val="24"/>
          <w:szCs w:val="24"/>
          <w:shd w:val="clear" w:color="auto" w:fill="FFFFFF"/>
        </w:rPr>
        <w:t>, </w:t>
      </w:r>
      <w:r w:rsidRPr="44C3BCB0">
        <w:rPr>
          <w:rFonts w:ascii="Times New Roman" w:hAnsi="Times New Roman" w:cs="Times New Roman"/>
          <w:i/>
          <w:iCs/>
          <w:sz w:val="24"/>
          <w:szCs w:val="24"/>
          <w:shd w:val="clear" w:color="auto" w:fill="FFFFFF"/>
        </w:rPr>
        <w:t>6</w:t>
      </w:r>
      <w:r w:rsidRPr="0015008E">
        <w:rPr>
          <w:rFonts w:ascii="Times New Roman" w:hAnsi="Times New Roman" w:cs="Times New Roman"/>
          <w:sz w:val="24"/>
          <w:szCs w:val="24"/>
          <w:shd w:val="clear" w:color="auto" w:fill="FFFFFF"/>
        </w:rPr>
        <w:t>(4), pp. 383-399.</w:t>
      </w:r>
    </w:p>
    <w:p w14:paraId="48AE0C4D" w14:textId="59ADC2FF" w:rsidR="0015008E" w:rsidRPr="0015008E" w:rsidRDefault="44C3BCB0" w:rsidP="44C3BCB0">
      <w:pPr>
        <w:spacing w:line="240" w:lineRule="auto"/>
        <w:rPr>
          <w:rFonts w:ascii="Times New Roman" w:hAnsi="Times New Roman" w:cs="Times New Roman"/>
          <w:sz w:val="24"/>
          <w:szCs w:val="24"/>
        </w:rPr>
      </w:pPr>
      <w:r w:rsidRPr="44C3BCB0">
        <w:rPr>
          <w:rFonts w:ascii="Times New Roman" w:hAnsi="Times New Roman" w:cs="Times New Roman"/>
          <w:sz w:val="24"/>
          <w:szCs w:val="24"/>
        </w:rPr>
        <w:t xml:space="preserve">NHS. (2019) Someone to speak up for you (advocate) Available at: </w:t>
      </w:r>
      <w:hyperlink r:id="rId7">
        <w:r w:rsidRPr="44C3BCB0">
          <w:rPr>
            <w:rStyle w:val="Hyperlink"/>
            <w:rFonts w:ascii="Times New Roman" w:hAnsi="Times New Roman" w:cs="Times New Roman"/>
            <w:color w:val="auto"/>
            <w:sz w:val="24"/>
            <w:szCs w:val="24"/>
          </w:rPr>
          <w:t>https://www.nhs.uk/conditions/social-care-and-support-guide/help-from-social-services-and-charities/someone-to-speak-up-for-you-advocate/</w:t>
        </w:r>
      </w:hyperlink>
      <w:r w:rsidRPr="44C3BCB0">
        <w:rPr>
          <w:rFonts w:ascii="Times New Roman" w:hAnsi="Times New Roman" w:cs="Times New Roman"/>
          <w:sz w:val="24"/>
          <w:szCs w:val="24"/>
        </w:rPr>
        <w:t xml:space="preserve"> (Accessed: 25 April 2019).</w:t>
      </w:r>
    </w:p>
    <w:p w14:paraId="5B1D4F72" w14:textId="3ACAE77F" w:rsidR="00CB679C" w:rsidRDefault="00CB679C" w:rsidP="44C3BCB0">
      <w:pPr>
        <w:rPr>
          <w:rFonts w:ascii="Times New Roman" w:eastAsia="Times New Roman" w:hAnsi="Times New Roman" w:cs="Times New Roman"/>
          <w:sz w:val="24"/>
          <w:szCs w:val="24"/>
        </w:rPr>
      </w:pPr>
      <w:proofErr w:type="spellStart"/>
      <w:r w:rsidRPr="44C3BCB0">
        <w:rPr>
          <w:rFonts w:ascii="Times New Roman" w:eastAsia="Times New Roman" w:hAnsi="Times New Roman" w:cs="Times New Roman"/>
          <w:color w:val="000000"/>
          <w:sz w:val="24"/>
          <w:szCs w:val="24"/>
          <w:shd w:val="clear" w:color="auto" w:fill="FFFFFF"/>
        </w:rPr>
        <w:t>OpenLearnCymru</w:t>
      </w:r>
      <w:proofErr w:type="spellEnd"/>
      <w:r w:rsidRPr="44C3BCB0">
        <w:rPr>
          <w:rFonts w:ascii="Times New Roman" w:eastAsia="Times New Roman" w:hAnsi="Times New Roman" w:cs="Times New Roman"/>
          <w:color w:val="000000"/>
          <w:sz w:val="24"/>
          <w:szCs w:val="24"/>
          <w:shd w:val="clear" w:color="auto" w:fill="FFFFFF"/>
        </w:rPr>
        <w:t xml:space="preserve"> (2019) </w:t>
      </w:r>
      <w:r w:rsidRPr="44C3BCB0">
        <w:rPr>
          <w:rFonts w:ascii="Times New Roman" w:eastAsia="Times New Roman" w:hAnsi="Times New Roman" w:cs="Times New Roman"/>
          <w:i/>
          <w:iCs/>
          <w:color w:val="000000"/>
          <w:sz w:val="24"/>
          <w:szCs w:val="24"/>
          <w:shd w:val="clear" w:color="auto" w:fill="FFFFFF"/>
        </w:rPr>
        <w:t>An introduction to social work in Wales: 4.2 Empowering practice</w:t>
      </w:r>
      <w:r w:rsidRPr="44C3BCB0">
        <w:rPr>
          <w:rFonts w:ascii="Times New Roman" w:eastAsia="Times New Roman" w:hAnsi="Times New Roman" w:cs="Times New Roman"/>
          <w:color w:val="000000"/>
          <w:sz w:val="24"/>
          <w:szCs w:val="24"/>
          <w:shd w:val="clear" w:color="auto" w:fill="FFFFFF"/>
        </w:rPr>
        <w:t xml:space="preserve">. [online] Open.edu. Available at: </w:t>
      </w:r>
      <w:hyperlink r:id="rId8">
        <w:r w:rsidR="44C3BCB0" w:rsidRPr="44C3BCB0">
          <w:rPr>
            <w:rStyle w:val="Hyperlink"/>
            <w:rFonts w:ascii="Times New Roman" w:eastAsia="Times New Roman" w:hAnsi="Times New Roman" w:cs="Times New Roman"/>
            <w:color w:val="000000" w:themeColor="text1"/>
            <w:sz w:val="24"/>
            <w:szCs w:val="24"/>
          </w:rPr>
          <w:t>http://www.open.edu/openlearncreate/mod/oucontent/view.php?id=55164&amp;section=6.2</w:t>
        </w:r>
      </w:hyperlink>
      <w:r w:rsidRPr="44C3BCB0">
        <w:rPr>
          <w:rFonts w:ascii="Times New Roman" w:eastAsia="Times New Roman" w:hAnsi="Times New Roman" w:cs="Times New Roman"/>
          <w:color w:val="000000"/>
          <w:sz w:val="24"/>
          <w:szCs w:val="24"/>
          <w:shd w:val="clear" w:color="auto" w:fill="FFFFFF"/>
        </w:rPr>
        <w:t xml:space="preserve"> (Accessed:1 April 2019).</w:t>
      </w:r>
    </w:p>
    <w:p w14:paraId="581AC50E" w14:textId="3BB7C600" w:rsidR="0015008E" w:rsidRPr="0015008E" w:rsidRDefault="44C3BCB0" w:rsidP="44C3BCB0">
      <w:pPr>
        <w:rPr>
          <w:rFonts w:ascii="Times New Roman" w:hAnsi="Times New Roman" w:cs="Times New Roman"/>
          <w:sz w:val="24"/>
          <w:szCs w:val="24"/>
        </w:rPr>
      </w:pPr>
      <w:r w:rsidRPr="44C3BCB0">
        <w:rPr>
          <w:rFonts w:ascii="Times New Roman" w:hAnsi="Times New Roman" w:cs="Times New Roman"/>
          <w:sz w:val="24"/>
          <w:szCs w:val="24"/>
        </w:rPr>
        <w:t xml:space="preserve">Quinn, G., </w:t>
      </w:r>
      <w:proofErr w:type="spellStart"/>
      <w:r w:rsidRPr="44C3BCB0">
        <w:rPr>
          <w:rFonts w:ascii="Times New Roman" w:hAnsi="Times New Roman" w:cs="Times New Roman"/>
          <w:sz w:val="24"/>
          <w:szCs w:val="24"/>
        </w:rPr>
        <w:t>Degener</w:t>
      </w:r>
      <w:proofErr w:type="spellEnd"/>
      <w:r w:rsidRPr="44C3BCB0">
        <w:rPr>
          <w:rFonts w:ascii="Times New Roman" w:hAnsi="Times New Roman" w:cs="Times New Roman"/>
          <w:sz w:val="24"/>
          <w:szCs w:val="24"/>
        </w:rPr>
        <w:t xml:space="preserve">, T., Bruce, A., Burke, C., </w:t>
      </w:r>
      <w:proofErr w:type="spellStart"/>
      <w:r w:rsidRPr="44C3BCB0">
        <w:rPr>
          <w:rFonts w:ascii="Times New Roman" w:hAnsi="Times New Roman" w:cs="Times New Roman"/>
          <w:sz w:val="24"/>
          <w:szCs w:val="24"/>
        </w:rPr>
        <w:t>Castellino</w:t>
      </w:r>
      <w:proofErr w:type="spellEnd"/>
      <w:r w:rsidRPr="44C3BCB0">
        <w:rPr>
          <w:rFonts w:ascii="Times New Roman" w:hAnsi="Times New Roman" w:cs="Times New Roman"/>
          <w:sz w:val="24"/>
          <w:szCs w:val="24"/>
        </w:rPr>
        <w:t xml:space="preserve">, J., Kenna, P., &amp; </w:t>
      </w:r>
      <w:proofErr w:type="spellStart"/>
      <w:r w:rsidRPr="44C3BCB0">
        <w:rPr>
          <w:rFonts w:ascii="Times New Roman" w:hAnsi="Times New Roman" w:cs="Times New Roman"/>
          <w:sz w:val="24"/>
          <w:szCs w:val="24"/>
        </w:rPr>
        <w:t>Quinlivan</w:t>
      </w:r>
      <w:proofErr w:type="spellEnd"/>
      <w:r w:rsidRPr="44C3BCB0">
        <w:rPr>
          <w:rFonts w:ascii="Times New Roman" w:hAnsi="Times New Roman" w:cs="Times New Roman"/>
          <w:sz w:val="24"/>
          <w:szCs w:val="24"/>
        </w:rPr>
        <w:t xml:space="preserve">, S. (2014) </w:t>
      </w:r>
      <w:r w:rsidRPr="44C3BCB0">
        <w:rPr>
          <w:rFonts w:ascii="Times New Roman" w:hAnsi="Times New Roman" w:cs="Times New Roman"/>
          <w:i/>
          <w:iCs/>
          <w:sz w:val="24"/>
          <w:szCs w:val="24"/>
        </w:rPr>
        <w:t>The current use and future potential of United Nations human rights instruments in the context of disability.</w:t>
      </w:r>
    </w:p>
    <w:p w14:paraId="7FF7818C" w14:textId="2B5D1EDF" w:rsidR="0092240A" w:rsidRDefault="0092240A" w:rsidP="44C3BCB0">
      <w:pPr>
        <w:rPr>
          <w:rFonts w:ascii="Times New Roman" w:eastAsia="Times New Roman" w:hAnsi="Times New Roman" w:cs="Times New Roman"/>
          <w:sz w:val="24"/>
          <w:szCs w:val="24"/>
        </w:rPr>
      </w:pPr>
      <w:r w:rsidRPr="0092240A">
        <w:rPr>
          <w:rFonts w:ascii="Times New Roman" w:hAnsi="Times New Roman" w:cs="Times New Roman"/>
          <w:b/>
          <w:bCs/>
          <w:sz w:val="24"/>
          <w:szCs w:val="24"/>
          <w:shd w:val="clear" w:color="auto" w:fill="FFFFFF"/>
        </w:rPr>
        <w:t> </w:t>
      </w:r>
      <w:proofErr w:type="spellStart"/>
      <w:r w:rsidRPr="0092240A">
        <w:rPr>
          <w:rFonts w:ascii="Times New Roman" w:hAnsi="Times New Roman" w:cs="Times New Roman"/>
          <w:sz w:val="24"/>
          <w:szCs w:val="24"/>
          <w:shd w:val="clear" w:color="auto" w:fill="FFFFFF"/>
        </w:rPr>
        <w:t>RtSW</w:t>
      </w:r>
      <w:proofErr w:type="spellEnd"/>
      <w:r w:rsidRPr="0092240A">
        <w:rPr>
          <w:rFonts w:ascii="Times New Roman" w:hAnsi="Times New Roman" w:cs="Times New Roman"/>
          <w:sz w:val="24"/>
          <w:szCs w:val="24"/>
          <w:shd w:val="clear" w:color="auto" w:fill="FFFFFF"/>
        </w:rPr>
        <w:t xml:space="preserve"> (2019) </w:t>
      </w:r>
      <w:r w:rsidRPr="44C3BCB0">
        <w:rPr>
          <w:rFonts w:ascii="Times New Roman" w:hAnsi="Times New Roman" w:cs="Times New Roman"/>
          <w:i/>
          <w:iCs/>
          <w:sz w:val="24"/>
          <w:szCs w:val="24"/>
          <w:shd w:val="clear" w:color="auto" w:fill="FFFFFF"/>
        </w:rPr>
        <w:t>Return to Social Work: Learning Materials: Module 5 Equality and Diversity</w:t>
      </w:r>
      <w:r w:rsidRPr="0092240A">
        <w:rPr>
          <w:rFonts w:ascii="Times New Roman" w:hAnsi="Times New Roman" w:cs="Times New Roman"/>
          <w:sz w:val="24"/>
          <w:szCs w:val="24"/>
          <w:shd w:val="clear" w:color="auto" w:fill="FFFFFF"/>
        </w:rPr>
        <w:t xml:space="preserve">. </w:t>
      </w:r>
      <w:r w:rsidRPr="44C3BCB0">
        <w:rPr>
          <w:rFonts w:ascii="Times New Roman" w:eastAsia="Times New Roman" w:hAnsi="Times New Roman" w:cs="Times New Roman"/>
          <w:sz w:val="24"/>
          <w:szCs w:val="24"/>
          <w:shd w:val="clear" w:color="auto" w:fill="FFFFFF"/>
        </w:rPr>
        <w:t>[</w:t>
      </w:r>
      <w:proofErr w:type="spellStart"/>
      <w:r w:rsidRPr="44C3BCB0">
        <w:rPr>
          <w:rFonts w:ascii="Times New Roman" w:eastAsia="Times New Roman" w:hAnsi="Times New Roman" w:cs="Times New Roman"/>
          <w:sz w:val="24"/>
          <w:szCs w:val="24"/>
          <w:shd w:val="clear" w:color="auto" w:fill="FFFFFF"/>
        </w:rPr>
        <w:t>ebook</w:t>
      </w:r>
      <w:proofErr w:type="spellEnd"/>
      <w:r w:rsidRPr="44C3BCB0">
        <w:rPr>
          <w:rFonts w:ascii="Times New Roman" w:eastAsia="Times New Roman" w:hAnsi="Times New Roman" w:cs="Times New Roman"/>
          <w:sz w:val="24"/>
          <w:szCs w:val="24"/>
          <w:shd w:val="clear" w:color="auto" w:fill="FFFFFF"/>
        </w:rPr>
        <w:t>] Available at: http://file:///C:/Users/Student/Downloads/RtSW_Module_5_Equality__Diversity_FINAL.pdf (Accessed: 1 April 2019).</w:t>
      </w:r>
    </w:p>
    <w:p w14:paraId="1606972F" w14:textId="3EAFF930" w:rsidR="0015008E" w:rsidRDefault="0015008E" w:rsidP="44C3BCB0">
      <w:pPr>
        <w:rPr>
          <w:rFonts w:ascii="Times New Roman" w:eastAsia="Times New Roman" w:hAnsi="Times New Roman" w:cs="Times New Roman"/>
          <w:sz w:val="24"/>
          <w:szCs w:val="24"/>
        </w:rPr>
      </w:pPr>
      <w:proofErr w:type="spellStart"/>
      <w:r w:rsidRPr="44C3BCB0">
        <w:rPr>
          <w:rFonts w:ascii="Times New Roman" w:eastAsia="Times New Roman" w:hAnsi="Times New Roman" w:cs="Times New Roman"/>
          <w:sz w:val="24"/>
          <w:szCs w:val="24"/>
          <w:shd w:val="clear" w:color="auto" w:fill="FFFFFF"/>
        </w:rPr>
        <w:t>Samman</w:t>
      </w:r>
      <w:proofErr w:type="spellEnd"/>
      <w:r w:rsidRPr="44C3BCB0">
        <w:rPr>
          <w:rFonts w:ascii="Times New Roman" w:eastAsia="Times New Roman" w:hAnsi="Times New Roman" w:cs="Times New Roman"/>
          <w:sz w:val="24"/>
          <w:szCs w:val="24"/>
          <w:shd w:val="clear" w:color="auto" w:fill="FFFFFF"/>
        </w:rPr>
        <w:t>, E., &amp; Santos, M. E. (2009) Agency and Empowerment: A review of concepts, indicators and empirical evidence.</w:t>
      </w:r>
    </w:p>
    <w:p w14:paraId="0AD84A63" w14:textId="2515221B" w:rsidR="0092019D" w:rsidRPr="0015008E" w:rsidRDefault="44C3BCB0" w:rsidP="44C3BCB0">
      <w:pPr>
        <w:rPr>
          <w:rFonts w:ascii="Times New Roman" w:eastAsia="Times New Roman" w:hAnsi="Times New Roman" w:cs="Times New Roman"/>
          <w:sz w:val="24"/>
          <w:szCs w:val="24"/>
        </w:rPr>
      </w:pPr>
      <w:r w:rsidRPr="44C3BCB0">
        <w:rPr>
          <w:rFonts w:ascii="Times New Roman" w:eastAsia="Times New Roman" w:hAnsi="Times New Roman" w:cs="Times New Roman"/>
          <w:sz w:val="24"/>
          <w:szCs w:val="24"/>
        </w:rPr>
        <w:t>Thompson, N. (2006) ‘Anti-discriminatory Practice,’ 4th Edition, Palgrave MacMillan.</w:t>
      </w:r>
    </w:p>
    <w:sectPr w:rsidR="0092019D" w:rsidRPr="0015008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8D90B6" w14:textId="77777777" w:rsidR="00BE3EE0" w:rsidRDefault="00BE3EE0" w:rsidP="00F57E7C">
      <w:pPr>
        <w:spacing w:after="0" w:line="240" w:lineRule="auto"/>
      </w:pPr>
      <w:r>
        <w:separator/>
      </w:r>
    </w:p>
  </w:endnote>
  <w:endnote w:type="continuationSeparator" w:id="0">
    <w:p w14:paraId="239C0C4E" w14:textId="77777777" w:rsidR="00BE3EE0" w:rsidRDefault="00BE3EE0" w:rsidP="00F57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2808438"/>
      <w:docPartObj>
        <w:docPartGallery w:val="Page Numbers (Bottom of Page)"/>
        <w:docPartUnique/>
      </w:docPartObj>
    </w:sdtPr>
    <w:sdtEndPr>
      <w:rPr>
        <w:noProof/>
      </w:rPr>
    </w:sdtEndPr>
    <w:sdtContent>
      <w:p w14:paraId="512AAD61" w14:textId="291F188C" w:rsidR="00F57E7C" w:rsidRDefault="00F57E7C">
        <w:pPr>
          <w:pStyle w:val="Footer"/>
          <w:jc w:val="center"/>
        </w:pPr>
        <w:r>
          <w:fldChar w:fldCharType="begin"/>
        </w:r>
        <w:r>
          <w:instrText xml:space="preserve"> PAGE   \* MERGEFORMAT </w:instrText>
        </w:r>
        <w:r>
          <w:fldChar w:fldCharType="separate"/>
        </w:r>
        <w:r w:rsidR="001B11F4">
          <w:rPr>
            <w:noProof/>
          </w:rPr>
          <w:t>4</w:t>
        </w:r>
        <w:r>
          <w:rPr>
            <w:noProof/>
          </w:rPr>
          <w:fldChar w:fldCharType="end"/>
        </w:r>
      </w:p>
    </w:sdtContent>
  </w:sdt>
  <w:p w14:paraId="6D4A38C7" w14:textId="77777777" w:rsidR="00F57E7C" w:rsidRDefault="00F57E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9D4B52" w14:textId="77777777" w:rsidR="00BE3EE0" w:rsidRDefault="00BE3EE0" w:rsidP="00F57E7C">
      <w:pPr>
        <w:spacing w:after="0" w:line="240" w:lineRule="auto"/>
      </w:pPr>
      <w:r>
        <w:separator/>
      </w:r>
    </w:p>
  </w:footnote>
  <w:footnote w:type="continuationSeparator" w:id="0">
    <w:p w14:paraId="48C6F914" w14:textId="77777777" w:rsidR="00BE3EE0" w:rsidRDefault="00BE3EE0" w:rsidP="00F57E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F09F3D" w14:textId="77777777" w:rsidR="00F57E7C" w:rsidRDefault="00F57E7C">
    <w:pPr>
      <w:pStyle w:val="Header"/>
    </w:pPr>
    <w:r>
      <w:t>Claire Thomson</w:t>
    </w:r>
    <w:r>
      <w:ptab w:relativeTo="margin" w:alignment="center" w:leader="none"/>
    </w:r>
    <w:r>
      <w:t>Student No. 1603261</w:t>
    </w:r>
    <w:r>
      <w:ptab w:relativeTo="margin" w:alignment="right" w:leader="none"/>
    </w:r>
    <w:r>
      <w:t>ECAY4001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7E7C"/>
    <w:rsid w:val="00011E52"/>
    <w:rsid w:val="0002144B"/>
    <w:rsid w:val="00036A6C"/>
    <w:rsid w:val="00061416"/>
    <w:rsid w:val="00072E33"/>
    <w:rsid w:val="000E0B08"/>
    <w:rsid w:val="001028CB"/>
    <w:rsid w:val="0012620D"/>
    <w:rsid w:val="001348ED"/>
    <w:rsid w:val="001371B3"/>
    <w:rsid w:val="0015008E"/>
    <w:rsid w:val="001577DF"/>
    <w:rsid w:val="001B11F4"/>
    <w:rsid w:val="001C7E0D"/>
    <w:rsid w:val="00293A8A"/>
    <w:rsid w:val="002C655A"/>
    <w:rsid w:val="002E3131"/>
    <w:rsid w:val="00322787"/>
    <w:rsid w:val="003425EA"/>
    <w:rsid w:val="003853C6"/>
    <w:rsid w:val="00387562"/>
    <w:rsid w:val="003A654D"/>
    <w:rsid w:val="003B0195"/>
    <w:rsid w:val="003B46ED"/>
    <w:rsid w:val="004220D1"/>
    <w:rsid w:val="004424C5"/>
    <w:rsid w:val="004466A6"/>
    <w:rsid w:val="004576E4"/>
    <w:rsid w:val="00465158"/>
    <w:rsid w:val="004F4272"/>
    <w:rsid w:val="00506431"/>
    <w:rsid w:val="0052231D"/>
    <w:rsid w:val="00595B68"/>
    <w:rsid w:val="005966D1"/>
    <w:rsid w:val="005B518E"/>
    <w:rsid w:val="00612139"/>
    <w:rsid w:val="00641A91"/>
    <w:rsid w:val="00663A7A"/>
    <w:rsid w:val="00673539"/>
    <w:rsid w:val="006A5CD3"/>
    <w:rsid w:val="006B63B3"/>
    <w:rsid w:val="00750ACC"/>
    <w:rsid w:val="007D7C6C"/>
    <w:rsid w:val="00815E9F"/>
    <w:rsid w:val="00831DA7"/>
    <w:rsid w:val="0086719C"/>
    <w:rsid w:val="00877BA2"/>
    <w:rsid w:val="008C3D3E"/>
    <w:rsid w:val="008C71E1"/>
    <w:rsid w:val="008E5839"/>
    <w:rsid w:val="008F1629"/>
    <w:rsid w:val="0092019D"/>
    <w:rsid w:val="0092240A"/>
    <w:rsid w:val="00923313"/>
    <w:rsid w:val="009449AC"/>
    <w:rsid w:val="009541BE"/>
    <w:rsid w:val="009620CE"/>
    <w:rsid w:val="009D03C7"/>
    <w:rsid w:val="00A07C2F"/>
    <w:rsid w:val="00A1402C"/>
    <w:rsid w:val="00A3764C"/>
    <w:rsid w:val="00A72D02"/>
    <w:rsid w:val="00A76E99"/>
    <w:rsid w:val="00AB2E9B"/>
    <w:rsid w:val="00AF699E"/>
    <w:rsid w:val="00B04432"/>
    <w:rsid w:val="00B41ED8"/>
    <w:rsid w:val="00B62D90"/>
    <w:rsid w:val="00BC6931"/>
    <w:rsid w:val="00BD24EC"/>
    <w:rsid w:val="00BE3EE0"/>
    <w:rsid w:val="00BF69BF"/>
    <w:rsid w:val="00CB679C"/>
    <w:rsid w:val="00CE796C"/>
    <w:rsid w:val="00D20A2B"/>
    <w:rsid w:val="00D44FE3"/>
    <w:rsid w:val="00D454F4"/>
    <w:rsid w:val="00D63FB4"/>
    <w:rsid w:val="00D659B9"/>
    <w:rsid w:val="00D94CAC"/>
    <w:rsid w:val="00DA631A"/>
    <w:rsid w:val="00DF1AFF"/>
    <w:rsid w:val="00E03344"/>
    <w:rsid w:val="00E259D9"/>
    <w:rsid w:val="00E47827"/>
    <w:rsid w:val="00E51B00"/>
    <w:rsid w:val="00E5334A"/>
    <w:rsid w:val="00E61A27"/>
    <w:rsid w:val="00E65A2D"/>
    <w:rsid w:val="00EB7D81"/>
    <w:rsid w:val="00ED2DD6"/>
    <w:rsid w:val="00ED58E6"/>
    <w:rsid w:val="00EE450A"/>
    <w:rsid w:val="00EF4940"/>
    <w:rsid w:val="00F17F24"/>
    <w:rsid w:val="00F20622"/>
    <w:rsid w:val="00F5243D"/>
    <w:rsid w:val="00F57E7C"/>
    <w:rsid w:val="00FF366F"/>
    <w:rsid w:val="00FF4AD9"/>
    <w:rsid w:val="44C3B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33692"/>
  <w15:chartTrackingRefBased/>
  <w15:docId w15:val="{BEF5E463-29E5-4978-829E-BD27B7DD4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7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E7C"/>
  </w:style>
  <w:style w:type="paragraph" w:styleId="Footer">
    <w:name w:val="footer"/>
    <w:basedOn w:val="Normal"/>
    <w:link w:val="FooterChar"/>
    <w:uiPriority w:val="99"/>
    <w:unhideWhenUsed/>
    <w:rsid w:val="00F57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E7C"/>
  </w:style>
  <w:style w:type="character" w:styleId="Hyperlink">
    <w:name w:val="Hyperlink"/>
    <w:basedOn w:val="DefaultParagraphFont"/>
    <w:uiPriority w:val="99"/>
    <w:unhideWhenUsed/>
    <w:rsid w:val="001028CB"/>
    <w:rPr>
      <w:color w:val="0563C1" w:themeColor="hyperlink"/>
      <w:u w:val="single"/>
    </w:rPr>
  </w:style>
  <w:style w:type="character" w:customStyle="1" w:styleId="UnresolvedMention1">
    <w:name w:val="Unresolved Mention1"/>
    <w:basedOn w:val="DefaultParagraphFont"/>
    <w:uiPriority w:val="99"/>
    <w:semiHidden/>
    <w:unhideWhenUsed/>
    <w:rsid w:val="001028CB"/>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815E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5E9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pen.edu/openlearncreate/mod/oucontent/view.php?id=55164&amp;section=6.2" TargetMode="External"/><Relationship Id="rId3" Type="http://schemas.openxmlformats.org/officeDocument/2006/relationships/webSettings" Target="webSettings.xml"/><Relationship Id="rId7" Type="http://schemas.openxmlformats.org/officeDocument/2006/relationships/hyperlink" Target="https://www.nhs.uk/conditions/social-care-and-support-guide/help-from-social-services-and-charities/someone-to-speak-up-for-you-advocat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fworld.org/docid/3ae6b5a7a.html"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8</Pages>
  <Words>2629</Words>
  <Characters>14988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Colyn Pugh</dc:creator>
  <cp:keywords/>
  <dc:description/>
  <cp:lastModifiedBy>Claire Thomson (1603261)</cp:lastModifiedBy>
  <cp:revision>23</cp:revision>
  <dcterms:created xsi:type="dcterms:W3CDTF">2019-05-01T18:21:00Z</dcterms:created>
  <dcterms:modified xsi:type="dcterms:W3CDTF">2019-05-01T18:56:00Z</dcterms:modified>
</cp:coreProperties>
</file>