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15323" w14:textId="77777777" w:rsidR="00D43DEE" w:rsidRDefault="00D43DEE" w:rsidP="00D43DEE">
      <w:pPr>
        <w:pStyle w:val="NoSpacing"/>
        <w:spacing w:line="480" w:lineRule="auto"/>
        <w:jc w:val="center"/>
        <w:rPr>
          <w:rFonts w:eastAsiaTheme="minorHAnsi"/>
          <w:color w:val="156082" w:themeColor="accent1"/>
          <w:kern w:val="2"/>
          <w:lang w:eastAsia="en-US"/>
        </w:rPr>
      </w:pPr>
    </w:p>
    <w:sdt>
      <w:sdtPr>
        <w:rPr>
          <w:rFonts w:eastAsiaTheme="minorHAnsi"/>
          <w:color w:val="156082" w:themeColor="accent1"/>
          <w:kern w:val="2"/>
          <w:lang w:eastAsia="en-US"/>
        </w:rPr>
        <w:id w:val="170499"/>
        <w:docPartObj>
          <w:docPartGallery w:val="Cover Pages"/>
          <w:docPartUnique/>
        </w:docPartObj>
      </w:sdtPr>
      <w:sdtEndPr>
        <w:rPr>
          <w:rFonts w:ascii="Times New Roman" w:hAnsi="Times New Roman" w:cs="Times New Roman"/>
          <w:color w:val="auto"/>
        </w:rPr>
      </w:sdtEndPr>
      <w:sdtContent>
        <w:p w14:paraId="1B0D7ABA" w14:textId="6BF8ED37" w:rsidR="00D43DEE" w:rsidRDefault="00D43DEE" w:rsidP="00D43DEE">
          <w:pPr>
            <w:pStyle w:val="NoSpacing"/>
            <w:spacing w:line="480" w:lineRule="auto"/>
            <w:jc w:val="center"/>
            <w:rPr>
              <w:color w:val="156082" w:themeColor="accent1"/>
            </w:rPr>
          </w:pPr>
          <w:r>
            <w:rPr>
              <w:noProof/>
            </w:rPr>
            <w:drawing>
              <wp:anchor distT="0" distB="0" distL="114300" distR="114300" simplePos="0" relativeHeight="251675648" behindDoc="1" locked="0" layoutInCell="1" allowOverlap="1" wp14:anchorId="76C12DEB" wp14:editId="6C0B83C2">
                <wp:simplePos x="0" y="0"/>
                <wp:positionH relativeFrom="margin">
                  <wp:posOffset>316733</wp:posOffset>
                </wp:positionH>
                <wp:positionV relativeFrom="paragraph">
                  <wp:posOffset>952298</wp:posOffset>
                </wp:positionV>
                <wp:extent cx="5111750" cy="1329690"/>
                <wp:effectExtent l="0" t="0" r="0" b="0"/>
                <wp:wrapTight wrapText="bothSides">
                  <wp:wrapPolygon edited="0">
                    <wp:start x="0" y="0"/>
                    <wp:lineTo x="0" y="21352"/>
                    <wp:lineTo x="21493" y="21352"/>
                    <wp:lineTo x="21493" y="0"/>
                    <wp:lineTo x="0" y="0"/>
                  </wp:wrapPolygon>
                </wp:wrapTight>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1750" cy="1329690"/>
                        </a:xfrm>
                        <a:prstGeom prst="rect">
                          <a:avLst/>
                        </a:prstGeom>
                        <a:noFill/>
                      </pic:spPr>
                    </pic:pic>
                  </a:graphicData>
                </a:graphic>
                <wp14:sizeRelH relativeFrom="margin">
                  <wp14:pctWidth>0</wp14:pctWidth>
                </wp14:sizeRelH>
                <wp14:sizeRelV relativeFrom="margin">
                  <wp14:pctHeight>0</wp14:pctHeight>
                </wp14:sizeRelV>
              </wp:anchor>
            </w:drawing>
          </w:r>
          <w:r>
            <w:rPr>
              <w:noProof/>
              <w:color w:val="156082" w:themeColor="accent1"/>
            </w:rPr>
            <w:drawing>
              <wp:anchor distT="0" distB="0" distL="114300" distR="114300" simplePos="0" relativeHeight="251676672" behindDoc="1" locked="0" layoutInCell="1" allowOverlap="1" wp14:anchorId="10CA9F31" wp14:editId="61BF2ED5">
                <wp:simplePos x="0" y="0"/>
                <wp:positionH relativeFrom="column">
                  <wp:posOffset>2071891</wp:posOffset>
                </wp:positionH>
                <wp:positionV relativeFrom="paragraph">
                  <wp:posOffset>142148</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eastAsiaTheme="minorHAnsi"/>
              <w:color w:val="156082" w:themeColor="accent1"/>
              <w:kern w:val="2"/>
              <w:lang w:eastAsia="en-US"/>
            </w:rPr>
            <w:id w:val="122902132"/>
            <w:docPartObj>
              <w:docPartGallery w:val="Cover Pages"/>
              <w:docPartUnique/>
            </w:docPartObj>
          </w:sdtPr>
          <w:sdtEndPr>
            <w:rPr>
              <w:rFonts w:ascii="Arial" w:hAnsi="Arial" w:cs="Arial"/>
              <w:b/>
              <w:bCs/>
              <w:color w:val="auto"/>
              <w:sz w:val="24"/>
              <w:szCs w:val="24"/>
            </w:rPr>
          </w:sdtEndPr>
          <w:sdtContent>
            <w:p w14:paraId="6F29FAB3" w14:textId="77777777" w:rsidR="00D43DEE" w:rsidRDefault="00D43DEE" w:rsidP="00D43DEE">
              <w:pPr>
                <w:pStyle w:val="NoSpacing"/>
                <w:spacing w:after="240" w:line="480" w:lineRule="auto"/>
                <w:jc w:val="center"/>
                <w:rPr>
                  <w:rFonts w:eastAsiaTheme="minorHAnsi"/>
                  <w:color w:val="156082" w:themeColor="accent1"/>
                  <w:kern w:val="2"/>
                  <w:lang w:eastAsia="en-US"/>
                </w:rPr>
              </w:pPr>
            </w:p>
            <w:p w14:paraId="2944C9C6" w14:textId="5FDE8F57" w:rsidR="00D43DEE" w:rsidRPr="000E3CA9" w:rsidRDefault="00D43DEE" w:rsidP="00D43DEE">
              <w:pPr>
                <w:pStyle w:val="NoSpacing"/>
                <w:spacing w:line="480" w:lineRule="auto"/>
                <w:jc w:val="center"/>
                <w:rPr>
                  <w:rFonts w:ascii="Arial" w:hAnsi="Arial" w:cs="Arial"/>
                  <w:b/>
                  <w:bCs/>
                  <w:sz w:val="24"/>
                  <w:szCs w:val="24"/>
                </w:rPr>
              </w:pPr>
              <w:r w:rsidRPr="000E3CA9">
                <w:rPr>
                  <w:rFonts w:ascii="Arial" w:hAnsi="Arial" w:cs="Arial"/>
                  <w:b/>
                  <w:bCs/>
                  <w:sz w:val="24"/>
                  <w:szCs w:val="24"/>
                </w:rPr>
                <w:t xml:space="preserve">Module: </w:t>
              </w:r>
              <w:r w:rsidR="000E3CA9" w:rsidRPr="000E3CA9">
                <w:rPr>
                  <w:rFonts w:ascii="Arial" w:hAnsi="Arial" w:cs="Arial"/>
                  <w:sz w:val="24"/>
                  <w:szCs w:val="24"/>
                </w:rPr>
                <w:t>Introduction to Independent Research Skills</w:t>
              </w:r>
            </w:p>
            <w:p w14:paraId="4EFD7F4E" w14:textId="2CC34F2A" w:rsidR="00D43DEE" w:rsidRPr="000E3CA9" w:rsidRDefault="00D43DEE" w:rsidP="00A16EE6">
              <w:pPr>
                <w:pStyle w:val="NoSpacing"/>
                <w:spacing w:line="480" w:lineRule="auto"/>
                <w:jc w:val="center"/>
                <w:rPr>
                  <w:rFonts w:ascii="Arial" w:hAnsi="Arial" w:cs="Arial"/>
                  <w:sz w:val="24"/>
                  <w:szCs w:val="24"/>
                </w:rPr>
              </w:pPr>
              <w:r w:rsidRPr="000E3CA9">
                <w:rPr>
                  <w:rFonts w:ascii="Arial" w:hAnsi="Arial" w:cs="Arial"/>
                  <w:b/>
                  <w:bCs/>
                  <w:sz w:val="24"/>
                  <w:szCs w:val="24"/>
                </w:rPr>
                <w:t xml:space="preserve">Assignment Title: </w:t>
              </w:r>
              <w:proofErr w:type="gramStart"/>
              <w:r w:rsidR="000E3CA9" w:rsidRPr="000E3CA9">
                <w:rPr>
                  <w:rFonts w:ascii="Arial" w:hAnsi="Arial" w:cs="Arial"/>
                  <w:sz w:val="24"/>
                  <w:szCs w:val="24"/>
                </w:rPr>
                <w:t>Component</w:t>
              </w:r>
              <w:proofErr w:type="gramEnd"/>
              <w:r w:rsidR="000E3CA9" w:rsidRPr="000E3CA9">
                <w:rPr>
                  <w:rFonts w:ascii="Arial" w:hAnsi="Arial" w:cs="Arial"/>
                  <w:sz w:val="24"/>
                  <w:szCs w:val="24"/>
                </w:rPr>
                <w:t xml:space="preserve"> 2</w:t>
              </w:r>
              <w:r w:rsidR="000E3CA9" w:rsidRPr="000E3CA9">
                <w:rPr>
                  <w:rFonts w:ascii="Arial" w:hAnsi="Arial" w:cs="Arial"/>
                  <w:sz w:val="24"/>
                  <w:szCs w:val="24"/>
                </w:rPr>
                <w:t xml:space="preserve">, </w:t>
              </w:r>
              <w:r w:rsidR="000E3CA9" w:rsidRPr="000E3CA9">
                <w:rPr>
                  <w:rFonts w:ascii="Arial" w:hAnsi="Arial" w:cs="Arial"/>
                  <w:sz w:val="24"/>
                  <w:szCs w:val="24"/>
                </w:rPr>
                <w:t>Written Assignment (Research report)</w:t>
              </w:r>
            </w:p>
            <w:p w14:paraId="194DEA6D" w14:textId="19A9895C" w:rsidR="00D43DEE" w:rsidRPr="000E3CA9" w:rsidRDefault="00D43DEE" w:rsidP="00745787">
              <w:pPr>
                <w:pStyle w:val="NoSpacing"/>
                <w:spacing w:line="480" w:lineRule="auto"/>
                <w:jc w:val="center"/>
                <w:rPr>
                  <w:rFonts w:ascii="Arial" w:hAnsi="Arial" w:cs="Arial"/>
                  <w:b/>
                  <w:bCs/>
                  <w:sz w:val="24"/>
                  <w:szCs w:val="24"/>
                </w:rPr>
              </w:pPr>
              <w:r w:rsidRPr="000E3CA9">
                <w:rPr>
                  <w:rFonts w:ascii="Arial" w:hAnsi="Arial" w:cs="Arial"/>
                  <w:b/>
                  <w:bCs/>
                  <w:sz w:val="24"/>
                  <w:szCs w:val="24"/>
                </w:rPr>
                <w:t xml:space="preserve">Module code: </w:t>
              </w:r>
              <w:r w:rsidR="000E3CA9" w:rsidRPr="000E3CA9">
                <w:rPr>
                  <w:rFonts w:ascii="Arial" w:hAnsi="Arial" w:cs="Arial"/>
                  <w:bCs/>
                  <w:sz w:val="24"/>
                  <w:szCs w:val="24"/>
                </w:rPr>
                <w:t>BMHP5019</w:t>
              </w:r>
              <w:r w:rsidR="00745787" w:rsidRPr="000E3CA9">
                <w:rPr>
                  <w:rFonts w:ascii="Arial" w:hAnsi="Arial" w:cs="Arial"/>
                  <w:bCs/>
                  <w:sz w:val="24"/>
                  <w:szCs w:val="24"/>
                </w:rPr>
                <w:cr/>
              </w:r>
              <w:r w:rsidRPr="000E3CA9">
                <w:rPr>
                  <w:rFonts w:ascii="Arial" w:hAnsi="Arial" w:cs="Arial"/>
                  <w:b/>
                  <w:bCs/>
                  <w:sz w:val="24"/>
                  <w:szCs w:val="24"/>
                </w:rPr>
                <w:t xml:space="preserve">Name: </w:t>
              </w:r>
              <w:r w:rsidRPr="000E3CA9">
                <w:rPr>
                  <w:rFonts w:ascii="Arial" w:hAnsi="Arial" w:cs="Arial"/>
                  <w:sz w:val="24"/>
                  <w:szCs w:val="24"/>
                </w:rPr>
                <w:t>Charles Amegor</w:t>
              </w:r>
            </w:p>
            <w:p w14:paraId="5D272512" w14:textId="77777777" w:rsidR="00D43DEE" w:rsidRPr="000E3CA9" w:rsidRDefault="00D43DEE" w:rsidP="00D43DEE">
              <w:pPr>
                <w:spacing w:after="0" w:line="480" w:lineRule="auto"/>
                <w:jc w:val="center"/>
                <w:rPr>
                  <w:rFonts w:ascii="Arial" w:hAnsi="Arial" w:cs="Arial"/>
                  <w:b/>
                  <w:bCs/>
                  <w:sz w:val="24"/>
                  <w:szCs w:val="24"/>
                </w:rPr>
              </w:pPr>
              <w:r w:rsidRPr="000E3CA9">
                <w:rPr>
                  <w:rFonts w:ascii="Arial" w:hAnsi="Arial" w:cs="Arial"/>
                  <w:b/>
                  <w:bCs/>
                  <w:sz w:val="24"/>
                  <w:szCs w:val="24"/>
                </w:rPr>
                <w:t>Student ID:</w:t>
              </w:r>
              <w:r w:rsidRPr="000E3CA9">
                <w:rPr>
                  <w:rFonts w:ascii="Arial" w:hAnsi="Arial" w:cs="Arial"/>
                  <w:b/>
                  <w:bCs/>
                  <w:kern w:val="0"/>
                  <w:sz w:val="24"/>
                  <w:szCs w:val="24"/>
                  <w14:ligatures w14:val="none"/>
                </w:rPr>
                <w:t xml:space="preserve"> </w:t>
              </w:r>
              <w:r w:rsidRPr="000E3CA9">
                <w:rPr>
                  <w:rFonts w:ascii="Arial" w:hAnsi="Arial" w:cs="Arial"/>
                  <w:sz w:val="24"/>
                  <w:szCs w:val="24"/>
                </w:rPr>
                <w:t>2413450</w:t>
              </w:r>
            </w:p>
            <w:p w14:paraId="6E50E18D" w14:textId="3B56869C" w:rsidR="000E3CA9" w:rsidRPr="000E3CA9" w:rsidRDefault="000E3CA9" w:rsidP="000E3CA9">
              <w:pPr>
                <w:spacing w:after="0" w:line="480" w:lineRule="auto"/>
                <w:jc w:val="center"/>
                <w:rPr>
                  <w:rFonts w:ascii="Arial" w:hAnsi="Arial" w:cs="Arial"/>
                  <w:sz w:val="24"/>
                  <w:szCs w:val="24"/>
                </w:rPr>
              </w:pPr>
              <w:r w:rsidRPr="000E3CA9">
                <w:rPr>
                  <w:rFonts w:ascii="Arial" w:hAnsi="Arial" w:cs="Arial"/>
                  <w:b/>
                  <w:bCs/>
                  <w:sz w:val="24"/>
                  <w:szCs w:val="24"/>
                </w:rPr>
                <w:t>G1-</w:t>
              </w:r>
              <w:r w:rsidR="00D43DEE" w:rsidRPr="000E3CA9">
                <w:rPr>
                  <w:rFonts w:ascii="Arial" w:hAnsi="Arial" w:cs="Arial"/>
                  <w:sz w:val="24"/>
                  <w:szCs w:val="24"/>
                </w:rPr>
                <w:t xml:space="preserve"> </w:t>
              </w:r>
              <w:r w:rsidRPr="000E3CA9">
                <w:rPr>
                  <w:rFonts w:ascii="Arial" w:hAnsi="Arial" w:cs="Arial"/>
                  <w:sz w:val="24"/>
                  <w:szCs w:val="24"/>
                </w:rPr>
                <w:t xml:space="preserve">Dr Eleni </w:t>
              </w:r>
              <w:proofErr w:type="spellStart"/>
              <w:r w:rsidRPr="000E3CA9">
                <w:rPr>
                  <w:rFonts w:ascii="Arial" w:hAnsi="Arial" w:cs="Arial"/>
                  <w:sz w:val="24"/>
                  <w:szCs w:val="24"/>
                </w:rPr>
                <w:t>Koutsogeorgou</w:t>
              </w:r>
              <w:proofErr w:type="spellEnd"/>
              <w:r w:rsidRPr="000E3CA9">
                <w:rPr>
                  <w:rFonts w:ascii="Arial" w:hAnsi="Arial" w:cs="Arial"/>
                  <w:sz w:val="24"/>
                  <w:szCs w:val="24"/>
                </w:rPr>
                <w:t xml:space="preserve"> </w:t>
              </w:r>
              <w:r w:rsidRPr="000E3CA9">
                <w:rPr>
                  <w:rFonts w:ascii="Arial" w:hAnsi="Arial" w:cs="Arial"/>
                  <w:sz w:val="24"/>
                  <w:szCs w:val="24"/>
                </w:rPr>
                <w:t xml:space="preserve">Andreou </w:t>
              </w:r>
            </w:p>
            <w:p w14:paraId="41C61CB3" w14:textId="4689C061" w:rsidR="00D43DEE" w:rsidRPr="000E3CA9" w:rsidRDefault="000E3CA9" w:rsidP="000E3CA9">
              <w:pPr>
                <w:spacing w:after="0" w:line="480" w:lineRule="auto"/>
                <w:jc w:val="center"/>
                <w:rPr>
                  <w:rFonts w:ascii="Arial" w:hAnsi="Arial" w:cs="Arial"/>
                  <w:b/>
                  <w:bCs/>
                  <w:sz w:val="24"/>
                  <w:szCs w:val="24"/>
                </w:rPr>
              </w:pPr>
              <w:r w:rsidRPr="000E3CA9">
                <w:rPr>
                  <w:rFonts w:ascii="Arial" w:hAnsi="Arial" w:cs="Arial"/>
                  <w:sz w:val="24"/>
                  <w:szCs w:val="24"/>
                </w:rPr>
                <w:t xml:space="preserve">(Module </w:t>
              </w:r>
              <w:r w:rsidRPr="000E3CA9">
                <w:rPr>
                  <w:rFonts w:ascii="Arial" w:hAnsi="Arial" w:cs="Arial"/>
                  <w:sz w:val="24"/>
                  <w:szCs w:val="24"/>
                </w:rPr>
                <w:t>leader) G</w:t>
              </w:r>
              <w:r w:rsidRPr="000E3CA9">
                <w:rPr>
                  <w:rFonts w:ascii="Arial" w:hAnsi="Arial" w:cs="Arial"/>
                  <w:sz w:val="24"/>
                  <w:szCs w:val="24"/>
                </w:rPr>
                <w:t>2: Muhammed Khan</w:t>
              </w:r>
            </w:p>
          </w:sdtContent>
        </w:sdt>
        <w:p w14:paraId="6847CDDA" w14:textId="31584432" w:rsidR="00D43DEE" w:rsidRPr="000E3CA9" w:rsidRDefault="00D43DEE" w:rsidP="00D43DEE">
          <w:pPr>
            <w:spacing w:after="0" w:line="480" w:lineRule="auto"/>
            <w:jc w:val="center"/>
            <w:rPr>
              <w:rFonts w:ascii="Arial" w:hAnsi="Arial" w:cs="Arial"/>
              <w:b/>
              <w:bCs/>
              <w:sz w:val="24"/>
              <w:szCs w:val="24"/>
            </w:rPr>
          </w:pPr>
          <w:r w:rsidRPr="000E3CA9">
            <w:rPr>
              <w:rFonts w:ascii="Arial" w:hAnsi="Arial" w:cs="Arial"/>
              <w:b/>
              <w:bCs/>
              <w:sz w:val="24"/>
              <w:szCs w:val="24"/>
            </w:rPr>
            <w:t xml:space="preserve">Word Count: </w:t>
          </w:r>
          <w:r w:rsidRPr="000E3CA9">
            <w:rPr>
              <w:rFonts w:ascii="Arial" w:hAnsi="Arial" w:cs="Arial"/>
              <w:sz w:val="24"/>
              <w:szCs w:val="24"/>
            </w:rPr>
            <w:t>20</w:t>
          </w:r>
          <w:r w:rsidR="00745787" w:rsidRPr="000E3CA9">
            <w:rPr>
              <w:rFonts w:ascii="Arial" w:hAnsi="Arial" w:cs="Arial"/>
              <w:sz w:val="24"/>
              <w:szCs w:val="24"/>
            </w:rPr>
            <w:t>67</w:t>
          </w:r>
        </w:p>
        <w:p w14:paraId="57B30E55" w14:textId="77777777" w:rsidR="000E3CA9" w:rsidRDefault="00D43DEE" w:rsidP="000E3CA9">
          <w:pPr>
            <w:spacing w:after="0" w:line="480" w:lineRule="auto"/>
            <w:jc w:val="center"/>
            <w:rPr>
              <w:rFonts w:ascii="Arial" w:hAnsi="Arial" w:cs="Arial"/>
              <w:b/>
              <w:bCs/>
              <w:sz w:val="24"/>
              <w:szCs w:val="24"/>
            </w:rPr>
          </w:pPr>
          <w:r w:rsidRPr="000E3CA9">
            <w:rPr>
              <w:rFonts w:ascii="Arial" w:hAnsi="Arial" w:cs="Arial"/>
              <w:b/>
              <w:bCs/>
              <w:sz w:val="24"/>
              <w:szCs w:val="24"/>
            </w:rPr>
            <w:t xml:space="preserve">Declaration </w:t>
          </w:r>
        </w:p>
        <w:p w14:paraId="482F3DF5" w14:textId="344BB6DD" w:rsidR="000E3CA9" w:rsidRDefault="00D43DEE" w:rsidP="000E3CA9">
          <w:pPr>
            <w:spacing w:after="0" w:line="480" w:lineRule="auto"/>
            <w:jc w:val="center"/>
            <w:rPr>
              <w:rFonts w:ascii="Times New Roman" w:hAnsi="Times New Roman" w:cs="Times New Roman"/>
            </w:rPr>
          </w:pPr>
          <w:r w:rsidRPr="000E3CA9">
            <w:rPr>
              <w:rFonts w:ascii="Arial" w:hAnsi="Arial" w:cs="Arial"/>
            </w:rPr>
            <w:t>I confirm that I used generative AI as a study tool to support the structure and development of ideas in this assignment. All writing, analysis, critical reflection, and final content represent my own work, thinking, and interpretation. The AI was not used to write the assignment on my behalf, and all sources cited were independently checked and verified by me in accordance with university guidance.</w:t>
          </w:r>
          <w:r>
            <w:rPr>
              <w:rFonts w:ascii="Times New Roman" w:hAnsi="Times New Roman" w:cs="Times New Roman"/>
            </w:rPr>
            <w:br w:type="page"/>
          </w:r>
        </w:p>
      </w:sdtContent>
    </w:sdt>
    <w:sdt>
      <w:sdtPr>
        <w:id w:val="1013344000"/>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C566921" w14:textId="0BBAF41B" w:rsidR="000E3CA9" w:rsidRDefault="000E3CA9">
          <w:pPr>
            <w:pStyle w:val="TOCHeading"/>
          </w:pPr>
          <w:r>
            <w:t>Table of Contents</w:t>
          </w:r>
        </w:p>
        <w:p w14:paraId="0C0E8AC5" w14:textId="242A54D0" w:rsidR="000E3CA9" w:rsidRDefault="000E3CA9">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607426" w:history="1">
            <w:r w:rsidRPr="00F532E7">
              <w:rPr>
                <w:rStyle w:val="Hyperlink"/>
                <w:noProof/>
              </w:rPr>
              <w:t>1. Introduction</w:t>
            </w:r>
            <w:r>
              <w:rPr>
                <w:noProof/>
                <w:webHidden/>
              </w:rPr>
              <w:tab/>
            </w:r>
            <w:r>
              <w:rPr>
                <w:noProof/>
                <w:webHidden/>
              </w:rPr>
              <w:fldChar w:fldCharType="begin"/>
            </w:r>
            <w:r>
              <w:rPr>
                <w:noProof/>
                <w:webHidden/>
              </w:rPr>
              <w:instrText xml:space="preserve"> PAGEREF _Toc237607426 \h </w:instrText>
            </w:r>
            <w:r>
              <w:rPr>
                <w:noProof/>
                <w:webHidden/>
              </w:rPr>
            </w:r>
            <w:r>
              <w:rPr>
                <w:noProof/>
                <w:webHidden/>
              </w:rPr>
              <w:fldChar w:fldCharType="separate"/>
            </w:r>
            <w:r>
              <w:rPr>
                <w:noProof/>
                <w:webHidden/>
              </w:rPr>
              <w:t>2</w:t>
            </w:r>
            <w:r>
              <w:rPr>
                <w:noProof/>
                <w:webHidden/>
              </w:rPr>
              <w:fldChar w:fldCharType="end"/>
            </w:r>
          </w:hyperlink>
        </w:p>
        <w:p w14:paraId="24EE6DB4" w14:textId="51EA5F2E" w:rsidR="000E3CA9" w:rsidRDefault="000E3CA9">
          <w:pPr>
            <w:pStyle w:val="TOC3"/>
            <w:tabs>
              <w:tab w:val="right" w:leader="dot" w:pos="9016"/>
            </w:tabs>
            <w:rPr>
              <w:rFonts w:eastAsiaTheme="minorEastAsia"/>
              <w:noProof/>
              <w:sz w:val="24"/>
              <w:szCs w:val="24"/>
              <w:lang w:eastAsia="en-GB"/>
            </w:rPr>
          </w:pPr>
          <w:hyperlink w:anchor="_Toc237607427" w:history="1">
            <w:r w:rsidRPr="00F532E7">
              <w:rPr>
                <w:rStyle w:val="Hyperlink"/>
                <w:noProof/>
              </w:rPr>
              <w:t>2. Background</w:t>
            </w:r>
            <w:r>
              <w:rPr>
                <w:noProof/>
                <w:webHidden/>
              </w:rPr>
              <w:tab/>
            </w:r>
            <w:r>
              <w:rPr>
                <w:noProof/>
                <w:webHidden/>
              </w:rPr>
              <w:fldChar w:fldCharType="begin"/>
            </w:r>
            <w:r>
              <w:rPr>
                <w:noProof/>
                <w:webHidden/>
              </w:rPr>
              <w:instrText xml:space="preserve"> PAGEREF _Toc237607427 \h </w:instrText>
            </w:r>
            <w:r>
              <w:rPr>
                <w:noProof/>
                <w:webHidden/>
              </w:rPr>
            </w:r>
            <w:r>
              <w:rPr>
                <w:noProof/>
                <w:webHidden/>
              </w:rPr>
              <w:fldChar w:fldCharType="separate"/>
            </w:r>
            <w:r>
              <w:rPr>
                <w:noProof/>
                <w:webHidden/>
              </w:rPr>
              <w:t>3</w:t>
            </w:r>
            <w:r>
              <w:rPr>
                <w:noProof/>
                <w:webHidden/>
              </w:rPr>
              <w:fldChar w:fldCharType="end"/>
            </w:r>
          </w:hyperlink>
        </w:p>
        <w:p w14:paraId="34E32649" w14:textId="31B7ACC4" w:rsidR="000E3CA9" w:rsidRDefault="000E3CA9" w:rsidP="000E3CA9">
          <w:pPr>
            <w:pStyle w:val="TOC3"/>
            <w:tabs>
              <w:tab w:val="right" w:leader="dot" w:pos="9016"/>
            </w:tabs>
            <w:rPr>
              <w:rFonts w:eastAsiaTheme="minorEastAsia"/>
              <w:noProof/>
              <w:sz w:val="24"/>
              <w:szCs w:val="24"/>
              <w:lang w:eastAsia="en-GB"/>
            </w:rPr>
          </w:pPr>
          <w:hyperlink w:anchor="_Toc237607428" w:history="1">
            <w:r w:rsidRPr="00F532E7">
              <w:rPr>
                <w:rStyle w:val="Hyperlink"/>
                <w:noProof/>
              </w:rPr>
              <w:t>3. Methods</w:t>
            </w:r>
            <w:r>
              <w:rPr>
                <w:noProof/>
                <w:webHidden/>
              </w:rPr>
              <w:tab/>
            </w:r>
            <w:r>
              <w:rPr>
                <w:noProof/>
                <w:webHidden/>
              </w:rPr>
              <w:fldChar w:fldCharType="begin"/>
            </w:r>
            <w:r>
              <w:rPr>
                <w:noProof/>
                <w:webHidden/>
              </w:rPr>
              <w:instrText xml:space="preserve"> PAGEREF _Toc237607428 \h </w:instrText>
            </w:r>
            <w:r>
              <w:rPr>
                <w:noProof/>
                <w:webHidden/>
              </w:rPr>
            </w:r>
            <w:r>
              <w:rPr>
                <w:noProof/>
                <w:webHidden/>
              </w:rPr>
              <w:fldChar w:fldCharType="separate"/>
            </w:r>
            <w:r>
              <w:rPr>
                <w:noProof/>
                <w:webHidden/>
              </w:rPr>
              <w:t>4</w:t>
            </w:r>
            <w:r>
              <w:rPr>
                <w:noProof/>
                <w:webHidden/>
              </w:rPr>
              <w:fldChar w:fldCharType="end"/>
            </w:r>
          </w:hyperlink>
        </w:p>
        <w:p w14:paraId="09409D4F" w14:textId="245530C6" w:rsidR="000E3CA9" w:rsidRDefault="000E3CA9">
          <w:pPr>
            <w:pStyle w:val="TOC3"/>
            <w:tabs>
              <w:tab w:val="right" w:leader="dot" w:pos="9016"/>
            </w:tabs>
            <w:rPr>
              <w:rFonts w:eastAsiaTheme="minorEastAsia"/>
              <w:noProof/>
              <w:sz w:val="24"/>
              <w:szCs w:val="24"/>
              <w:lang w:eastAsia="en-GB"/>
            </w:rPr>
          </w:pPr>
          <w:hyperlink w:anchor="_Toc237607430" w:history="1">
            <w:r w:rsidRPr="00F532E7">
              <w:rPr>
                <w:rStyle w:val="Hyperlink"/>
                <w:noProof/>
              </w:rPr>
              <w:t>4. Results</w:t>
            </w:r>
            <w:r>
              <w:rPr>
                <w:noProof/>
                <w:webHidden/>
              </w:rPr>
              <w:tab/>
            </w:r>
            <w:r>
              <w:rPr>
                <w:noProof/>
                <w:webHidden/>
              </w:rPr>
              <w:fldChar w:fldCharType="begin"/>
            </w:r>
            <w:r>
              <w:rPr>
                <w:noProof/>
                <w:webHidden/>
              </w:rPr>
              <w:instrText xml:space="preserve"> PAGEREF _Toc237607430 \h </w:instrText>
            </w:r>
            <w:r>
              <w:rPr>
                <w:noProof/>
                <w:webHidden/>
              </w:rPr>
            </w:r>
            <w:r>
              <w:rPr>
                <w:noProof/>
                <w:webHidden/>
              </w:rPr>
              <w:fldChar w:fldCharType="separate"/>
            </w:r>
            <w:r>
              <w:rPr>
                <w:noProof/>
                <w:webHidden/>
              </w:rPr>
              <w:t>6</w:t>
            </w:r>
            <w:r>
              <w:rPr>
                <w:noProof/>
                <w:webHidden/>
              </w:rPr>
              <w:fldChar w:fldCharType="end"/>
            </w:r>
          </w:hyperlink>
        </w:p>
        <w:p w14:paraId="0EDF8A90" w14:textId="04069FBE" w:rsidR="000E3CA9" w:rsidRDefault="000E3CA9">
          <w:pPr>
            <w:pStyle w:val="TOC3"/>
            <w:tabs>
              <w:tab w:val="right" w:leader="dot" w:pos="9016"/>
            </w:tabs>
            <w:rPr>
              <w:rFonts w:eastAsiaTheme="minorEastAsia"/>
              <w:noProof/>
              <w:sz w:val="24"/>
              <w:szCs w:val="24"/>
              <w:lang w:eastAsia="en-GB"/>
            </w:rPr>
          </w:pPr>
          <w:hyperlink w:anchor="_Toc237607431" w:history="1">
            <w:r w:rsidRPr="00F532E7">
              <w:rPr>
                <w:rStyle w:val="Hyperlink"/>
                <w:noProof/>
              </w:rPr>
              <w:t>5. Discussion</w:t>
            </w:r>
            <w:r>
              <w:rPr>
                <w:noProof/>
                <w:webHidden/>
              </w:rPr>
              <w:tab/>
            </w:r>
            <w:r>
              <w:rPr>
                <w:noProof/>
                <w:webHidden/>
              </w:rPr>
              <w:fldChar w:fldCharType="begin"/>
            </w:r>
            <w:r>
              <w:rPr>
                <w:noProof/>
                <w:webHidden/>
              </w:rPr>
              <w:instrText xml:space="preserve"> PAGEREF _Toc237607431 \h </w:instrText>
            </w:r>
            <w:r>
              <w:rPr>
                <w:noProof/>
                <w:webHidden/>
              </w:rPr>
            </w:r>
            <w:r>
              <w:rPr>
                <w:noProof/>
                <w:webHidden/>
              </w:rPr>
              <w:fldChar w:fldCharType="separate"/>
            </w:r>
            <w:r>
              <w:rPr>
                <w:noProof/>
                <w:webHidden/>
              </w:rPr>
              <w:t>8</w:t>
            </w:r>
            <w:r>
              <w:rPr>
                <w:noProof/>
                <w:webHidden/>
              </w:rPr>
              <w:fldChar w:fldCharType="end"/>
            </w:r>
          </w:hyperlink>
        </w:p>
        <w:p w14:paraId="30D365E5" w14:textId="4474C4B0" w:rsidR="000E3CA9" w:rsidRDefault="000E3CA9">
          <w:pPr>
            <w:pStyle w:val="TOC3"/>
            <w:tabs>
              <w:tab w:val="right" w:leader="dot" w:pos="9016"/>
            </w:tabs>
            <w:rPr>
              <w:rFonts w:eastAsiaTheme="minorEastAsia"/>
              <w:noProof/>
              <w:sz w:val="24"/>
              <w:szCs w:val="24"/>
              <w:lang w:eastAsia="en-GB"/>
            </w:rPr>
          </w:pPr>
          <w:hyperlink w:anchor="_Toc237607432" w:history="1">
            <w:r w:rsidRPr="00F532E7">
              <w:rPr>
                <w:rStyle w:val="Hyperlink"/>
                <w:noProof/>
              </w:rPr>
              <w:t>6. Conclusion and Recommendations</w:t>
            </w:r>
            <w:r>
              <w:rPr>
                <w:noProof/>
                <w:webHidden/>
              </w:rPr>
              <w:tab/>
            </w:r>
            <w:r>
              <w:rPr>
                <w:noProof/>
                <w:webHidden/>
              </w:rPr>
              <w:fldChar w:fldCharType="begin"/>
            </w:r>
            <w:r>
              <w:rPr>
                <w:noProof/>
                <w:webHidden/>
              </w:rPr>
              <w:instrText xml:space="preserve"> PAGEREF _Toc237607432 \h </w:instrText>
            </w:r>
            <w:r>
              <w:rPr>
                <w:noProof/>
                <w:webHidden/>
              </w:rPr>
            </w:r>
            <w:r>
              <w:rPr>
                <w:noProof/>
                <w:webHidden/>
              </w:rPr>
              <w:fldChar w:fldCharType="separate"/>
            </w:r>
            <w:r>
              <w:rPr>
                <w:noProof/>
                <w:webHidden/>
              </w:rPr>
              <w:t>11</w:t>
            </w:r>
            <w:r>
              <w:rPr>
                <w:noProof/>
                <w:webHidden/>
              </w:rPr>
              <w:fldChar w:fldCharType="end"/>
            </w:r>
          </w:hyperlink>
        </w:p>
        <w:p w14:paraId="38F8C2C8" w14:textId="7B02FFCF" w:rsidR="000E3CA9" w:rsidRDefault="000E3CA9">
          <w:pPr>
            <w:pStyle w:val="TOC3"/>
            <w:tabs>
              <w:tab w:val="right" w:leader="dot" w:pos="9016"/>
            </w:tabs>
            <w:rPr>
              <w:rFonts w:eastAsiaTheme="minorEastAsia"/>
              <w:noProof/>
              <w:sz w:val="24"/>
              <w:szCs w:val="24"/>
              <w:lang w:eastAsia="en-GB"/>
            </w:rPr>
          </w:pPr>
          <w:hyperlink w:anchor="_Toc237607433" w:history="1">
            <w:r w:rsidRPr="00F532E7">
              <w:rPr>
                <w:rStyle w:val="Hyperlink"/>
                <w:noProof/>
              </w:rPr>
              <w:t>Reference List</w:t>
            </w:r>
            <w:r>
              <w:rPr>
                <w:noProof/>
                <w:webHidden/>
              </w:rPr>
              <w:tab/>
            </w:r>
            <w:r>
              <w:rPr>
                <w:noProof/>
                <w:webHidden/>
              </w:rPr>
              <w:fldChar w:fldCharType="begin"/>
            </w:r>
            <w:r>
              <w:rPr>
                <w:noProof/>
                <w:webHidden/>
              </w:rPr>
              <w:instrText xml:space="preserve"> PAGEREF _Toc237607433 \h </w:instrText>
            </w:r>
            <w:r>
              <w:rPr>
                <w:noProof/>
                <w:webHidden/>
              </w:rPr>
            </w:r>
            <w:r>
              <w:rPr>
                <w:noProof/>
                <w:webHidden/>
              </w:rPr>
              <w:fldChar w:fldCharType="separate"/>
            </w:r>
            <w:r>
              <w:rPr>
                <w:noProof/>
                <w:webHidden/>
              </w:rPr>
              <w:t>14</w:t>
            </w:r>
            <w:r>
              <w:rPr>
                <w:noProof/>
                <w:webHidden/>
              </w:rPr>
              <w:fldChar w:fldCharType="end"/>
            </w:r>
          </w:hyperlink>
        </w:p>
        <w:p w14:paraId="4A0C044F" w14:textId="3D1C8F87" w:rsidR="000E3CA9" w:rsidRDefault="000E3CA9">
          <w:r>
            <w:rPr>
              <w:b/>
              <w:bCs/>
            </w:rPr>
            <w:fldChar w:fldCharType="end"/>
          </w:r>
        </w:p>
      </w:sdtContent>
    </w:sdt>
    <w:p w14:paraId="6B995D33" w14:textId="77777777" w:rsidR="000E3CA9" w:rsidRDefault="000E3CA9" w:rsidP="000E3CA9">
      <w:pPr>
        <w:pStyle w:val="Heading3"/>
      </w:pPr>
    </w:p>
    <w:p w14:paraId="0AD21AF5" w14:textId="77777777" w:rsidR="000E3CA9" w:rsidRDefault="000E3CA9" w:rsidP="000E3CA9"/>
    <w:p w14:paraId="563BD23B" w14:textId="77777777" w:rsidR="000E3CA9" w:rsidRDefault="000E3CA9" w:rsidP="000E3CA9"/>
    <w:p w14:paraId="38E9EAF6" w14:textId="77777777" w:rsidR="000E3CA9" w:rsidRDefault="000E3CA9" w:rsidP="000E3CA9"/>
    <w:p w14:paraId="553D31FA" w14:textId="77777777" w:rsidR="000E3CA9" w:rsidRDefault="000E3CA9" w:rsidP="000E3CA9"/>
    <w:p w14:paraId="1DCAB66E" w14:textId="77777777" w:rsidR="000E3CA9" w:rsidRDefault="000E3CA9" w:rsidP="000E3CA9"/>
    <w:p w14:paraId="2160A60A" w14:textId="77777777" w:rsidR="000E3CA9" w:rsidRDefault="000E3CA9" w:rsidP="000E3CA9"/>
    <w:p w14:paraId="798B83AB" w14:textId="77777777" w:rsidR="000E3CA9" w:rsidRDefault="000E3CA9" w:rsidP="000E3CA9"/>
    <w:p w14:paraId="6027D134" w14:textId="77777777" w:rsidR="000E3CA9" w:rsidRDefault="000E3CA9" w:rsidP="000E3CA9"/>
    <w:p w14:paraId="58E35E53" w14:textId="77777777" w:rsidR="000E3CA9" w:rsidRDefault="000E3CA9" w:rsidP="000E3CA9"/>
    <w:p w14:paraId="7E42A802" w14:textId="77777777" w:rsidR="000E3CA9" w:rsidRDefault="000E3CA9" w:rsidP="000E3CA9"/>
    <w:p w14:paraId="1A152FEA" w14:textId="77777777" w:rsidR="000E3CA9" w:rsidRDefault="000E3CA9" w:rsidP="000E3CA9"/>
    <w:p w14:paraId="458CB7B0" w14:textId="77777777" w:rsidR="000E3CA9" w:rsidRDefault="000E3CA9" w:rsidP="000E3CA9"/>
    <w:p w14:paraId="52E722EC" w14:textId="77777777" w:rsidR="000E3CA9" w:rsidRDefault="000E3CA9" w:rsidP="000E3CA9"/>
    <w:p w14:paraId="3C3C7365" w14:textId="77777777" w:rsidR="000E3CA9" w:rsidRDefault="000E3CA9" w:rsidP="000E3CA9"/>
    <w:p w14:paraId="555EA696" w14:textId="77777777" w:rsidR="000E3CA9" w:rsidRDefault="000E3CA9" w:rsidP="000E3CA9"/>
    <w:p w14:paraId="77C9A299" w14:textId="77777777" w:rsidR="000E3CA9" w:rsidRDefault="000E3CA9" w:rsidP="000E3CA9"/>
    <w:p w14:paraId="149538AA" w14:textId="77777777" w:rsidR="000E3CA9" w:rsidRDefault="000E3CA9" w:rsidP="000E3CA9"/>
    <w:p w14:paraId="418A1949" w14:textId="77777777" w:rsidR="000E3CA9" w:rsidRDefault="000E3CA9" w:rsidP="000E3CA9"/>
    <w:p w14:paraId="0864A337" w14:textId="77777777" w:rsidR="000E3CA9" w:rsidRDefault="000E3CA9" w:rsidP="000E3CA9"/>
    <w:p w14:paraId="0CCF8E35" w14:textId="77777777" w:rsidR="000E3CA9" w:rsidRDefault="000E3CA9" w:rsidP="000E3CA9"/>
    <w:p w14:paraId="3EAD4B07" w14:textId="77777777" w:rsidR="000E3CA9" w:rsidRDefault="000E3CA9" w:rsidP="000E3CA9"/>
    <w:p w14:paraId="1BB50706" w14:textId="77777777" w:rsidR="000E3CA9" w:rsidRDefault="000E3CA9" w:rsidP="000E3CA9"/>
    <w:p w14:paraId="794711E0" w14:textId="0F6F3F20" w:rsidR="000E3CA9" w:rsidRPr="000E3CA9" w:rsidRDefault="000E3CA9" w:rsidP="000E3CA9">
      <w:pPr>
        <w:pStyle w:val="Heading3"/>
      </w:pPr>
      <w:bookmarkStart w:id="0" w:name="_Toc237607426"/>
      <w:r w:rsidRPr="000E3CA9">
        <w:lastRenderedPageBreak/>
        <w:t>1. Introduction</w:t>
      </w:r>
      <w:bookmarkEnd w:id="0"/>
    </w:p>
    <w:p w14:paraId="3685BF7A" w14:textId="51774062" w:rsidR="000E3CA9" w:rsidRPr="000E3CA9" w:rsidRDefault="000E3CA9" w:rsidP="000E3CA9">
      <w:pPr>
        <w:spacing w:line="360" w:lineRule="auto"/>
        <w:jc w:val="both"/>
        <w:rPr>
          <w:rFonts w:ascii="Arial" w:hAnsi="Arial" w:cs="Arial"/>
        </w:rPr>
      </w:pPr>
      <w:r w:rsidRPr="000E3CA9">
        <w:rPr>
          <w:rFonts w:ascii="Arial" w:hAnsi="Arial" w:cs="Arial"/>
        </w:rPr>
        <w:t xml:space="preserve">Loneliness and social isolation are related but distinct dimensions of social connection. Loneliness is commonly understood as the subjective </w:t>
      </w:r>
      <w:proofErr w:type="gramStart"/>
      <w:r w:rsidRPr="000E3CA9">
        <w:rPr>
          <w:rFonts w:ascii="Arial" w:hAnsi="Arial" w:cs="Arial"/>
        </w:rPr>
        <w:t>perception</w:t>
      </w:r>
      <w:proofErr w:type="gramEnd"/>
      <w:r w:rsidRPr="000E3CA9">
        <w:rPr>
          <w:rFonts w:ascii="Arial" w:hAnsi="Arial" w:cs="Arial"/>
        </w:rPr>
        <w:t xml:space="preserve"> that the quality or quantity of a person’s relationships does not meet their needs, </w:t>
      </w:r>
      <w:proofErr w:type="gramStart"/>
      <w:r w:rsidRPr="000E3CA9">
        <w:rPr>
          <w:rFonts w:ascii="Arial" w:hAnsi="Arial" w:cs="Arial"/>
        </w:rPr>
        <w:t>whereas</w:t>
      </w:r>
      <w:proofErr w:type="gramEnd"/>
      <w:r w:rsidRPr="000E3CA9">
        <w:rPr>
          <w:rFonts w:ascii="Arial" w:hAnsi="Arial" w:cs="Arial"/>
        </w:rPr>
        <w:t xml:space="preserve"> social isolation refers more objectively to the size, frequency or structure of social contact (</w:t>
      </w:r>
      <w:proofErr w:type="spellStart"/>
      <w:r w:rsidRPr="000E3CA9">
        <w:rPr>
          <w:rFonts w:ascii="Arial" w:hAnsi="Arial" w:cs="Arial"/>
        </w:rPr>
        <w:t>Valtorta</w:t>
      </w:r>
      <w:proofErr w:type="spellEnd"/>
      <w:r w:rsidRPr="000E3CA9">
        <w:rPr>
          <w:rFonts w:ascii="Arial" w:hAnsi="Arial" w:cs="Arial"/>
        </w:rPr>
        <w:t xml:space="preserve"> et al., 2016; Prohaska et al., 2020). This distinction is important in health and social care because a person can be socially connected yet </w:t>
      </w:r>
      <w:r w:rsidRPr="000E3CA9">
        <w:rPr>
          <w:rFonts w:ascii="Arial" w:hAnsi="Arial" w:cs="Arial"/>
        </w:rPr>
        <w:t>lonely or</w:t>
      </w:r>
      <w:r w:rsidRPr="000E3CA9">
        <w:rPr>
          <w:rFonts w:ascii="Arial" w:hAnsi="Arial" w:cs="Arial"/>
        </w:rPr>
        <w:t xml:space="preserve"> have relatively few contacts without experiencing loneliness (</w:t>
      </w:r>
      <w:proofErr w:type="spellStart"/>
      <w:r w:rsidRPr="000E3CA9">
        <w:rPr>
          <w:rFonts w:ascii="Arial" w:hAnsi="Arial" w:cs="Arial"/>
        </w:rPr>
        <w:t>Valtorta</w:t>
      </w:r>
      <w:proofErr w:type="spellEnd"/>
      <w:r w:rsidRPr="000E3CA9">
        <w:rPr>
          <w:rFonts w:ascii="Arial" w:hAnsi="Arial" w:cs="Arial"/>
        </w:rPr>
        <w:t xml:space="preserve"> et al., 2016). Treating the concepts as interchangeable can therefore lead to inaccurate assessment and poorly targeted support (Prohaska et al., 2020).</w:t>
      </w:r>
    </w:p>
    <w:p w14:paraId="440F83F6"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This review focuses on adults aged 50 years and over in England. The age threshold is consistent with major English ageing research, particularly the English Longitudinal Study of Ageing (ELSA), which follows adults from age 50 and has been used to investigate loneliness, social isolation, frailty and broader patterns of social connection (Davies et al., 2021; Bu and Fancourt, 2024). The topic is relevant to health and social care because social connection is influenced not only by personal relationships but also by mobility, transport, community resources, digital access and service design (Reinhard et al., 2018; </w:t>
      </w:r>
      <w:proofErr w:type="spellStart"/>
      <w:r w:rsidRPr="000E3CA9">
        <w:rPr>
          <w:rFonts w:ascii="Arial" w:hAnsi="Arial" w:cs="Arial"/>
        </w:rPr>
        <w:t>Bałki</w:t>
      </w:r>
      <w:proofErr w:type="spellEnd"/>
      <w:r w:rsidRPr="000E3CA9">
        <w:rPr>
          <w:rFonts w:ascii="Arial" w:hAnsi="Arial" w:cs="Arial"/>
        </w:rPr>
        <w:t xml:space="preserve"> et al., 2022).</w:t>
      </w:r>
    </w:p>
    <w:p w14:paraId="224649A3" w14:textId="77777777" w:rsidR="000E3CA9" w:rsidRPr="000E3CA9" w:rsidRDefault="000E3CA9" w:rsidP="000E3CA9">
      <w:pPr>
        <w:spacing w:line="360" w:lineRule="auto"/>
        <w:jc w:val="both"/>
        <w:rPr>
          <w:rFonts w:ascii="Arial" w:hAnsi="Arial" w:cs="Arial"/>
        </w:rPr>
      </w:pPr>
      <w:r w:rsidRPr="000E3CA9">
        <w:rPr>
          <w:rFonts w:ascii="Arial" w:hAnsi="Arial" w:cs="Arial"/>
        </w:rPr>
        <w:t>The COVID-19 pandemic intensified attention to social isolation in later life because public-health restrictions altered usual patterns of contact and participation (Robb et al., 2020). However, pandemic evidence must be interpreted carefully because forced restrictions created circumstances that were not typical of routine ageing or usual service delivery (Robb et al., 2020; McElroy et al., 2023). A scoping review is therefore useful for mapping how different studies conceptualise social connection, which health outcomes they examine, and where the evidence supports or limits implications for current UK practice (</w:t>
      </w:r>
      <w:proofErr w:type="spellStart"/>
      <w:r w:rsidRPr="000E3CA9">
        <w:rPr>
          <w:rFonts w:ascii="Arial" w:hAnsi="Arial" w:cs="Arial"/>
        </w:rPr>
        <w:t>Tricco</w:t>
      </w:r>
      <w:proofErr w:type="spellEnd"/>
      <w:r w:rsidRPr="000E3CA9">
        <w:rPr>
          <w:rFonts w:ascii="Arial" w:hAnsi="Arial" w:cs="Arial"/>
        </w:rPr>
        <w:t xml:space="preserve"> et al., 2018; Peters et al., 2020).</w:t>
      </w:r>
    </w:p>
    <w:p w14:paraId="7D83C0D0" w14:textId="77777777" w:rsidR="000E3CA9" w:rsidRPr="000E3CA9" w:rsidRDefault="000E3CA9" w:rsidP="000E3CA9">
      <w:pPr>
        <w:pStyle w:val="Heading4"/>
      </w:pPr>
      <w:r w:rsidRPr="000E3CA9">
        <w:t>1.1 Review question</w:t>
      </w:r>
    </w:p>
    <w:p w14:paraId="4288DA28" w14:textId="77777777" w:rsidR="000E3CA9" w:rsidRPr="000E3CA9" w:rsidRDefault="000E3CA9" w:rsidP="000E3CA9">
      <w:pPr>
        <w:spacing w:line="360" w:lineRule="auto"/>
        <w:jc w:val="both"/>
        <w:rPr>
          <w:rFonts w:ascii="Arial" w:hAnsi="Arial" w:cs="Arial"/>
        </w:rPr>
      </w:pPr>
      <w:r w:rsidRPr="000E3CA9">
        <w:rPr>
          <w:rFonts w:ascii="Arial" w:hAnsi="Arial" w:cs="Arial"/>
        </w:rPr>
        <w:t>What does recent peer-reviewed evidence show about the relationship between loneliness, social isolation and health and wellbeing among adults aged 50 years and over in England, and what are the implications for UK health and social care practice?</w:t>
      </w:r>
    </w:p>
    <w:p w14:paraId="17260E45" w14:textId="77777777" w:rsidR="000E3CA9" w:rsidRPr="000E3CA9" w:rsidRDefault="000E3CA9" w:rsidP="000E3CA9">
      <w:pPr>
        <w:pStyle w:val="Heading4"/>
      </w:pPr>
      <w:r w:rsidRPr="000E3CA9">
        <w:t>1.2 Objectives</w:t>
      </w:r>
    </w:p>
    <w:p w14:paraId="29FE2976" w14:textId="77777777" w:rsidR="000E3CA9" w:rsidRPr="000E3CA9" w:rsidRDefault="000E3CA9" w:rsidP="000E3CA9">
      <w:pPr>
        <w:spacing w:line="360" w:lineRule="auto"/>
        <w:jc w:val="both"/>
        <w:rPr>
          <w:rFonts w:ascii="Arial" w:hAnsi="Arial" w:cs="Arial"/>
        </w:rPr>
      </w:pPr>
      <w:r w:rsidRPr="000E3CA9">
        <w:rPr>
          <w:rFonts w:ascii="Arial" w:hAnsi="Arial" w:cs="Arial"/>
        </w:rPr>
        <w:t>The objectives were to identify four peer-reviewed studies published from 2016 onwards that examine loneliness, social isolation, social connection or related health outcomes among older adults in England; compare how the studies define and measure these concepts; organise findings into cross-study themes; critically evaluate methodological strengths and limitations; and develop evidence-informed recommendations for research, policy and health and social care practice (</w:t>
      </w:r>
      <w:proofErr w:type="spellStart"/>
      <w:r w:rsidRPr="000E3CA9">
        <w:rPr>
          <w:rFonts w:ascii="Arial" w:hAnsi="Arial" w:cs="Arial"/>
        </w:rPr>
        <w:t>Tricco</w:t>
      </w:r>
      <w:proofErr w:type="spellEnd"/>
      <w:r w:rsidRPr="000E3CA9">
        <w:rPr>
          <w:rFonts w:ascii="Arial" w:hAnsi="Arial" w:cs="Arial"/>
        </w:rPr>
        <w:t xml:space="preserve"> et al., 2018; Peters et al., 2020).</w:t>
      </w:r>
    </w:p>
    <w:p w14:paraId="168956C8" w14:textId="77777777" w:rsidR="000E3CA9" w:rsidRPr="000E3CA9" w:rsidRDefault="000E3CA9" w:rsidP="000E3CA9">
      <w:pPr>
        <w:pStyle w:val="Heading3"/>
      </w:pPr>
      <w:bookmarkStart w:id="1" w:name="_Toc237607427"/>
      <w:r w:rsidRPr="000E3CA9">
        <w:lastRenderedPageBreak/>
        <w:t>2. Background</w:t>
      </w:r>
      <w:bookmarkEnd w:id="1"/>
    </w:p>
    <w:p w14:paraId="2DD2F200"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Loneliness and social isolation are increasingly recognised as public-health and social-care concerns because social relationships are associated with psychological wellbeing, physical functioning and use of health services (Prohaska et al., 2020; Eager et al., 2025). The evidence nevertheless requires conceptual precision. </w:t>
      </w:r>
      <w:proofErr w:type="spellStart"/>
      <w:r w:rsidRPr="000E3CA9">
        <w:rPr>
          <w:rFonts w:ascii="Arial" w:hAnsi="Arial" w:cs="Arial"/>
        </w:rPr>
        <w:t>Valtorta</w:t>
      </w:r>
      <w:proofErr w:type="spellEnd"/>
      <w:r w:rsidRPr="000E3CA9">
        <w:rPr>
          <w:rFonts w:ascii="Arial" w:hAnsi="Arial" w:cs="Arial"/>
        </w:rPr>
        <w:t xml:space="preserve"> et al. (2016) showed that measurement tools cover structural, functional and subjective dimensions of social relationships, meaning that apparently similar studies can assess different exposures. International evidence also suggests cumulative disadvantage when loneliness and objective isolation coexist; Barnes et al. (2022) reported poorer health profiles and greater emergency-service use among older adults experiencing both. This measurement diversity helps explain why intervention outcomes and effect estimates are difficult to compare directly (</w:t>
      </w:r>
      <w:proofErr w:type="spellStart"/>
      <w:r w:rsidRPr="000E3CA9">
        <w:rPr>
          <w:rFonts w:ascii="Arial" w:hAnsi="Arial" w:cs="Arial"/>
        </w:rPr>
        <w:t>Valtorta</w:t>
      </w:r>
      <w:proofErr w:type="spellEnd"/>
      <w:r w:rsidRPr="000E3CA9">
        <w:rPr>
          <w:rFonts w:ascii="Arial" w:hAnsi="Arial" w:cs="Arial"/>
        </w:rPr>
        <w:t xml:space="preserve"> et al., 2016; Prohaska et al., 2020).</w:t>
      </w:r>
    </w:p>
    <w:p w14:paraId="109ABE73" w14:textId="77777777" w:rsidR="000E3CA9" w:rsidRPr="000E3CA9" w:rsidRDefault="000E3CA9" w:rsidP="000E3CA9">
      <w:pPr>
        <w:spacing w:line="360" w:lineRule="auto"/>
        <w:jc w:val="both"/>
        <w:rPr>
          <w:rFonts w:ascii="Arial" w:hAnsi="Arial" w:cs="Arial"/>
        </w:rPr>
      </w:pPr>
      <w:r w:rsidRPr="000E3CA9">
        <w:rPr>
          <w:rFonts w:ascii="Arial" w:hAnsi="Arial" w:cs="Arial"/>
        </w:rPr>
        <w:t>The English policy context has increasingly acknowledged loneliness as a cross-sector issue. The national loneliness strategy positioned social connection as a matter extending beyond health services to communities, transport and civic participation (HM Government, 2018). NHS England’s personalised care model likewise promoted social prescribing as a mechanism for connecting people with non-clinical community resources when social circumstances contribute to health needs (NHS England, 2019). These approaches are relevant to older adults because barriers to participation may arise from mobility limitations, bereavement, retirement, caring responsibilities, financial pressures or reduced access to transport and local services (Reinhard et al., 2018; Prohaska et al., 2020).</w:t>
      </w:r>
    </w:p>
    <w:p w14:paraId="1B88EA17" w14:textId="77777777" w:rsidR="000E3CA9" w:rsidRPr="000E3CA9" w:rsidRDefault="000E3CA9" w:rsidP="000E3CA9">
      <w:pPr>
        <w:spacing w:line="360" w:lineRule="auto"/>
        <w:jc w:val="both"/>
        <w:rPr>
          <w:rFonts w:ascii="Arial" w:hAnsi="Arial" w:cs="Arial"/>
        </w:rPr>
      </w:pPr>
      <w:r w:rsidRPr="000E3CA9">
        <w:rPr>
          <w:rFonts w:ascii="Arial" w:hAnsi="Arial" w:cs="Arial"/>
        </w:rPr>
        <w:t>Evidence on social prescribing is promising but heterogeneous. Reviews suggest potential reductions in loneliness, but intervention content, study quality and follow-up vary, limiting confidence that referral alone is sufficient (Reinhardt and Vidovic, 2021; Galvez-Hernandez et al., 2022). Services should therefore match support to the mechanism of disconnection and evaluate outcomes rather than referral volume.</w:t>
      </w:r>
    </w:p>
    <w:p w14:paraId="6E89438D" w14:textId="77777777" w:rsidR="000E3CA9" w:rsidRPr="000E3CA9" w:rsidRDefault="000E3CA9" w:rsidP="000E3CA9">
      <w:pPr>
        <w:spacing w:line="360" w:lineRule="auto"/>
        <w:jc w:val="both"/>
        <w:rPr>
          <w:rFonts w:ascii="Arial" w:hAnsi="Arial" w:cs="Arial"/>
        </w:rPr>
      </w:pPr>
      <w:r w:rsidRPr="000E3CA9">
        <w:rPr>
          <w:rFonts w:ascii="Arial" w:hAnsi="Arial" w:cs="Arial"/>
        </w:rPr>
        <w:t>Digital communication may support connection when face-to-face contact is difficult, but effects vary with access, literacy and intervention design (</w:t>
      </w:r>
      <w:proofErr w:type="spellStart"/>
      <w:r w:rsidRPr="000E3CA9">
        <w:rPr>
          <w:rFonts w:ascii="Arial" w:hAnsi="Arial" w:cs="Arial"/>
        </w:rPr>
        <w:t>Bałki</w:t>
      </w:r>
      <w:proofErr w:type="spellEnd"/>
      <w:r w:rsidRPr="000E3CA9">
        <w:rPr>
          <w:rFonts w:ascii="Arial" w:hAnsi="Arial" w:cs="Arial"/>
        </w:rPr>
        <w:t xml:space="preserve"> et al., 2022). A digital-first response can therefore exclude people lacking devices, connectivity, confidence or accessible interfaces. Culture, migration history, language and family structure can also shape loneliness and support preferences, reinforcing the need for culturally responsive provision (Joshi et al., 2024).</w:t>
      </w:r>
    </w:p>
    <w:p w14:paraId="22F17834" w14:textId="77777777" w:rsidR="000E3CA9" w:rsidRPr="000E3CA9" w:rsidRDefault="000E3CA9" w:rsidP="000E3CA9">
      <w:pPr>
        <w:pStyle w:val="Heading3"/>
      </w:pPr>
      <w:bookmarkStart w:id="2" w:name="_Toc237607428"/>
      <w:r w:rsidRPr="000E3CA9">
        <w:lastRenderedPageBreak/>
        <w:t>3. Methods</w:t>
      </w:r>
      <w:bookmarkEnd w:id="2"/>
    </w:p>
    <w:p w14:paraId="249D1FA9" w14:textId="77777777" w:rsidR="000E3CA9" w:rsidRPr="000E3CA9" w:rsidRDefault="000E3CA9" w:rsidP="000E3CA9">
      <w:pPr>
        <w:pStyle w:val="Heading4"/>
      </w:pPr>
      <w:r w:rsidRPr="000E3CA9">
        <w:t>3.1 Review design</w:t>
      </w:r>
    </w:p>
    <w:p w14:paraId="3AD455C9"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A scoping review design was used because the aim was to map the nature and range of evidence rather than estimate a single pooled treatment effect. Scoping reviews are </w:t>
      </w:r>
      <w:proofErr w:type="gramStart"/>
      <w:r w:rsidRPr="000E3CA9">
        <w:rPr>
          <w:rFonts w:ascii="Arial" w:hAnsi="Arial" w:cs="Arial"/>
        </w:rPr>
        <w:t>appropriate when</w:t>
      </w:r>
      <w:proofErr w:type="gramEnd"/>
      <w:r w:rsidRPr="000E3CA9">
        <w:rPr>
          <w:rFonts w:ascii="Arial" w:hAnsi="Arial" w:cs="Arial"/>
        </w:rPr>
        <w:t xml:space="preserve"> concepts are heterogeneous, study designs differ and the purpose includes </w:t>
      </w:r>
      <w:proofErr w:type="gramStart"/>
      <w:r w:rsidRPr="000E3CA9">
        <w:rPr>
          <w:rFonts w:ascii="Arial" w:hAnsi="Arial" w:cs="Arial"/>
        </w:rPr>
        <w:t>identifying</w:t>
      </w:r>
      <w:proofErr w:type="gramEnd"/>
      <w:r w:rsidRPr="000E3CA9">
        <w:rPr>
          <w:rFonts w:ascii="Arial" w:hAnsi="Arial" w:cs="Arial"/>
        </w:rPr>
        <w:t xml:space="preserve"> gaps, clarifying terminology and examining how research has been conducted (</w:t>
      </w:r>
      <w:proofErr w:type="spellStart"/>
      <w:r w:rsidRPr="000E3CA9">
        <w:rPr>
          <w:rFonts w:ascii="Arial" w:hAnsi="Arial" w:cs="Arial"/>
        </w:rPr>
        <w:t>Tricco</w:t>
      </w:r>
      <w:proofErr w:type="spellEnd"/>
      <w:r w:rsidRPr="000E3CA9">
        <w:rPr>
          <w:rFonts w:ascii="Arial" w:hAnsi="Arial" w:cs="Arial"/>
        </w:rPr>
        <w:t xml:space="preserve"> et al., 2018; Peters et al., 2020). Reporting was informed by PRISMA-</w:t>
      </w:r>
      <w:proofErr w:type="spellStart"/>
      <w:r w:rsidRPr="000E3CA9">
        <w:rPr>
          <w:rFonts w:ascii="Arial" w:hAnsi="Arial" w:cs="Arial"/>
        </w:rPr>
        <w:t>ScR</w:t>
      </w:r>
      <w:proofErr w:type="spellEnd"/>
      <w:r w:rsidRPr="000E3CA9">
        <w:rPr>
          <w:rFonts w:ascii="Arial" w:hAnsi="Arial" w:cs="Arial"/>
        </w:rPr>
        <w:t>, which emphasises transparency in eligibility criteria, information sources, study selection and presentation of results (</w:t>
      </w:r>
      <w:proofErr w:type="spellStart"/>
      <w:r w:rsidRPr="000E3CA9">
        <w:rPr>
          <w:rFonts w:ascii="Arial" w:hAnsi="Arial" w:cs="Arial"/>
        </w:rPr>
        <w:t>Tricco</w:t>
      </w:r>
      <w:proofErr w:type="spellEnd"/>
      <w:r w:rsidRPr="000E3CA9">
        <w:rPr>
          <w:rFonts w:ascii="Arial" w:hAnsi="Arial" w:cs="Arial"/>
        </w:rPr>
        <w:t xml:space="preserve"> et al., 2018).</w:t>
      </w:r>
    </w:p>
    <w:p w14:paraId="7EEBCD1E" w14:textId="77777777" w:rsidR="000E3CA9" w:rsidRPr="000E3CA9" w:rsidRDefault="000E3CA9" w:rsidP="000E3CA9">
      <w:pPr>
        <w:spacing w:line="360" w:lineRule="auto"/>
        <w:jc w:val="both"/>
        <w:rPr>
          <w:rFonts w:ascii="Arial" w:hAnsi="Arial" w:cs="Arial"/>
        </w:rPr>
      </w:pPr>
      <w:r w:rsidRPr="000E3CA9">
        <w:rPr>
          <w:rFonts w:ascii="Arial" w:hAnsi="Arial" w:cs="Arial"/>
        </w:rPr>
        <w:t>Critical appraisal is not always compulsory in scoping reviews because their primary purpose is evidence mapping rather than formal certainty grading (Peters et al., 2020). Nevertheless, methodological strengths and limitations were examined because the assignment requires evaluation and because study design affects how confidently findings can inform practice (Khalil et al., 2021). Appraisal therefore focused on sampling, measurement, temporal ordering, confounding, representativeness, context and the appropriateness of causal interpretation rather than assigning a numerical quality score (Khalil et al., 2021).</w:t>
      </w:r>
    </w:p>
    <w:p w14:paraId="3728F494" w14:textId="77777777" w:rsidR="000E3CA9" w:rsidRPr="000E3CA9" w:rsidRDefault="000E3CA9" w:rsidP="000E3CA9">
      <w:pPr>
        <w:pStyle w:val="Heading4"/>
      </w:pPr>
      <w:r w:rsidRPr="000E3CA9">
        <w:t>3.2 Eligibility criteria</w:t>
      </w:r>
    </w:p>
    <w:p w14:paraId="393BB532"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Eligibility was organised using the Population–Concept–Context framework recommended for scoping reviews (Peters et al., 2020). The population was adults aged 50 years and over; the concept was loneliness, social isolation, social connection or social engagement in relation to health or wellbeing; and the context was England or evidence with clear relevance to English health and social care practice. The analytical sample was limited to peer-reviewed primary or secondary research articles published from 2016 onwards so that the review reflected contemporary evidence while </w:t>
      </w:r>
      <w:proofErr w:type="gramStart"/>
      <w:r w:rsidRPr="000E3CA9">
        <w:rPr>
          <w:rFonts w:ascii="Arial" w:hAnsi="Arial" w:cs="Arial"/>
        </w:rPr>
        <w:t>remaining</w:t>
      </w:r>
      <w:proofErr w:type="gramEnd"/>
      <w:r w:rsidRPr="000E3CA9">
        <w:rPr>
          <w:rFonts w:ascii="Arial" w:hAnsi="Arial" w:cs="Arial"/>
        </w:rPr>
        <w:t xml:space="preserve"> manageable within the assignment scope (</w:t>
      </w:r>
      <w:proofErr w:type="spellStart"/>
      <w:r w:rsidRPr="000E3CA9">
        <w:rPr>
          <w:rFonts w:ascii="Arial" w:hAnsi="Arial" w:cs="Arial"/>
        </w:rPr>
        <w:t>Tricco</w:t>
      </w:r>
      <w:proofErr w:type="spellEnd"/>
      <w:r w:rsidRPr="000E3CA9">
        <w:rPr>
          <w:rFonts w:ascii="Arial" w:hAnsi="Arial" w:cs="Arial"/>
        </w:rPr>
        <w:t xml:space="preserve"> et al., 2018; Peters et al., 2020).</w:t>
      </w:r>
    </w:p>
    <w:p w14:paraId="42A31A6D" w14:textId="77777777" w:rsidR="000E3CA9" w:rsidRPr="000E3CA9" w:rsidRDefault="000E3CA9" w:rsidP="000E3CA9">
      <w:pPr>
        <w:spacing w:line="360" w:lineRule="auto"/>
        <w:jc w:val="both"/>
        <w:rPr>
          <w:rFonts w:ascii="Arial" w:hAnsi="Arial" w:cs="Arial"/>
        </w:rPr>
      </w:pPr>
      <w:r w:rsidRPr="000E3CA9">
        <w:rPr>
          <w:rFonts w:ascii="Arial" w:hAnsi="Arial" w:cs="Arial"/>
        </w:rPr>
        <w:t>Articles were eligible when they examined mental health, physical health, frailty, wellbeing or social functioning and provided findings relevant to older adults in England. Policy papers, guidance, editorials, commentaries and conference proceedings were excluded from the analytical study set because the assignment requires peer-reviewed research studies for the scoping review. Such sources were used only in the background where they contributed relevant policy or practice context. Studies focused exclusively on children, adolescents or younger adults, and papers mentioning loneliness without analysing it or a related social-connection construct, were excluded.</w:t>
      </w:r>
    </w:p>
    <w:p w14:paraId="0639AA95" w14:textId="77777777" w:rsidR="000E3CA9" w:rsidRPr="000E3CA9" w:rsidRDefault="000E3CA9" w:rsidP="000E3CA9">
      <w:pPr>
        <w:pStyle w:val="Heading4"/>
      </w:pPr>
      <w:r w:rsidRPr="000E3CA9">
        <w:lastRenderedPageBreak/>
        <w:t>3.3 Search strategy and study selection</w:t>
      </w:r>
    </w:p>
    <w:p w14:paraId="6D51C794" w14:textId="77777777" w:rsidR="000E3CA9" w:rsidRPr="000E3CA9" w:rsidRDefault="000E3CA9" w:rsidP="000E3CA9">
      <w:pPr>
        <w:spacing w:line="360" w:lineRule="auto"/>
        <w:jc w:val="both"/>
        <w:rPr>
          <w:rFonts w:ascii="Arial" w:hAnsi="Arial" w:cs="Arial"/>
        </w:rPr>
      </w:pPr>
      <w:r w:rsidRPr="000E3CA9">
        <w:rPr>
          <w:rFonts w:ascii="Arial" w:hAnsi="Arial" w:cs="Arial"/>
        </w:rPr>
        <w:t>A structured literature search was undertaken using PubMed and Google Scholar, supplemented by targeted publisher searches and reference-list checking. The final supplementary search was conducted on 14 August 2026. Four concept blocks guided the strategy: social connection, older age, geographical context and health outcomes. The core terms were loneliness, social isolation, social connection, social engagement, older adults, ageing, England, United Kingdom, health, wellbeing, depression, anxiety and frailty. Searches were restricted to English-language, peer-reviewed research published from 2016 onwards and relevant to adults aged 50 years and over in England. This approach followed PRISMA-</w:t>
      </w:r>
      <w:proofErr w:type="spellStart"/>
      <w:r w:rsidRPr="000E3CA9">
        <w:rPr>
          <w:rFonts w:ascii="Arial" w:hAnsi="Arial" w:cs="Arial"/>
        </w:rPr>
        <w:t>ScR</w:t>
      </w:r>
      <w:proofErr w:type="spellEnd"/>
      <w:r w:rsidRPr="000E3CA9">
        <w:rPr>
          <w:rFonts w:ascii="Arial" w:hAnsi="Arial" w:cs="Arial"/>
        </w:rPr>
        <w:t xml:space="preserve"> and JBI principles for rigorous reproducible scoping-review searching methods (</w:t>
      </w:r>
      <w:proofErr w:type="spellStart"/>
      <w:r w:rsidRPr="000E3CA9">
        <w:rPr>
          <w:rFonts w:ascii="Arial" w:hAnsi="Arial" w:cs="Arial"/>
        </w:rPr>
        <w:t>Tricco</w:t>
      </w:r>
      <w:proofErr w:type="spellEnd"/>
      <w:r w:rsidRPr="000E3CA9">
        <w:rPr>
          <w:rFonts w:ascii="Arial" w:hAnsi="Arial" w:cs="Arial"/>
        </w:rPr>
        <w:t xml:space="preserve"> et al., 2018; Peters et al., 2020).</w:t>
      </w:r>
    </w:p>
    <w:p w14:paraId="75627478" w14:textId="77777777" w:rsidR="000E3CA9" w:rsidRPr="000E3CA9" w:rsidRDefault="000E3CA9" w:rsidP="000E3CA9">
      <w:pPr>
        <w:pStyle w:val="Heading2"/>
        <w:spacing w:line="360" w:lineRule="auto"/>
        <w:jc w:val="both"/>
        <w:rPr>
          <w:rFonts w:ascii="Arial" w:eastAsiaTheme="minorEastAsia" w:hAnsi="Arial" w:cs="Arial"/>
          <w:b/>
          <w:bCs/>
          <w:color w:val="auto"/>
          <w:sz w:val="22"/>
          <w:szCs w:val="22"/>
        </w:rPr>
      </w:pPr>
      <w:bookmarkStart w:id="3" w:name="_Toc237607429"/>
      <w:r w:rsidRPr="000E3CA9">
        <w:rPr>
          <w:rFonts w:ascii="Arial" w:eastAsiaTheme="minorEastAsia" w:hAnsi="Arial" w:cs="Arial"/>
          <w:color w:val="auto"/>
          <w:sz w:val="22"/>
          <w:szCs w:val="22"/>
        </w:rPr>
        <w:t xml:space="preserve">Titles and abstracts were screened against the predefined eligibility criteria before potentially relevant articles underwent full-text assessment. Studies were excluded if they did not focus on adults aged 50 years and over, did not examine loneliness, social isolation, social connection or social engagement in relation to health or wellbeing, lacked relevance to England, or were policy documents, editorials, commentaries or conference proceedings. Four studies met the criteria and were </w:t>
      </w:r>
      <w:proofErr w:type="gramStart"/>
      <w:r w:rsidRPr="000E3CA9">
        <w:rPr>
          <w:rFonts w:ascii="Arial" w:eastAsiaTheme="minorEastAsia" w:hAnsi="Arial" w:cs="Arial"/>
          <w:color w:val="auto"/>
          <w:sz w:val="22"/>
          <w:szCs w:val="22"/>
        </w:rPr>
        <w:t>retained</w:t>
      </w:r>
      <w:proofErr w:type="gramEnd"/>
      <w:r w:rsidRPr="000E3CA9">
        <w:rPr>
          <w:rFonts w:ascii="Arial" w:eastAsiaTheme="minorEastAsia" w:hAnsi="Arial" w:cs="Arial"/>
          <w:color w:val="auto"/>
          <w:sz w:val="22"/>
          <w:szCs w:val="22"/>
        </w:rPr>
        <w:t>: Reinhard et al. (2018), Robb et al. (2020), Davies et al. (2021), and Bu and Fancourt (2024). Their contrasting designs supported thematic comparison across psychological, physical and structural dimensions while making quantitative pooling inappropriate across the final included evidence base.</w:t>
      </w:r>
      <w:bookmarkEnd w:id="3"/>
    </w:p>
    <w:p w14:paraId="5D1B1B99" w14:textId="77777777" w:rsidR="000E3CA9" w:rsidRPr="000E3CA9" w:rsidRDefault="000E3CA9" w:rsidP="000E3CA9">
      <w:pPr>
        <w:pStyle w:val="Heading4"/>
      </w:pPr>
      <w:r w:rsidRPr="000E3CA9">
        <w:t>3.4 Data extraction and thematic analysis</w:t>
      </w:r>
    </w:p>
    <w:p w14:paraId="73FEAE18" w14:textId="77777777" w:rsidR="000E3CA9" w:rsidRPr="000E3CA9" w:rsidRDefault="000E3CA9" w:rsidP="000E3CA9">
      <w:pPr>
        <w:spacing w:line="360" w:lineRule="auto"/>
        <w:jc w:val="both"/>
        <w:rPr>
          <w:rFonts w:ascii="Arial" w:hAnsi="Arial" w:cs="Arial"/>
        </w:rPr>
      </w:pPr>
      <w:r w:rsidRPr="000E3CA9">
        <w:rPr>
          <w:rFonts w:ascii="Arial" w:hAnsi="Arial" w:cs="Arial"/>
        </w:rPr>
        <w:t>A structured extraction matrix was used to record author and year, setting, design, sample, exposure or social-connection measure, outcome, principal findings, strengths, limitations and relevance to UK practice (Peters et al., 2020). Extracting the same categories from each study supported systematic comparison and reduced the risk of discussing studies selectively. Because the included papers used different designs and outcomes, synthesis focused on the direction, consistency and interpretation of findings rather than treating effect estimates as directly comparable (Khalil et al., 2021).</w:t>
      </w:r>
    </w:p>
    <w:p w14:paraId="0C69D60B" w14:textId="77777777" w:rsidR="000E3CA9" w:rsidRPr="000E3CA9" w:rsidRDefault="000E3CA9" w:rsidP="000E3CA9">
      <w:pPr>
        <w:spacing w:line="360" w:lineRule="auto"/>
        <w:jc w:val="both"/>
        <w:rPr>
          <w:rFonts w:ascii="Arial" w:hAnsi="Arial" w:cs="Arial"/>
        </w:rPr>
      </w:pPr>
      <w:r w:rsidRPr="000E3CA9">
        <w:rPr>
          <w:rFonts w:ascii="Arial" w:hAnsi="Arial" w:cs="Arial"/>
        </w:rPr>
        <w:t>The findings were synthesised thematically. Initial codes were generated from recurring ideas in the results and interpretations of the four studies, including subjective versus objective connection, psychological vulnerability, physical vulnerability, environmental opportunity and multidimensional patterns of relationships. Related codes were then grouped into four themes that directly addressed the review question. This process was informed by reflexive thematic analysis, which treats themes as interpretive patterns rather than simple frequency counts (Braun and Clarke, 2019).</w:t>
      </w:r>
    </w:p>
    <w:p w14:paraId="53451945" w14:textId="77777777" w:rsidR="000E3CA9" w:rsidRPr="000E3CA9" w:rsidRDefault="000E3CA9" w:rsidP="000E3CA9">
      <w:pPr>
        <w:pStyle w:val="Heading4"/>
      </w:pPr>
      <w:r w:rsidRPr="000E3CA9">
        <w:lastRenderedPageBreak/>
        <w:t>3.5 Ethical considerations</w:t>
      </w:r>
    </w:p>
    <w:p w14:paraId="1CE74B87"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The review used published evidence and did not involve recruitment, intervention or access to identifiable participant data. Formal participant consent was therefore not </w:t>
      </w:r>
      <w:proofErr w:type="gramStart"/>
      <w:r w:rsidRPr="000E3CA9">
        <w:rPr>
          <w:rFonts w:ascii="Arial" w:hAnsi="Arial" w:cs="Arial"/>
        </w:rPr>
        <w:t>required</w:t>
      </w:r>
      <w:proofErr w:type="gramEnd"/>
      <w:r w:rsidRPr="000E3CA9">
        <w:rPr>
          <w:rFonts w:ascii="Arial" w:hAnsi="Arial" w:cs="Arial"/>
        </w:rPr>
        <w:t xml:space="preserve"> for this secondary review. Ethical responsibility centred on </w:t>
      </w:r>
      <w:proofErr w:type="gramStart"/>
      <w:r w:rsidRPr="000E3CA9">
        <w:rPr>
          <w:rFonts w:ascii="Arial" w:hAnsi="Arial" w:cs="Arial"/>
        </w:rPr>
        <w:t>accurate</w:t>
      </w:r>
      <w:proofErr w:type="gramEnd"/>
      <w:r w:rsidRPr="000E3CA9">
        <w:rPr>
          <w:rFonts w:ascii="Arial" w:hAnsi="Arial" w:cs="Arial"/>
        </w:rPr>
        <w:t xml:space="preserve"> attribution, faithful representation of findings, transparent distinction between association and causation, and avoidance of fabricated data or overstatement (Peters et al., 2020). </w:t>
      </w:r>
      <w:proofErr w:type="gramStart"/>
      <w:r w:rsidRPr="000E3CA9">
        <w:rPr>
          <w:rFonts w:ascii="Arial" w:hAnsi="Arial" w:cs="Arial"/>
        </w:rPr>
        <w:t>Particular care</w:t>
      </w:r>
      <w:proofErr w:type="gramEnd"/>
      <w:r w:rsidRPr="000E3CA9">
        <w:rPr>
          <w:rFonts w:ascii="Arial" w:hAnsi="Arial" w:cs="Arial"/>
        </w:rPr>
        <w:t xml:space="preserve"> was taken not to imply that loneliness is an inevitable feature of ageing or that all older adults have identical social needs, because such assumptions can reinforce stigma and obscure individual preferences (Prohaska et al., 2020).</w:t>
      </w:r>
    </w:p>
    <w:p w14:paraId="70493D40" w14:textId="77777777" w:rsidR="000E3CA9" w:rsidRPr="000E3CA9" w:rsidRDefault="000E3CA9" w:rsidP="000E3CA9">
      <w:pPr>
        <w:pStyle w:val="Heading3"/>
      </w:pPr>
      <w:bookmarkStart w:id="4" w:name="_Toc237607430"/>
      <w:r w:rsidRPr="000E3CA9">
        <w:t>4. Results</w:t>
      </w:r>
      <w:bookmarkEnd w:id="4"/>
    </w:p>
    <w:p w14:paraId="44BFBDD4" w14:textId="77777777" w:rsidR="000E3CA9" w:rsidRPr="000E3CA9" w:rsidRDefault="000E3CA9" w:rsidP="000E3CA9">
      <w:pPr>
        <w:spacing w:line="360" w:lineRule="auto"/>
        <w:jc w:val="both"/>
        <w:rPr>
          <w:rFonts w:ascii="Arial" w:hAnsi="Arial" w:cs="Arial"/>
        </w:rPr>
      </w:pPr>
      <w:r w:rsidRPr="000E3CA9">
        <w:rPr>
          <w:rFonts w:ascii="Arial" w:hAnsi="Arial" w:cs="Arial"/>
        </w:rPr>
        <w:t>Four peer-reviewed studies met the focused inclusion criteria and were synthesised: Reinhard et al. (2018), Robb et al. (2020), Davies et al. (2021), and Bu and Fancourt (2024). Collectively, the studies examined transport-enabled social engagement, loneliness and mental health during COVID-19 restrictions, longitudinal relationships between social disconnection and frailty, and multidimensional patterns of social connection among older adults in England. The studies were heterogeneous in design and outcome, so the results are best interpreted as complementary rather than directly comparable estimates.</w:t>
      </w:r>
    </w:p>
    <w:p w14:paraId="0AE25858" w14:textId="77777777" w:rsidR="000E3CA9" w:rsidRPr="000E3CA9" w:rsidRDefault="000E3CA9" w:rsidP="000E3CA9">
      <w:pPr>
        <w:pStyle w:val="Heading4"/>
      </w:pPr>
      <w:r w:rsidRPr="000E3CA9">
        <w:t>4.1 Characteristics and critical appraisal of included studies</w:t>
      </w:r>
    </w:p>
    <w:tbl>
      <w:tblPr>
        <w:tblStyle w:val="TableGrid"/>
        <w:tblW w:w="0" w:type="auto"/>
        <w:jc w:val="center"/>
        <w:tblLook w:val="04A0" w:firstRow="1" w:lastRow="0" w:firstColumn="1" w:lastColumn="0" w:noHBand="0" w:noVBand="1"/>
      </w:tblPr>
      <w:tblGrid>
        <w:gridCol w:w="1390"/>
        <w:gridCol w:w="2420"/>
        <w:gridCol w:w="2531"/>
        <w:gridCol w:w="2675"/>
      </w:tblGrid>
      <w:tr w:rsidR="000E3CA9" w:rsidRPr="000E3CA9" w14:paraId="4758CE2B" w14:textId="77777777" w:rsidTr="006D2EB1">
        <w:trPr>
          <w:tblHeader/>
          <w:jc w:val="center"/>
        </w:trPr>
        <w:tc>
          <w:tcPr>
            <w:tcW w:w="1656" w:type="dxa"/>
            <w:vAlign w:val="center"/>
          </w:tcPr>
          <w:p w14:paraId="2863D1C8" w14:textId="77777777" w:rsidR="000E3CA9" w:rsidRPr="000E3CA9" w:rsidRDefault="000E3CA9" w:rsidP="000E3CA9">
            <w:pPr>
              <w:spacing w:after="40" w:line="360" w:lineRule="auto"/>
              <w:jc w:val="both"/>
              <w:rPr>
                <w:rFonts w:ascii="Arial" w:hAnsi="Arial" w:cs="Arial"/>
              </w:rPr>
            </w:pPr>
            <w:r w:rsidRPr="000E3CA9">
              <w:rPr>
                <w:rFonts w:ascii="Arial" w:hAnsi="Arial" w:cs="Arial"/>
                <w:b/>
              </w:rPr>
              <w:t>Study</w:t>
            </w:r>
          </w:p>
        </w:tc>
        <w:tc>
          <w:tcPr>
            <w:tcW w:w="2952" w:type="dxa"/>
            <w:vAlign w:val="center"/>
          </w:tcPr>
          <w:p w14:paraId="1873A6C6" w14:textId="77777777" w:rsidR="000E3CA9" w:rsidRPr="000E3CA9" w:rsidRDefault="000E3CA9" w:rsidP="000E3CA9">
            <w:pPr>
              <w:spacing w:after="40" w:line="360" w:lineRule="auto"/>
              <w:jc w:val="both"/>
              <w:rPr>
                <w:rFonts w:ascii="Arial" w:hAnsi="Arial" w:cs="Arial"/>
              </w:rPr>
            </w:pPr>
            <w:r w:rsidRPr="000E3CA9">
              <w:rPr>
                <w:rFonts w:ascii="Arial" w:hAnsi="Arial" w:cs="Arial"/>
                <w:b/>
              </w:rPr>
              <w:t>Design and sample</w:t>
            </w:r>
          </w:p>
        </w:tc>
        <w:tc>
          <w:tcPr>
            <w:tcW w:w="3168" w:type="dxa"/>
            <w:vAlign w:val="center"/>
          </w:tcPr>
          <w:p w14:paraId="27D1A77D" w14:textId="77777777" w:rsidR="000E3CA9" w:rsidRPr="000E3CA9" w:rsidRDefault="000E3CA9" w:rsidP="000E3CA9">
            <w:pPr>
              <w:spacing w:after="40" w:line="360" w:lineRule="auto"/>
              <w:jc w:val="both"/>
              <w:rPr>
                <w:rFonts w:ascii="Arial" w:hAnsi="Arial" w:cs="Arial"/>
              </w:rPr>
            </w:pPr>
            <w:r w:rsidRPr="000E3CA9">
              <w:rPr>
                <w:rFonts w:ascii="Arial" w:hAnsi="Arial" w:cs="Arial"/>
                <w:b/>
              </w:rPr>
              <w:t>Main finding</w:t>
            </w:r>
          </w:p>
        </w:tc>
        <w:tc>
          <w:tcPr>
            <w:tcW w:w="3240" w:type="dxa"/>
            <w:vAlign w:val="center"/>
          </w:tcPr>
          <w:p w14:paraId="31132AAC" w14:textId="77777777" w:rsidR="000E3CA9" w:rsidRPr="000E3CA9" w:rsidRDefault="000E3CA9" w:rsidP="000E3CA9">
            <w:pPr>
              <w:spacing w:after="40" w:line="360" w:lineRule="auto"/>
              <w:jc w:val="both"/>
              <w:rPr>
                <w:rFonts w:ascii="Arial" w:hAnsi="Arial" w:cs="Arial"/>
              </w:rPr>
            </w:pPr>
            <w:r w:rsidRPr="000E3CA9">
              <w:rPr>
                <w:rFonts w:ascii="Arial" w:hAnsi="Arial" w:cs="Arial"/>
                <w:b/>
              </w:rPr>
              <w:t>Critical appraisal</w:t>
            </w:r>
          </w:p>
        </w:tc>
      </w:tr>
      <w:tr w:rsidR="000E3CA9" w:rsidRPr="000E3CA9" w14:paraId="04D02204" w14:textId="77777777" w:rsidTr="006D2EB1">
        <w:trPr>
          <w:jc w:val="center"/>
        </w:trPr>
        <w:tc>
          <w:tcPr>
            <w:tcW w:w="1656" w:type="dxa"/>
            <w:vAlign w:val="center"/>
          </w:tcPr>
          <w:p w14:paraId="34EA1E9D" w14:textId="77777777" w:rsidR="000E3CA9" w:rsidRPr="000E3CA9" w:rsidRDefault="000E3CA9" w:rsidP="000E3CA9">
            <w:pPr>
              <w:spacing w:after="40" w:line="360" w:lineRule="auto"/>
              <w:jc w:val="both"/>
              <w:rPr>
                <w:rFonts w:ascii="Arial" w:hAnsi="Arial" w:cs="Arial"/>
              </w:rPr>
            </w:pPr>
            <w:r w:rsidRPr="000E3CA9">
              <w:rPr>
                <w:rFonts w:ascii="Arial" w:hAnsi="Arial" w:cs="Arial"/>
              </w:rPr>
              <w:t>Reinhard et al. (2018)</w:t>
            </w:r>
          </w:p>
        </w:tc>
        <w:tc>
          <w:tcPr>
            <w:tcW w:w="2952" w:type="dxa"/>
            <w:vAlign w:val="center"/>
          </w:tcPr>
          <w:p w14:paraId="14A54275" w14:textId="77777777" w:rsidR="000E3CA9" w:rsidRPr="000E3CA9" w:rsidRDefault="000E3CA9" w:rsidP="000E3CA9">
            <w:pPr>
              <w:spacing w:after="40" w:line="360" w:lineRule="auto"/>
              <w:jc w:val="both"/>
              <w:rPr>
                <w:rFonts w:ascii="Arial" w:hAnsi="Arial" w:cs="Arial"/>
              </w:rPr>
            </w:pPr>
            <w:r w:rsidRPr="000E3CA9">
              <w:rPr>
                <w:rFonts w:ascii="Arial" w:hAnsi="Arial" w:cs="Arial"/>
              </w:rPr>
              <w:t>Quasi-experimental instrumental-variable analysis of free bus travel eligibility in England.</w:t>
            </w:r>
          </w:p>
        </w:tc>
        <w:tc>
          <w:tcPr>
            <w:tcW w:w="3168" w:type="dxa"/>
            <w:vAlign w:val="center"/>
          </w:tcPr>
          <w:p w14:paraId="22F338AE" w14:textId="77777777" w:rsidR="000E3CA9" w:rsidRPr="000E3CA9" w:rsidRDefault="000E3CA9" w:rsidP="000E3CA9">
            <w:pPr>
              <w:spacing w:after="40" w:line="360" w:lineRule="auto"/>
              <w:jc w:val="both"/>
              <w:rPr>
                <w:rFonts w:ascii="Arial" w:hAnsi="Arial" w:cs="Arial"/>
              </w:rPr>
            </w:pPr>
            <w:r w:rsidRPr="000E3CA9">
              <w:rPr>
                <w:rFonts w:ascii="Arial" w:hAnsi="Arial" w:cs="Arial"/>
              </w:rPr>
              <w:t>Greater public-transport use was associated with higher social engagement, fewer depressive symptoms and less loneliness.</w:t>
            </w:r>
          </w:p>
        </w:tc>
        <w:tc>
          <w:tcPr>
            <w:tcW w:w="3240" w:type="dxa"/>
            <w:vAlign w:val="center"/>
          </w:tcPr>
          <w:p w14:paraId="67D22B33" w14:textId="77777777" w:rsidR="000E3CA9" w:rsidRPr="000E3CA9" w:rsidRDefault="000E3CA9" w:rsidP="000E3CA9">
            <w:pPr>
              <w:spacing w:after="40" w:line="360" w:lineRule="auto"/>
              <w:jc w:val="both"/>
              <w:rPr>
                <w:rFonts w:ascii="Arial" w:hAnsi="Arial" w:cs="Arial"/>
              </w:rPr>
            </w:pPr>
            <w:r w:rsidRPr="000E3CA9">
              <w:rPr>
                <w:rFonts w:ascii="Arial" w:hAnsi="Arial" w:cs="Arial"/>
              </w:rPr>
              <w:t>Stronger causal leverage than ordinary cross-sectional analysis, but conclusions depend on instrumental-variable assumptions and reflect a pre-pandemic transport context.</w:t>
            </w:r>
          </w:p>
        </w:tc>
      </w:tr>
      <w:tr w:rsidR="000E3CA9" w:rsidRPr="000E3CA9" w14:paraId="0440614E" w14:textId="77777777" w:rsidTr="006D2EB1">
        <w:trPr>
          <w:jc w:val="center"/>
        </w:trPr>
        <w:tc>
          <w:tcPr>
            <w:tcW w:w="1656" w:type="dxa"/>
            <w:vAlign w:val="center"/>
          </w:tcPr>
          <w:p w14:paraId="3FB5A8CD" w14:textId="77777777" w:rsidR="000E3CA9" w:rsidRPr="000E3CA9" w:rsidRDefault="000E3CA9" w:rsidP="000E3CA9">
            <w:pPr>
              <w:spacing w:after="40" w:line="360" w:lineRule="auto"/>
              <w:jc w:val="both"/>
              <w:rPr>
                <w:rFonts w:ascii="Arial" w:hAnsi="Arial" w:cs="Arial"/>
              </w:rPr>
            </w:pPr>
            <w:r w:rsidRPr="000E3CA9">
              <w:rPr>
                <w:rFonts w:ascii="Arial" w:hAnsi="Arial" w:cs="Arial"/>
              </w:rPr>
              <w:t>Robb et al. (2020)</w:t>
            </w:r>
          </w:p>
        </w:tc>
        <w:tc>
          <w:tcPr>
            <w:tcW w:w="2952" w:type="dxa"/>
            <w:vAlign w:val="center"/>
          </w:tcPr>
          <w:p w14:paraId="3719A6E7" w14:textId="77777777" w:rsidR="000E3CA9" w:rsidRPr="000E3CA9" w:rsidRDefault="000E3CA9" w:rsidP="000E3CA9">
            <w:pPr>
              <w:spacing w:after="40" w:line="360" w:lineRule="auto"/>
              <w:jc w:val="both"/>
              <w:rPr>
                <w:rFonts w:ascii="Arial" w:hAnsi="Arial" w:cs="Arial"/>
              </w:rPr>
            </w:pPr>
            <w:r w:rsidRPr="000E3CA9">
              <w:rPr>
                <w:rFonts w:ascii="Arial" w:hAnsi="Arial" w:cs="Arial"/>
              </w:rPr>
              <w:t>Cross-sectional rapid-response survey of 7,127 cognitively healthy adults in London; mean age 70.7 years.</w:t>
            </w:r>
          </w:p>
        </w:tc>
        <w:tc>
          <w:tcPr>
            <w:tcW w:w="3168" w:type="dxa"/>
            <w:vAlign w:val="center"/>
          </w:tcPr>
          <w:p w14:paraId="6E24AB01" w14:textId="77777777" w:rsidR="000E3CA9" w:rsidRPr="000E3CA9" w:rsidRDefault="000E3CA9" w:rsidP="000E3CA9">
            <w:pPr>
              <w:spacing w:after="40" w:line="360" w:lineRule="auto"/>
              <w:jc w:val="both"/>
              <w:rPr>
                <w:rFonts w:ascii="Arial" w:hAnsi="Arial" w:cs="Arial"/>
              </w:rPr>
            </w:pPr>
            <w:r w:rsidRPr="000E3CA9">
              <w:rPr>
                <w:rFonts w:ascii="Arial" w:hAnsi="Arial" w:cs="Arial"/>
              </w:rPr>
              <w:t>Subjective loneliness was strongly associated with worsening anxiety and depression during early COVID-19 restrictions.</w:t>
            </w:r>
          </w:p>
        </w:tc>
        <w:tc>
          <w:tcPr>
            <w:tcW w:w="3240" w:type="dxa"/>
            <w:vAlign w:val="center"/>
          </w:tcPr>
          <w:p w14:paraId="0FC14352" w14:textId="77777777" w:rsidR="000E3CA9" w:rsidRPr="000E3CA9" w:rsidRDefault="000E3CA9" w:rsidP="000E3CA9">
            <w:pPr>
              <w:spacing w:after="40" w:line="360" w:lineRule="auto"/>
              <w:jc w:val="both"/>
              <w:rPr>
                <w:rFonts w:ascii="Arial" w:hAnsi="Arial" w:cs="Arial"/>
              </w:rPr>
            </w:pPr>
            <w:r w:rsidRPr="000E3CA9">
              <w:rPr>
                <w:rFonts w:ascii="Arial" w:hAnsi="Arial" w:cs="Arial"/>
              </w:rPr>
              <w:t>Large and timely sample, but volunteer-register recruitment, retrospective self-report and the exceptional lockdown context limit representativeness and causal inference.</w:t>
            </w:r>
          </w:p>
        </w:tc>
      </w:tr>
      <w:tr w:rsidR="000E3CA9" w:rsidRPr="000E3CA9" w14:paraId="4A8561AE" w14:textId="77777777" w:rsidTr="006D2EB1">
        <w:trPr>
          <w:jc w:val="center"/>
        </w:trPr>
        <w:tc>
          <w:tcPr>
            <w:tcW w:w="1656" w:type="dxa"/>
            <w:vAlign w:val="center"/>
          </w:tcPr>
          <w:p w14:paraId="34E1AFE0" w14:textId="77777777" w:rsidR="000E3CA9" w:rsidRPr="000E3CA9" w:rsidRDefault="000E3CA9" w:rsidP="000E3CA9">
            <w:pPr>
              <w:spacing w:after="40" w:line="360" w:lineRule="auto"/>
              <w:jc w:val="both"/>
              <w:rPr>
                <w:rFonts w:ascii="Arial" w:hAnsi="Arial" w:cs="Arial"/>
              </w:rPr>
            </w:pPr>
            <w:r w:rsidRPr="000E3CA9">
              <w:rPr>
                <w:rFonts w:ascii="Arial" w:hAnsi="Arial" w:cs="Arial"/>
              </w:rPr>
              <w:lastRenderedPageBreak/>
              <w:t>Davies et al. (2021)</w:t>
            </w:r>
          </w:p>
        </w:tc>
        <w:tc>
          <w:tcPr>
            <w:tcW w:w="2952" w:type="dxa"/>
            <w:vAlign w:val="center"/>
          </w:tcPr>
          <w:p w14:paraId="5124E33D" w14:textId="77777777" w:rsidR="000E3CA9" w:rsidRPr="000E3CA9" w:rsidRDefault="000E3CA9" w:rsidP="000E3CA9">
            <w:pPr>
              <w:spacing w:after="40" w:line="360" w:lineRule="auto"/>
              <w:jc w:val="both"/>
              <w:rPr>
                <w:rFonts w:ascii="Arial" w:hAnsi="Arial" w:cs="Arial"/>
              </w:rPr>
            </w:pPr>
            <w:r w:rsidRPr="000E3CA9">
              <w:rPr>
                <w:rFonts w:ascii="Arial" w:hAnsi="Arial" w:cs="Arial"/>
              </w:rPr>
              <w:t>Prospective ELSA analysis across waves 2–8 over 14 years; 9,171 participants at baseline.</w:t>
            </w:r>
          </w:p>
        </w:tc>
        <w:tc>
          <w:tcPr>
            <w:tcW w:w="3168" w:type="dxa"/>
            <w:vAlign w:val="center"/>
          </w:tcPr>
          <w:p w14:paraId="0F2E8437" w14:textId="77777777" w:rsidR="000E3CA9" w:rsidRPr="000E3CA9" w:rsidRDefault="000E3CA9" w:rsidP="000E3CA9">
            <w:pPr>
              <w:spacing w:after="40" w:line="360" w:lineRule="auto"/>
              <w:jc w:val="both"/>
              <w:rPr>
                <w:rFonts w:ascii="Arial" w:hAnsi="Arial" w:cs="Arial"/>
              </w:rPr>
            </w:pPr>
            <w:r w:rsidRPr="000E3CA9">
              <w:rPr>
                <w:rFonts w:ascii="Arial" w:hAnsi="Arial" w:cs="Arial"/>
              </w:rPr>
              <w:t>Loneliness and social isolation were associated with greater frailty; high loneliness showed a stronger association with incident frailty than low loneliness.</w:t>
            </w:r>
          </w:p>
        </w:tc>
        <w:tc>
          <w:tcPr>
            <w:tcW w:w="3240" w:type="dxa"/>
            <w:vAlign w:val="center"/>
          </w:tcPr>
          <w:p w14:paraId="0692D86C" w14:textId="77777777" w:rsidR="000E3CA9" w:rsidRPr="000E3CA9" w:rsidRDefault="000E3CA9" w:rsidP="000E3CA9">
            <w:pPr>
              <w:spacing w:after="40" w:line="360" w:lineRule="auto"/>
              <w:jc w:val="both"/>
              <w:rPr>
                <w:rFonts w:ascii="Arial" w:hAnsi="Arial" w:cs="Arial"/>
              </w:rPr>
            </w:pPr>
            <w:r w:rsidRPr="000E3CA9">
              <w:rPr>
                <w:rFonts w:ascii="Arial" w:hAnsi="Arial" w:cs="Arial"/>
              </w:rPr>
              <w:t>Longitudinal national cohort and repeated measurement strengthen temporal interpretation, although residual confounding and exclusion of institutional populations remain important limitations.</w:t>
            </w:r>
          </w:p>
        </w:tc>
      </w:tr>
      <w:tr w:rsidR="000E3CA9" w:rsidRPr="000E3CA9" w14:paraId="50D5B9BA" w14:textId="77777777" w:rsidTr="006D2EB1">
        <w:trPr>
          <w:jc w:val="center"/>
        </w:trPr>
        <w:tc>
          <w:tcPr>
            <w:tcW w:w="1656" w:type="dxa"/>
            <w:vAlign w:val="center"/>
          </w:tcPr>
          <w:p w14:paraId="7A011DC2" w14:textId="77777777" w:rsidR="000E3CA9" w:rsidRPr="000E3CA9" w:rsidRDefault="000E3CA9" w:rsidP="000E3CA9">
            <w:pPr>
              <w:spacing w:after="40" w:line="360" w:lineRule="auto"/>
              <w:jc w:val="both"/>
              <w:rPr>
                <w:rFonts w:ascii="Arial" w:hAnsi="Arial" w:cs="Arial"/>
              </w:rPr>
            </w:pPr>
            <w:r w:rsidRPr="000E3CA9">
              <w:rPr>
                <w:rFonts w:ascii="Arial" w:hAnsi="Arial" w:cs="Arial"/>
              </w:rPr>
              <w:t>Bu and Fancourt (2024)</w:t>
            </w:r>
          </w:p>
        </w:tc>
        <w:tc>
          <w:tcPr>
            <w:tcW w:w="2952" w:type="dxa"/>
            <w:vAlign w:val="center"/>
          </w:tcPr>
          <w:p w14:paraId="17DF9B9B" w14:textId="77777777" w:rsidR="000E3CA9" w:rsidRPr="000E3CA9" w:rsidRDefault="000E3CA9" w:rsidP="000E3CA9">
            <w:pPr>
              <w:spacing w:after="40" w:line="360" w:lineRule="auto"/>
              <w:jc w:val="both"/>
              <w:rPr>
                <w:rFonts w:ascii="Arial" w:hAnsi="Arial" w:cs="Arial"/>
              </w:rPr>
            </w:pPr>
            <w:r w:rsidRPr="000E3CA9">
              <w:rPr>
                <w:rFonts w:ascii="Arial" w:hAnsi="Arial" w:cs="Arial"/>
              </w:rPr>
              <w:t>Cohort analysis of adults aged 50+ in ELSA using multidimensional social-connection patterns.</w:t>
            </w:r>
          </w:p>
        </w:tc>
        <w:tc>
          <w:tcPr>
            <w:tcW w:w="3168" w:type="dxa"/>
            <w:vAlign w:val="center"/>
          </w:tcPr>
          <w:p w14:paraId="78615429" w14:textId="77777777" w:rsidR="000E3CA9" w:rsidRPr="000E3CA9" w:rsidRDefault="000E3CA9" w:rsidP="000E3CA9">
            <w:pPr>
              <w:spacing w:after="40" w:line="360" w:lineRule="auto"/>
              <w:jc w:val="both"/>
              <w:rPr>
                <w:rFonts w:ascii="Arial" w:hAnsi="Arial" w:cs="Arial"/>
              </w:rPr>
            </w:pPr>
            <w:r w:rsidRPr="000E3CA9">
              <w:rPr>
                <w:rFonts w:ascii="Arial" w:hAnsi="Arial" w:cs="Arial"/>
              </w:rPr>
              <w:t>Health and wellbeing differed across social-connection patterns, supporting a multidimensional rather than single-indicator understanding.</w:t>
            </w:r>
          </w:p>
        </w:tc>
        <w:tc>
          <w:tcPr>
            <w:tcW w:w="3240" w:type="dxa"/>
            <w:vAlign w:val="center"/>
          </w:tcPr>
          <w:p w14:paraId="48E69457" w14:textId="77777777" w:rsidR="000E3CA9" w:rsidRPr="000E3CA9" w:rsidRDefault="000E3CA9" w:rsidP="000E3CA9">
            <w:pPr>
              <w:spacing w:after="40" w:line="360" w:lineRule="auto"/>
              <w:jc w:val="both"/>
              <w:rPr>
                <w:rFonts w:ascii="Arial" w:hAnsi="Arial" w:cs="Arial"/>
              </w:rPr>
            </w:pPr>
            <w:r w:rsidRPr="000E3CA9">
              <w:rPr>
                <w:rFonts w:ascii="Arial" w:hAnsi="Arial" w:cs="Arial"/>
              </w:rPr>
              <w:t xml:space="preserve">Established cohort and broader </w:t>
            </w:r>
            <w:proofErr w:type="spellStart"/>
            <w:r w:rsidRPr="000E3CA9">
              <w:rPr>
                <w:rFonts w:ascii="Arial" w:hAnsi="Arial" w:cs="Arial"/>
              </w:rPr>
              <w:t>conceptualisation</w:t>
            </w:r>
            <w:proofErr w:type="spellEnd"/>
            <w:r w:rsidRPr="000E3CA9">
              <w:rPr>
                <w:rFonts w:ascii="Arial" w:hAnsi="Arial" w:cs="Arial"/>
              </w:rPr>
              <w:t xml:space="preserve"> are strengths; observational data and model-derived connection patterns restrict causal interpretation.</w:t>
            </w:r>
          </w:p>
        </w:tc>
      </w:tr>
    </w:tbl>
    <w:p w14:paraId="3242F288" w14:textId="77777777" w:rsidR="000E3CA9" w:rsidRPr="000E3CA9" w:rsidRDefault="000E3CA9" w:rsidP="000E3CA9">
      <w:pPr>
        <w:pStyle w:val="Heading4"/>
      </w:pPr>
      <w:r w:rsidRPr="000E3CA9">
        <w:t>4.2 Thematic findings</w:t>
      </w:r>
    </w:p>
    <w:p w14:paraId="4D5F1CB4" w14:textId="77777777" w:rsidR="000E3CA9" w:rsidRPr="000E3CA9" w:rsidRDefault="000E3CA9" w:rsidP="000E3CA9">
      <w:pPr>
        <w:spacing w:before="120" w:after="60" w:line="360" w:lineRule="auto"/>
        <w:jc w:val="both"/>
        <w:rPr>
          <w:rFonts w:ascii="Arial" w:hAnsi="Arial" w:cs="Arial"/>
        </w:rPr>
      </w:pPr>
      <w:r w:rsidRPr="000E3CA9">
        <w:rPr>
          <w:rFonts w:ascii="Arial" w:hAnsi="Arial" w:cs="Arial"/>
          <w:b/>
        </w:rPr>
        <w:t>Theme 1: Subjective loneliness and objective isolation are related but not equivalent</w:t>
      </w:r>
    </w:p>
    <w:p w14:paraId="54DD024D" w14:textId="77777777" w:rsidR="000E3CA9" w:rsidRPr="000E3CA9" w:rsidRDefault="000E3CA9" w:rsidP="000E3CA9">
      <w:pPr>
        <w:spacing w:line="360" w:lineRule="auto"/>
        <w:jc w:val="both"/>
        <w:rPr>
          <w:rFonts w:ascii="Arial" w:hAnsi="Arial" w:cs="Arial"/>
        </w:rPr>
      </w:pPr>
      <w:r w:rsidRPr="000E3CA9">
        <w:rPr>
          <w:rFonts w:ascii="Arial" w:hAnsi="Arial" w:cs="Arial"/>
        </w:rPr>
        <w:t>The first theme concerns conceptual and measurement differences. Robb et al. (2020) found that subjective loneliness was strongly associated with deterioration in anxiety and depressive symptoms during early COVID-19 restrictions, while living arrangements and other social circumstances did not capture the same experience. This supports the wider measurement literature showing that structural contact and subjective loneliness represent overlapping but distinct dimensions of social relationships (</w:t>
      </w:r>
      <w:proofErr w:type="spellStart"/>
      <w:r w:rsidRPr="000E3CA9">
        <w:rPr>
          <w:rFonts w:ascii="Arial" w:hAnsi="Arial" w:cs="Arial"/>
        </w:rPr>
        <w:t>Valtorta</w:t>
      </w:r>
      <w:proofErr w:type="spellEnd"/>
      <w:r w:rsidRPr="000E3CA9">
        <w:rPr>
          <w:rFonts w:ascii="Arial" w:hAnsi="Arial" w:cs="Arial"/>
        </w:rPr>
        <w:t xml:space="preserve"> et al., 2016). Bu and Fancourt (2024) extend this argument by </w:t>
      </w:r>
      <w:proofErr w:type="gramStart"/>
      <w:r w:rsidRPr="000E3CA9">
        <w:rPr>
          <w:rFonts w:ascii="Arial" w:hAnsi="Arial" w:cs="Arial"/>
        </w:rPr>
        <w:t>demonstrating</w:t>
      </w:r>
      <w:proofErr w:type="gramEnd"/>
      <w:r w:rsidRPr="000E3CA9">
        <w:rPr>
          <w:rFonts w:ascii="Arial" w:hAnsi="Arial" w:cs="Arial"/>
        </w:rPr>
        <w:t xml:space="preserve"> that older adults can occupy different patterns of social connection rather than fitting a simple connected-versus-isolated binary. Together, these findings </w:t>
      </w:r>
      <w:proofErr w:type="gramStart"/>
      <w:r w:rsidRPr="000E3CA9">
        <w:rPr>
          <w:rFonts w:ascii="Arial" w:hAnsi="Arial" w:cs="Arial"/>
        </w:rPr>
        <w:t>indicate</w:t>
      </w:r>
      <w:proofErr w:type="gramEnd"/>
      <w:r w:rsidRPr="000E3CA9">
        <w:rPr>
          <w:rFonts w:ascii="Arial" w:hAnsi="Arial" w:cs="Arial"/>
        </w:rPr>
        <w:t xml:space="preserve"> that a single question about contact frequency is unlikely to </w:t>
      </w:r>
      <w:proofErr w:type="gramStart"/>
      <w:r w:rsidRPr="000E3CA9">
        <w:rPr>
          <w:rFonts w:ascii="Arial" w:hAnsi="Arial" w:cs="Arial"/>
        </w:rPr>
        <w:t>identify</w:t>
      </w:r>
      <w:proofErr w:type="gramEnd"/>
      <w:r w:rsidRPr="000E3CA9">
        <w:rPr>
          <w:rFonts w:ascii="Arial" w:hAnsi="Arial" w:cs="Arial"/>
        </w:rPr>
        <w:t xml:space="preserve"> everyone experiencing meaningful social disconnection.</w:t>
      </w:r>
    </w:p>
    <w:p w14:paraId="3DAE26CE" w14:textId="66EDCAF0" w:rsidR="000E3CA9" w:rsidRPr="000E3CA9" w:rsidRDefault="000E3CA9" w:rsidP="000E3CA9">
      <w:pPr>
        <w:spacing w:before="120" w:after="60" w:line="360" w:lineRule="auto"/>
        <w:jc w:val="both"/>
        <w:rPr>
          <w:rFonts w:ascii="Arial" w:hAnsi="Arial" w:cs="Arial"/>
        </w:rPr>
      </w:pPr>
      <w:r w:rsidRPr="000E3CA9">
        <w:rPr>
          <w:rFonts w:ascii="Arial" w:hAnsi="Arial" w:cs="Arial"/>
          <w:b/>
        </w:rPr>
        <w:t>Theme 2: Social disconnection is associated with psychological and physical vulnerability</w:t>
      </w:r>
    </w:p>
    <w:p w14:paraId="5D1376B7"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The second theme is that social disconnection is associated with both mental and physical vulnerability. Robb et al. (2020) </w:t>
      </w:r>
      <w:proofErr w:type="gramStart"/>
      <w:r w:rsidRPr="000E3CA9">
        <w:rPr>
          <w:rFonts w:ascii="Arial" w:hAnsi="Arial" w:cs="Arial"/>
        </w:rPr>
        <w:t>identified</w:t>
      </w:r>
      <w:proofErr w:type="gramEnd"/>
      <w:r w:rsidRPr="000E3CA9">
        <w:rPr>
          <w:rFonts w:ascii="Arial" w:hAnsi="Arial" w:cs="Arial"/>
        </w:rPr>
        <w:t xml:space="preserve"> a strong relationship between loneliness and poorer self-reported mental-health change during lockdown, while Davies et al. (2021) found </w:t>
      </w:r>
      <w:r w:rsidRPr="000E3CA9">
        <w:rPr>
          <w:rFonts w:ascii="Arial" w:hAnsi="Arial" w:cs="Arial"/>
        </w:rPr>
        <w:lastRenderedPageBreak/>
        <w:t xml:space="preserve">longitudinal associations between loneliness, social isolation and frailty. The latter is particularly important because it moves the evidence beyond short-term emotional outcomes and suggests that social circumstances may be linked with longer-term physical vulnerability. However, neither study </w:t>
      </w:r>
      <w:proofErr w:type="gramStart"/>
      <w:r w:rsidRPr="000E3CA9">
        <w:rPr>
          <w:rFonts w:ascii="Arial" w:hAnsi="Arial" w:cs="Arial"/>
        </w:rPr>
        <w:t>establishes</w:t>
      </w:r>
      <w:proofErr w:type="gramEnd"/>
      <w:r w:rsidRPr="000E3CA9">
        <w:rPr>
          <w:rFonts w:ascii="Arial" w:hAnsi="Arial" w:cs="Arial"/>
        </w:rPr>
        <w:t xml:space="preserve"> a simple one-way causal pathway. Poor health can reduce mobility and social participation, while reduced participation may in turn contribute to poorer wellbeing, making reciprocal relationships plausible (Davies et al., 2021).</w:t>
      </w:r>
    </w:p>
    <w:p w14:paraId="4EBE2811" w14:textId="77777777" w:rsidR="000E3CA9" w:rsidRPr="000E3CA9" w:rsidRDefault="000E3CA9" w:rsidP="000E3CA9">
      <w:pPr>
        <w:spacing w:before="120" w:after="60" w:line="360" w:lineRule="auto"/>
        <w:jc w:val="both"/>
        <w:rPr>
          <w:rFonts w:ascii="Arial" w:hAnsi="Arial" w:cs="Arial"/>
        </w:rPr>
      </w:pPr>
      <w:r w:rsidRPr="000E3CA9">
        <w:rPr>
          <w:rFonts w:ascii="Arial" w:hAnsi="Arial" w:cs="Arial"/>
          <w:b/>
        </w:rPr>
        <w:t>Theme 3: Environments and services shape opportunities for social connection</w:t>
      </w:r>
    </w:p>
    <w:p w14:paraId="7013E8FE" w14:textId="77777777" w:rsidR="000E3CA9" w:rsidRPr="000E3CA9" w:rsidRDefault="000E3CA9" w:rsidP="000E3CA9">
      <w:pPr>
        <w:spacing w:line="360" w:lineRule="auto"/>
        <w:jc w:val="both"/>
        <w:rPr>
          <w:rFonts w:ascii="Arial" w:hAnsi="Arial" w:cs="Arial"/>
        </w:rPr>
      </w:pPr>
      <w:r w:rsidRPr="000E3CA9">
        <w:rPr>
          <w:rFonts w:ascii="Arial" w:hAnsi="Arial" w:cs="Arial"/>
        </w:rPr>
        <w:t>The third theme concerns structural opportunity. Reinhard et al. (2018) found that eligibility-related increases in public-transport use were associated with greater social engagement and better mental-health indicators. This is important because it shifts interpretation away from treating loneliness solely as an individual behavioural problem. Access to affordable transport can affect whether older adults are able to visit relatives, attend community activities or reach services, so social participation partly depends on the environment in which people live (Reinhard et al., 2018). The finding is consistent with policy approaches that view social connection as a cross-sector issue rather than one that can be resolved only through clinical intervention (HM Government, 2018).</w:t>
      </w:r>
    </w:p>
    <w:p w14:paraId="46DE49CA" w14:textId="77777777" w:rsidR="000E3CA9" w:rsidRPr="000E3CA9" w:rsidRDefault="000E3CA9" w:rsidP="000E3CA9">
      <w:pPr>
        <w:spacing w:before="120" w:after="60" w:line="360" w:lineRule="auto"/>
        <w:jc w:val="both"/>
        <w:rPr>
          <w:rFonts w:ascii="Arial" w:hAnsi="Arial" w:cs="Arial"/>
        </w:rPr>
      </w:pPr>
      <w:r w:rsidRPr="000E3CA9">
        <w:rPr>
          <w:rFonts w:ascii="Arial" w:hAnsi="Arial" w:cs="Arial"/>
          <w:b/>
        </w:rPr>
        <w:t>Theme 4: Social connection is multidimensional and responses should be personalised</w:t>
      </w:r>
    </w:p>
    <w:p w14:paraId="58C1AB6A"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The fourth theme is heterogeneity. Bu and Fancourt (2024) </w:t>
      </w:r>
      <w:proofErr w:type="gramStart"/>
      <w:r w:rsidRPr="000E3CA9">
        <w:rPr>
          <w:rFonts w:ascii="Arial" w:hAnsi="Arial" w:cs="Arial"/>
        </w:rPr>
        <w:t>identified</w:t>
      </w:r>
      <w:proofErr w:type="gramEnd"/>
      <w:r w:rsidRPr="000E3CA9">
        <w:rPr>
          <w:rFonts w:ascii="Arial" w:hAnsi="Arial" w:cs="Arial"/>
        </w:rPr>
        <w:t xml:space="preserve"> distinct patterns of social connection associated with different health and wellbeing profiles, </w:t>
      </w:r>
      <w:proofErr w:type="gramStart"/>
      <w:r w:rsidRPr="000E3CA9">
        <w:rPr>
          <w:rFonts w:ascii="Arial" w:hAnsi="Arial" w:cs="Arial"/>
        </w:rPr>
        <w:t>indicating</w:t>
      </w:r>
      <w:proofErr w:type="gramEnd"/>
      <w:r w:rsidRPr="000E3CA9">
        <w:rPr>
          <w:rFonts w:ascii="Arial" w:hAnsi="Arial" w:cs="Arial"/>
        </w:rPr>
        <w:t xml:space="preserve"> that older adults with similar levels of contact can still differ in the types and quality of relationships available to them. This reinforces the distinction between structural and subjective social measures described by </w:t>
      </w:r>
      <w:proofErr w:type="spellStart"/>
      <w:r w:rsidRPr="000E3CA9">
        <w:rPr>
          <w:rFonts w:ascii="Arial" w:hAnsi="Arial" w:cs="Arial"/>
        </w:rPr>
        <w:t>Valtorta</w:t>
      </w:r>
      <w:proofErr w:type="spellEnd"/>
      <w:r w:rsidRPr="000E3CA9">
        <w:rPr>
          <w:rFonts w:ascii="Arial" w:hAnsi="Arial" w:cs="Arial"/>
        </w:rPr>
        <w:t xml:space="preserve"> et al. (2016). It also provides a rationale for personalised intervention: the </w:t>
      </w:r>
      <w:proofErr w:type="gramStart"/>
      <w:r w:rsidRPr="000E3CA9">
        <w:rPr>
          <w:rFonts w:ascii="Arial" w:hAnsi="Arial" w:cs="Arial"/>
        </w:rPr>
        <w:t>appropriate response</w:t>
      </w:r>
      <w:proofErr w:type="gramEnd"/>
      <w:r w:rsidRPr="000E3CA9">
        <w:rPr>
          <w:rFonts w:ascii="Arial" w:hAnsi="Arial" w:cs="Arial"/>
        </w:rPr>
        <w:t xml:space="preserve"> to bereavement-related loneliness may differ from the response to transport-related isolation, digital exclusion or a preference for fewer but meaningful relationships (</w:t>
      </w:r>
      <w:proofErr w:type="spellStart"/>
      <w:r w:rsidRPr="000E3CA9">
        <w:rPr>
          <w:rFonts w:ascii="Arial" w:hAnsi="Arial" w:cs="Arial"/>
        </w:rPr>
        <w:t>Bałki</w:t>
      </w:r>
      <w:proofErr w:type="spellEnd"/>
      <w:r w:rsidRPr="000E3CA9">
        <w:rPr>
          <w:rFonts w:ascii="Arial" w:hAnsi="Arial" w:cs="Arial"/>
        </w:rPr>
        <w:t xml:space="preserve"> et al., 2022; Joshi et al., 2024).</w:t>
      </w:r>
    </w:p>
    <w:p w14:paraId="18D9E3F7" w14:textId="77777777" w:rsidR="000E3CA9" w:rsidRPr="000E3CA9" w:rsidRDefault="000E3CA9" w:rsidP="000E3CA9">
      <w:pPr>
        <w:pStyle w:val="Heading3"/>
      </w:pPr>
      <w:bookmarkStart w:id="5" w:name="_Toc237607431"/>
      <w:r w:rsidRPr="000E3CA9">
        <w:t>5. Discussion</w:t>
      </w:r>
      <w:bookmarkEnd w:id="5"/>
    </w:p>
    <w:p w14:paraId="7A0B4821"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Across the four studies, the direction of evidence is consistent: poorer social connection </w:t>
      </w:r>
      <w:proofErr w:type="gramStart"/>
      <w:r w:rsidRPr="000E3CA9">
        <w:rPr>
          <w:rFonts w:ascii="Arial" w:hAnsi="Arial" w:cs="Arial"/>
        </w:rPr>
        <w:t>accompanies</w:t>
      </w:r>
      <w:proofErr w:type="gramEnd"/>
      <w:r w:rsidRPr="000E3CA9">
        <w:rPr>
          <w:rFonts w:ascii="Arial" w:hAnsi="Arial" w:cs="Arial"/>
        </w:rPr>
        <w:t xml:space="preserve"> poorer health or wellbeing, but evidential strength is unequal (Reinhard et al., 2018; Robb et al., 2020; Davies et al., 2021; Bu and Fancourt, 2024). Greatest weight can be placed on the longitudinal and quasi-experimental findings because they improve temporal or causal inference, while the pandemic survey is more useful for </w:t>
      </w:r>
      <w:proofErr w:type="gramStart"/>
      <w:r w:rsidRPr="000E3CA9">
        <w:rPr>
          <w:rFonts w:ascii="Arial" w:hAnsi="Arial" w:cs="Arial"/>
        </w:rPr>
        <w:t>identifying</w:t>
      </w:r>
      <w:proofErr w:type="gramEnd"/>
      <w:r w:rsidRPr="000E3CA9">
        <w:rPr>
          <w:rFonts w:ascii="Arial" w:hAnsi="Arial" w:cs="Arial"/>
        </w:rPr>
        <w:t xml:space="preserve"> short-term vulnerability than for </w:t>
      </w:r>
      <w:proofErr w:type="gramStart"/>
      <w:r w:rsidRPr="000E3CA9">
        <w:rPr>
          <w:rFonts w:ascii="Arial" w:hAnsi="Arial" w:cs="Arial"/>
        </w:rPr>
        <w:t>establishing</w:t>
      </w:r>
      <w:proofErr w:type="gramEnd"/>
      <w:r w:rsidRPr="000E3CA9">
        <w:rPr>
          <w:rFonts w:ascii="Arial" w:hAnsi="Arial" w:cs="Arial"/>
        </w:rPr>
        <w:t xml:space="preserve"> causation. Bu and Fancourt (2024) contribute conceptual rather than causal strength by showing that social connection is patterned and multidimensional. The synthesis therefore supports a mechanism-based interpretation, not a universal effect size or single intervention model.</w:t>
      </w:r>
    </w:p>
    <w:p w14:paraId="1DDB0C2E" w14:textId="77777777" w:rsidR="000E3CA9" w:rsidRPr="000E3CA9" w:rsidRDefault="000E3CA9" w:rsidP="000E3CA9">
      <w:pPr>
        <w:spacing w:line="360" w:lineRule="auto"/>
        <w:jc w:val="both"/>
        <w:rPr>
          <w:rFonts w:ascii="Arial" w:hAnsi="Arial" w:cs="Arial"/>
        </w:rPr>
      </w:pPr>
      <w:r w:rsidRPr="000E3CA9">
        <w:rPr>
          <w:rFonts w:ascii="Arial" w:hAnsi="Arial" w:cs="Arial"/>
        </w:rPr>
        <w:lastRenderedPageBreak/>
        <w:t xml:space="preserve">The contrast between Robb et al. (2020) and Davies et al. (2021) illustrates why study design matters. Robb et al. captured experiences rapidly during an exceptional period and offered valuable evidence about vulnerability under forced social restrictions, but the cross-sectional and retrospective elements mean that worsening mental health cannot confidently be attributed to loneliness alone. Individuals with poorer mental health may also perceive or report their social circumstances more negatively. By comparison, the longitudinal ELSA analysis used repeated observations over many years, which strengthens temporal ordering, although residual confounding and bidirectional effects </w:t>
      </w:r>
      <w:proofErr w:type="gramStart"/>
      <w:r w:rsidRPr="000E3CA9">
        <w:rPr>
          <w:rFonts w:ascii="Arial" w:hAnsi="Arial" w:cs="Arial"/>
        </w:rPr>
        <w:t>remain</w:t>
      </w:r>
      <w:proofErr w:type="gramEnd"/>
      <w:r w:rsidRPr="000E3CA9">
        <w:rPr>
          <w:rFonts w:ascii="Arial" w:hAnsi="Arial" w:cs="Arial"/>
        </w:rPr>
        <w:t xml:space="preserve"> possible (Davies et al., 2021). Consequently, the longitudinal evidence supports concern about persistent social disconnection without proving an isolated causal pathway.</w:t>
      </w:r>
    </w:p>
    <w:p w14:paraId="776F13A7" w14:textId="77777777" w:rsidR="000E3CA9" w:rsidRPr="000E3CA9" w:rsidRDefault="000E3CA9" w:rsidP="000E3CA9">
      <w:pPr>
        <w:spacing w:line="360" w:lineRule="auto"/>
        <w:jc w:val="both"/>
        <w:rPr>
          <w:rFonts w:ascii="Arial" w:hAnsi="Arial" w:cs="Arial"/>
        </w:rPr>
      </w:pPr>
      <w:r w:rsidRPr="000E3CA9">
        <w:rPr>
          <w:rFonts w:ascii="Arial" w:hAnsi="Arial" w:cs="Arial"/>
        </w:rPr>
        <w:t>Reinhard et al. (2018) contribute a different form of evidence by examining a policy mechanism. Their quasi-experimental approach offers stronger causal leverage than conventional observational association because eligibility for free bus travel provides an external source of variation in transport use. Nevertheless, instrumental-variable analysis depends on assumptions that cannot be fully tested, and transport systems, travel behaviour and service availability have changed since the study period. The study therefore supports the principle that structural access can influence social participation, but it should not be interpreted as proof that one transport policy will reduce loneliness equally across all communities.</w:t>
      </w:r>
    </w:p>
    <w:p w14:paraId="7B51F0CA"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Bu and Fancourt (2024) add conceptual depth by showing that social connection is multidimensional. </w:t>
      </w:r>
      <w:proofErr w:type="gramStart"/>
      <w:r w:rsidRPr="000E3CA9">
        <w:rPr>
          <w:rFonts w:ascii="Arial" w:hAnsi="Arial" w:cs="Arial"/>
        </w:rPr>
        <w:t>This challenges interventions</w:t>
      </w:r>
      <w:proofErr w:type="gramEnd"/>
      <w:r w:rsidRPr="000E3CA9">
        <w:rPr>
          <w:rFonts w:ascii="Arial" w:hAnsi="Arial" w:cs="Arial"/>
        </w:rPr>
        <w:t xml:space="preserve"> based only on increasing contact frequency. A person may have frequent interactions but lack emotionally meaningful relationships, while another may be satisfied with a small network. The practical implication is that assessment should </w:t>
      </w:r>
      <w:proofErr w:type="gramStart"/>
      <w:r w:rsidRPr="000E3CA9">
        <w:rPr>
          <w:rFonts w:ascii="Arial" w:hAnsi="Arial" w:cs="Arial"/>
        </w:rPr>
        <w:t>identify</w:t>
      </w:r>
      <w:proofErr w:type="gramEnd"/>
      <w:r w:rsidRPr="000E3CA9">
        <w:rPr>
          <w:rFonts w:ascii="Arial" w:hAnsi="Arial" w:cs="Arial"/>
        </w:rPr>
        <w:t xml:space="preserve"> the person’s experienced problem rather than assuming that low contact is automatically harmful (</w:t>
      </w:r>
      <w:proofErr w:type="spellStart"/>
      <w:r w:rsidRPr="000E3CA9">
        <w:rPr>
          <w:rFonts w:ascii="Arial" w:hAnsi="Arial" w:cs="Arial"/>
        </w:rPr>
        <w:t>Valtorta</w:t>
      </w:r>
      <w:proofErr w:type="spellEnd"/>
      <w:r w:rsidRPr="000E3CA9">
        <w:rPr>
          <w:rFonts w:ascii="Arial" w:hAnsi="Arial" w:cs="Arial"/>
        </w:rPr>
        <w:t xml:space="preserve"> et al., 2016; Bu and Fancourt, 2024). This interpretation is also consistent with the broader consensus literature, which cautions against reducing loneliness to a single social deficit or presenting it as an inevitable consequence of ageing (Prohaska et al., 2020).</w:t>
      </w:r>
    </w:p>
    <w:p w14:paraId="118F70CB" w14:textId="77777777" w:rsidR="000E3CA9" w:rsidRPr="000E3CA9" w:rsidRDefault="000E3CA9" w:rsidP="000E3CA9">
      <w:pPr>
        <w:spacing w:line="360" w:lineRule="auto"/>
        <w:jc w:val="both"/>
        <w:rPr>
          <w:rFonts w:ascii="Arial" w:hAnsi="Arial" w:cs="Arial"/>
        </w:rPr>
      </w:pPr>
      <w:r w:rsidRPr="000E3CA9">
        <w:rPr>
          <w:rFonts w:ascii="Arial" w:hAnsi="Arial" w:cs="Arial"/>
        </w:rPr>
        <w:t>The intervention literature supports a cautious, personalised approach. Social prescribing can connect people with community activity, advice or peer support, yet reviews report variable intervention content and mixed outcome evidence (Reinhardt and Vidovic, 2021; Galvez-Hernandez et al., 2022). Technology may extend opportunities for contact but cannot be assumed to substitute for in-person relationships, especially where digital exclusion, sensory impairment or low confidence affects access (</w:t>
      </w:r>
      <w:proofErr w:type="spellStart"/>
      <w:r w:rsidRPr="000E3CA9">
        <w:rPr>
          <w:rFonts w:ascii="Arial" w:hAnsi="Arial" w:cs="Arial"/>
        </w:rPr>
        <w:t>Bałki</w:t>
      </w:r>
      <w:proofErr w:type="spellEnd"/>
      <w:r w:rsidRPr="000E3CA9">
        <w:rPr>
          <w:rFonts w:ascii="Arial" w:hAnsi="Arial" w:cs="Arial"/>
        </w:rPr>
        <w:t xml:space="preserve"> et al., 2022). These findings imply that intervention success depends on matching support to the mechanism of disconnection.</w:t>
      </w:r>
    </w:p>
    <w:p w14:paraId="46E6D584" w14:textId="77777777" w:rsidR="000E3CA9" w:rsidRPr="000E3CA9" w:rsidRDefault="000E3CA9" w:rsidP="000E3CA9">
      <w:pPr>
        <w:spacing w:line="360" w:lineRule="auto"/>
        <w:jc w:val="both"/>
        <w:rPr>
          <w:rFonts w:ascii="Arial" w:hAnsi="Arial" w:cs="Arial"/>
        </w:rPr>
      </w:pPr>
      <w:r w:rsidRPr="000E3CA9">
        <w:rPr>
          <w:rFonts w:ascii="Arial" w:hAnsi="Arial" w:cs="Arial"/>
        </w:rPr>
        <w:lastRenderedPageBreak/>
        <w:t>Equity also requires attention. Older adults differ by ethnicity, migration history, disability, income, household composition, geography and access to services, all of which may shape both exposure to social isolation and preferences for support (Joshi et al., 2024). Place-based interventions may therefore have different effects depending on local transport, community assets and social infrastructure (Hsueh et al., 2022). A high-quality health and social care response should avoid universal assumptions and instead combine individual assessment with awareness of environmental barriers.</w:t>
      </w:r>
    </w:p>
    <w:p w14:paraId="209A0485" w14:textId="77777777" w:rsidR="000E3CA9" w:rsidRPr="000E3CA9" w:rsidRDefault="000E3CA9" w:rsidP="000E3CA9">
      <w:pPr>
        <w:spacing w:line="360" w:lineRule="auto"/>
        <w:jc w:val="both"/>
        <w:rPr>
          <w:rFonts w:ascii="Arial" w:hAnsi="Arial" w:cs="Arial"/>
        </w:rPr>
      </w:pPr>
      <w:r w:rsidRPr="000E3CA9">
        <w:rPr>
          <w:rFonts w:ascii="Arial" w:hAnsi="Arial" w:cs="Arial"/>
        </w:rPr>
        <w:t>Taken together, the evidence supports a layered causal model. Subjective loneliness can signal unmet relational need; frailty and mobility can reduce opportunities for participation; and transport or community infrastructure can either enable or constrain engagement (Reinhard et al., 2018; Davies et al., 2021). These levels plausibly reinforce one another: declining function can restrict travel, reduced participation can narrow networks, and a narrower network can intensify perceived loneliness. Because the reviewed studies cannot fully disentangle these feedback loops, the most defensible practice response is integrated and proportionate rather than attributing responsibility to the individual alone.</w:t>
      </w:r>
    </w:p>
    <w:p w14:paraId="4FAC1471" w14:textId="77777777" w:rsidR="000E3CA9" w:rsidRPr="000E3CA9" w:rsidRDefault="000E3CA9" w:rsidP="000E3CA9">
      <w:pPr>
        <w:pStyle w:val="Heading4"/>
      </w:pPr>
      <w:r w:rsidRPr="000E3CA9">
        <w:t>5.1 Implications for UK health and social care practice</w:t>
      </w:r>
    </w:p>
    <w:p w14:paraId="179920C0" w14:textId="77777777" w:rsidR="000E3CA9" w:rsidRPr="000E3CA9" w:rsidRDefault="000E3CA9" w:rsidP="000E3CA9">
      <w:pPr>
        <w:spacing w:line="360" w:lineRule="auto"/>
        <w:jc w:val="both"/>
        <w:rPr>
          <w:rFonts w:ascii="Arial" w:hAnsi="Arial" w:cs="Arial"/>
        </w:rPr>
      </w:pPr>
      <w:r w:rsidRPr="000E3CA9">
        <w:rPr>
          <w:rFonts w:ascii="Arial" w:hAnsi="Arial" w:cs="Arial"/>
        </w:rPr>
        <w:t>Assessment should distinguish subjective loneliness, objective isolation and broader connection because each can reveal a different intervention target (</w:t>
      </w:r>
      <w:proofErr w:type="spellStart"/>
      <w:r w:rsidRPr="000E3CA9">
        <w:rPr>
          <w:rFonts w:ascii="Arial" w:hAnsi="Arial" w:cs="Arial"/>
        </w:rPr>
        <w:t>Valtorta</w:t>
      </w:r>
      <w:proofErr w:type="spellEnd"/>
      <w:r w:rsidRPr="000E3CA9">
        <w:rPr>
          <w:rFonts w:ascii="Arial" w:hAnsi="Arial" w:cs="Arial"/>
        </w:rPr>
        <w:t xml:space="preserve"> et al., 2016; Prohaska et al., 2020). A proportionate pathway would combine a brief validated measure with discussion of relationship quality, bereavement, mobility, transport, confidence, digital access and cultural context. The practical test of success should be change in the person’s identified outcome—not simply attendance or referral completion. This approach aligns more closely with personalised care than automatic referral to a standard activity (NHS England, 2019).</w:t>
      </w:r>
    </w:p>
    <w:p w14:paraId="688A163A"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Referral pathways should be accompanied by follow-up. Social prescribing and community referral may be useful when they connect people to meaningful activities or support, but evidence of effectiveness </w:t>
      </w:r>
      <w:proofErr w:type="gramStart"/>
      <w:r w:rsidRPr="000E3CA9">
        <w:rPr>
          <w:rFonts w:ascii="Arial" w:hAnsi="Arial" w:cs="Arial"/>
        </w:rPr>
        <w:t>remains</w:t>
      </w:r>
      <w:proofErr w:type="gramEnd"/>
      <w:r w:rsidRPr="000E3CA9">
        <w:rPr>
          <w:rFonts w:ascii="Arial" w:hAnsi="Arial" w:cs="Arial"/>
        </w:rPr>
        <w:t xml:space="preserve"> heterogeneous (Reinhardt and Vidovic, 2021; Galvez-Hernandez et al., 2022). Services should therefore </w:t>
      </w:r>
      <w:proofErr w:type="gramStart"/>
      <w:r w:rsidRPr="000E3CA9">
        <w:rPr>
          <w:rFonts w:ascii="Arial" w:hAnsi="Arial" w:cs="Arial"/>
        </w:rPr>
        <w:t>monitor</w:t>
      </w:r>
      <w:proofErr w:type="gramEnd"/>
      <w:r w:rsidRPr="000E3CA9">
        <w:rPr>
          <w:rFonts w:ascii="Arial" w:hAnsi="Arial" w:cs="Arial"/>
        </w:rPr>
        <w:t xml:space="preserve"> whether the intervention changes the outcome important to the person rather than counting referral completion alone. Where transport or accessibility is the main barrier, community and local-government responses may be as important as clinical services (Reinhard et al., 2018).</w:t>
      </w:r>
    </w:p>
    <w:p w14:paraId="14839CEB"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Digital options should be offered as one </w:t>
      </w:r>
      <w:proofErr w:type="gramStart"/>
      <w:r w:rsidRPr="000E3CA9">
        <w:rPr>
          <w:rFonts w:ascii="Arial" w:hAnsi="Arial" w:cs="Arial"/>
        </w:rPr>
        <w:t>component</w:t>
      </w:r>
      <w:proofErr w:type="gramEnd"/>
      <w:r w:rsidRPr="000E3CA9">
        <w:rPr>
          <w:rFonts w:ascii="Arial" w:hAnsi="Arial" w:cs="Arial"/>
        </w:rPr>
        <w:t xml:space="preserve"> of a wider menu rather than a default replacement for face-to-face provision. Technology-supported interventions can </w:t>
      </w:r>
      <w:proofErr w:type="gramStart"/>
      <w:r w:rsidRPr="000E3CA9">
        <w:rPr>
          <w:rFonts w:ascii="Arial" w:hAnsi="Arial" w:cs="Arial"/>
        </w:rPr>
        <w:t>benefit</w:t>
      </w:r>
      <w:proofErr w:type="gramEnd"/>
      <w:r w:rsidRPr="000E3CA9">
        <w:rPr>
          <w:rFonts w:ascii="Arial" w:hAnsi="Arial" w:cs="Arial"/>
        </w:rPr>
        <w:t xml:space="preserve"> some older adults, yet differential access and confidence may widen inequalities if digital delivery becomes the only route to participation (</w:t>
      </w:r>
      <w:proofErr w:type="spellStart"/>
      <w:r w:rsidRPr="000E3CA9">
        <w:rPr>
          <w:rFonts w:ascii="Arial" w:hAnsi="Arial" w:cs="Arial"/>
        </w:rPr>
        <w:t>Bałki</w:t>
      </w:r>
      <w:proofErr w:type="spellEnd"/>
      <w:r w:rsidRPr="000E3CA9">
        <w:rPr>
          <w:rFonts w:ascii="Arial" w:hAnsi="Arial" w:cs="Arial"/>
        </w:rPr>
        <w:t xml:space="preserve"> et al., 2022). Culturally responsive and locally </w:t>
      </w:r>
      <w:r w:rsidRPr="000E3CA9">
        <w:rPr>
          <w:rFonts w:ascii="Arial" w:hAnsi="Arial" w:cs="Arial"/>
        </w:rPr>
        <w:lastRenderedPageBreak/>
        <w:t>adaptable provision is also important because experiences of loneliness and preferred forms of social support vary between groups (Joshi et al., 2024).</w:t>
      </w:r>
    </w:p>
    <w:p w14:paraId="1827A1CA" w14:textId="77777777" w:rsidR="000E3CA9" w:rsidRPr="000E3CA9" w:rsidRDefault="000E3CA9" w:rsidP="000E3CA9">
      <w:pPr>
        <w:pStyle w:val="Heading4"/>
      </w:pPr>
      <w:r w:rsidRPr="000E3CA9">
        <w:t>5.2 Strengths and limitations of the review</w:t>
      </w:r>
    </w:p>
    <w:p w14:paraId="4376819F"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A strength of this review is the deliberate comparison of studies using different designs and different dimensions of social connection. This made it possible to </w:t>
      </w:r>
      <w:proofErr w:type="gramStart"/>
      <w:r w:rsidRPr="000E3CA9">
        <w:rPr>
          <w:rFonts w:ascii="Arial" w:hAnsi="Arial" w:cs="Arial"/>
        </w:rPr>
        <w:t>identify</w:t>
      </w:r>
      <w:proofErr w:type="gramEnd"/>
      <w:r w:rsidRPr="000E3CA9">
        <w:rPr>
          <w:rFonts w:ascii="Arial" w:hAnsi="Arial" w:cs="Arial"/>
        </w:rPr>
        <w:t xml:space="preserve"> conceptual, psychological, physical and structural themes rather than relying on one outcome. The review also separated policy and guidance from the peer-reviewed analytical study set, consistent with the assignment specification and scoping-review principles (</w:t>
      </w:r>
      <w:proofErr w:type="spellStart"/>
      <w:r w:rsidRPr="000E3CA9">
        <w:rPr>
          <w:rFonts w:ascii="Arial" w:hAnsi="Arial" w:cs="Arial"/>
        </w:rPr>
        <w:t>Tricco</w:t>
      </w:r>
      <w:proofErr w:type="spellEnd"/>
      <w:r w:rsidRPr="000E3CA9">
        <w:rPr>
          <w:rFonts w:ascii="Arial" w:hAnsi="Arial" w:cs="Arial"/>
        </w:rPr>
        <w:t xml:space="preserve"> et al., 2018; Peters et al., 2020). Critical appraisal was integrated into interpretation so that stronger designs were not treated as equivalent to cross-sectional evidence (Khalil et al., 2021).</w:t>
      </w:r>
    </w:p>
    <w:p w14:paraId="3457964A" w14:textId="77777777" w:rsidR="000E3CA9" w:rsidRPr="000E3CA9" w:rsidRDefault="000E3CA9" w:rsidP="000E3CA9">
      <w:pPr>
        <w:spacing w:line="360" w:lineRule="auto"/>
        <w:jc w:val="both"/>
        <w:rPr>
          <w:rFonts w:ascii="Arial" w:hAnsi="Arial" w:cs="Arial"/>
        </w:rPr>
      </w:pPr>
      <w:r w:rsidRPr="000E3CA9">
        <w:rPr>
          <w:rFonts w:ascii="Arial" w:hAnsi="Arial" w:cs="Arial"/>
        </w:rPr>
        <w:t>The review also has limitations. Four studies were analysed, so the synthesis maps evidence rather than exhaustive coverage. Restricting the scope to recent English-language evidence may omit relevant work (Peters et al., 2020). The studies were heterogeneous in definitions, outcomes and methods, preventing direct quantitative comparison. Much of the evidence remained observational, so residual confounding, reverse causation and selection bias cannot be ruled out (Davies et al., 2021; Bu and Fancourt, 2024). Finally, older adults living in institutional settings or experiencing severe cognitive impairment may be underrepresented in population cohorts, limiting generalisability to some groups with high support needs.</w:t>
      </w:r>
    </w:p>
    <w:p w14:paraId="1F2D7372" w14:textId="77777777" w:rsidR="000E3CA9" w:rsidRPr="000E3CA9" w:rsidRDefault="000E3CA9" w:rsidP="000E3CA9">
      <w:pPr>
        <w:pStyle w:val="Heading3"/>
      </w:pPr>
      <w:bookmarkStart w:id="6" w:name="_Toc237607432"/>
      <w:r w:rsidRPr="000E3CA9">
        <w:t>6. Conclusion and Recommendations</w:t>
      </w:r>
      <w:bookmarkEnd w:id="6"/>
    </w:p>
    <w:p w14:paraId="2DB298BC"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This scoping review found that loneliness, social isolation and broader social connection are associated with health and wellbeing among older adults in England, but they </w:t>
      </w:r>
      <w:proofErr w:type="gramStart"/>
      <w:r w:rsidRPr="000E3CA9">
        <w:rPr>
          <w:rFonts w:ascii="Arial" w:hAnsi="Arial" w:cs="Arial"/>
        </w:rPr>
        <w:t>represent</w:t>
      </w:r>
      <w:proofErr w:type="gramEnd"/>
      <w:r w:rsidRPr="000E3CA9">
        <w:rPr>
          <w:rFonts w:ascii="Arial" w:hAnsi="Arial" w:cs="Arial"/>
        </w:rPr>
        <w:t xml:space="preserve"> overlapping rather than identical constructs (</w:t>
      </w:r>
      <w:proofErr w:type="spellStart"/>
      <w:r w:rsidRPr="000E3CA9">
        <w:rPr>
          <w:rFonts w:ascii="Arial" w:hAnsi="Arial" w:cs="Arial"/>
        </w:rPr>
        <w:t>Valtorta</w:t>
      </w:r>
      <w:proofErr w:type="spellEnd"/>
      <w:r w:rsidRPr="000E3CA9">
        <w:rPr>
          <w:rFonts w:ascii="Arial" w:hAnsi="Arial" w:cs="Arial"/>
        </w:rPr>
        <w:t xml:space="preserve"> et al., 2016; Robb et al., 2020; Davies et al., 2021; Bu and Fancourt, 2024). The evidence links subjective loneliness with psychological distress, social disconnection with frailty, transport access with opportunities for participation, and multidimensional patterns of connection with differing health and wellbeing profiles (Reinhard et al., 2018; Robb et al., 2020; Davies et al., 2021; Bu and Fancourt, 2024). These findings do not justify a single universal intervention because study designs, populations and measures differ and causal pathways </w:t>
      </w:r>
      <w:proofErr w:type="gramStart"/>
      <w:r w:rsidRPr="000E3CA9">
        <w:rPr>
          <w:rFonts w:ascii="Arial" w:hAnsi="Arial" w:cs="Arial"/>
        </w:rPr>
        <w:t>remain</w:t>
      </w:r>
      <w:proofErr w:type="gramEnd"/>
      <w:r w:rsidRPr="000E3CA9">
        <w:rPr>
          <w:rFonts w:ascii="Arial" w:hAnsi="Arial" w:cs="Arial"/>
        </w:rPr>
        <w:t xml:space="preserve"> partly uncertain.</w:t>
      </w:r>
    </w:p>
    <w:p w14:paraId="379A203E" w14:textId="77777777" w:rsidR="000E3CA9" w:rsidRPr="000E3CA9" w:rsidRDefault="000E3CA9" w:rsidP="000E3CA9">
      <w:pPr>
        <w:spacing w:line="360" w:lineRule="auto"/>
        <w:jc w:val="both"/>
        <w:rPr>
          <w:rFonts w:ascii="Arial" w:hAnsi="Arial" w:cs="Arial"/>
        </w:rPr>
      </w:pPr>
      <w:r w:rsidRPr="000E3CA9">
        <w:rPr>
          <w:rFonts w:ascii="Arial" w:hAnsi="Arial" w:cs="Arial"/>
        </w:rPr>
        <w:t xml:space="preserve">For UK health and social care, the most defensible conclusion is that assessment and support should be personalised while also recognising structural barriers. Practitioners should distinguish loneliness from objective isolation, </w:t>
      </w:r>
      <w:proofErr w:type="gramStart"/>
      <w:r w:rsidRPr="000E3CA9">
        <w:rPr>
          <w:rFonts w:ascii="Arial" w:hAnsi="Arial" w:cs="Arial"/>
        </w:rPr>
        <w:t>identify</w:t>
      </w:r>
      <w:proofErr w:type="gramEnd"/>
      <w:r w:rsidRPr="000E3CA9">
        <w:rPr>
          <w:rFonts w:ascii="Arial" w:hAnsi="Arial" w:cs="Arial"/>
        </w:rPr>
        <w:t xml:space="preserve"> the mechanism affecting the individual, and link support to that mechanism. Community referral and social prescribing should be </w:t>
      </w:r>
      <w:proofErr w:type="gramStart"/>
      <w:r w:rsidRPr="000E3CA9">
        <w:rPr>
          <w:rFonts w:ascii="Arial" w:hAnsi="Arial" w:cs="Arial"/>
        </w:rPr>
        <w:t>monitored</w:t>
      </w:r>
      <w:proofErr w:type="gramEnd"/>
      <w:r w:rsidRPr="000E3CA9">
        <w:rPr>
          <w:rFonts w:ascii="Arial" w:hAnsi="Arial" w:cs="Arial"/>
        </w:rPr>
        <w:t xml:space="preserve"> for meaningful outcomes, transport and accessible local services should be recognised as part of the social-connection environment, and digital support should supplement rather than automatically replace face-to-face options (Reinhard et al., 2018; </w:t>
      </w:r>
      <w:r w:rsidRPr="000E3CA9">
        <w:rPr>
          <w:rFonts w:ascii="Arial" w:hAnsi="Arial" w:cs="Arial"/>
        </w:rPr>
        <w:lastRenderedPageBreak/>
        <w:t xml:space="preserve">Reinhardt and Vidovic, 2021; </w:t>
      </w:r>
      <w:proofErr w:type="spellStart"/>
      <w:r w:rsidRPr="000E3CA9">
        <w:rPr>
          <w:rFonts w:ascii="Arial" w:hAnsi="Arial" w:cs="Arial"/>
        </w:rPr>
        <w:t>Bałki</w:t>
      </w:r>
      <w:proofErr w:type="spellEnd"/>
      <w:r w:rsidRPr="000E3CA9">
        <w:rPr>
          <w:rFonts w:ascii="Arial" w:hAnsi="Arial" w:cs="Arial"/>
        </w:rPr>
        <w:t xml:space="preserve"> et al., 2022). Future research should prioritise longitudinal and intervention designs, consistent measures, underrepresented groups and subgroup analyses that can </w:t>
      </w:r>
      <w:proofErr w:type="gramStart"/>
      <w:r w:rsidRPr="000E3CA9">
        <w:rPr>
          <w:rFonts w:ascii="Arial" w:hAnsi="Arial" w:cs="Arial"/>
        </w:rPr>
        <w:t>identify</w:t>
      </w:r>
      <w:proofErr w:type="gramEnd"/>
      <w:r w:rsidRPr="000E3CA9">
        <w:rPr>
          <w:rFonts w:ascii="Arial" w:hAnsi="Arial" w:cs="Arial"/>
        </w:rPr>
        <w:t xml:space="preserve"> who </w:t>
      </w:r>
      <w:proofErr w:type="gramStart"/>
      <w:r w:rsidRPr="000E3CA9">
        <w:rPr>
          <w:rFonts w:ascii="Arial" w:hAnsi="Arial" w:cs="Arial"/>
        </w:rPr>
        <w:t>benefits</w:t>
      </w:r>
      <w:proofErr w:type="gramEnd"/>
      <w:r w:rsidRPr="000E3CA9">
        <w:rPr>
          <w:rFonts w:ascii="Arial" w:hAnsi="Arial" w:cs="Arial"/>
        </w:rPr>
        <w:t xml:space="preserve"> from which forms of support (Prohaska et al., 2020; Bu and Fancourt, 2024).</w:t>
      </w:r>
    </w:p>
    <w:p w14:paraId="2ED3A9FD" w14:textId="77777777" w:rsidR="000E3CA9" w:rsidRPr="000E3CA9" w:rsidRDefault="000E3CA9" w:rsidP="000E3CA9">
      <w:pPr>
        <w:pStyle w:val="Heading4"/>
      </w:pPr>
      <w:r w:rsidRPr="000E3CA9">
        <w:t>6.1 Recommendations</w:t>
      </w:r>
    </w:p>
    <w:tbl>
      <w:tblPr>
        <w:tblStyle w:val="TableGrid"/>
        <w:tblW w:w="0" w:type="auto"/>
        <w:jc w:val="center"/>
        <w:tblLook w:val="04A0" w:firstRow="1" w:lastRow="0" w:firstColumn="1" w:lastColumn="0" w:noHBand="0" w:noVBand="1"/>
      </w:tblPr>
      <w:tblGrid>
        <w:gridCol w:w="2960"/>
        <w:gridCol w:w="3023"/>
        <w:gridCol w:w="3033"/>
      </w:tblGrid>
      <w:tr w:rsidR="000E3CA9" w:rsidRPr="000E3CA9" w14:paraId="6430E7BC" w14:textId="77777777" w:rsidTr="006D2EB1">
        <w:trPr>
          <w:tblHeader/>
          <w:jc w:val="center"/>
        </w:trPr>
        <w:tc>
          <w:tcPr>
            <w:tcW w:w="3120" w:type="dxa"/>
            <w:vAlign w:val="center"/>
          </w:tcPr>
          <w:p w14:paraId="092D22FC" w14:textId="77777777" w:rsidR="000E3CA9" w:rsidRPr="000E3CA9" w:rsidRDefault="000E3CA9" w:rsidP="000E3CA9">
            <w:pPr>
              <w:spacing w:after="40" w:line="360" w:lineRule="auto"/>
              <w:jc w:val="both"/>
              <w:rPr>
                <w:rFonts w:ascii="Arial" w:hAnsi="Arial" w:cs="Arial"/>
              </w:rPr>
            </w:pPr>
            <w:r w:rsidRPr="000E3CA9">
              <w:rPr>
                <w:rFonts w:ascii="Arial" w:hAnsi="Arial" w:cs="Arial"/>
              </w:rPr>
              <w:t>Area</w:t>
            </w:r>
          </w:p>
        </w:tc>
        <w:tc>
          <w:tcPr>
            <w:tcW w:w="3120" w:type="dxa"/>
            <w:vAlign w:val="center"/>
          </w:tcPr>
          <w:p w14:paraId="23A3C962" w14:textId="77777777" w:rsidR="000E3CA9" w:rsidRPr="000E3CA9" w:rsidRDefault="000E3CA9" w:rsidP="000E3CA9">
            <w:pPr>
              <w:spacing w:after="40" w:line="360" w:lineRule="auto"/>
              <w:jc w:val="both"/>
              <w:rPr>
                <w:rFonts w:ascii="Arial" w:hAnsi="Arial" w:cs="Arial"/>
              </w:rPr>
            </w:pPr>
            <w:r w:rsidRPr="000E3CA9">
              <w:rPr>
                <w:rFonts w:ascii="Arial" w:hAnsi="Arial" w:cs="Arial"/>
              </w:rPr>
              <w:t>Recommendation and implementation</w:t>
            </w:r>
          </w:p>
        </w:tc>
        <w:tc>
          <w:tcPr>
            <w:tcW w:w="3120" w:type="dxa"/>
            <w:vAlign w:val="center"/>
          </w:tcPr>
          <w:p w14:paraId="5D71720B" w14:textId="77777777" w:rsidR="000E3CA9" w:rsidRPr="000E3CA9" w:rsidRDefault="000E3CA9" w:rsidP="000E3CA9">
            <w:pPr>
              <w:spacing w:after="40" w:line="360" w:lineRule="auto"/>
              <w:jc w:val="both"/>
              <w:rPr>
                <w:rFonts w:ascii="Arial" w:hAnsi="Arial" w:cs="Arial"/>
              </w:rPr>
            </w:pPr>
            <w:r w:rsidRPr="000E3CA9">
              <w:rPr>
                <w:rFonts w:ascii="Arial" w:hAnsi="Arial" w:cs="Arial"/>
              </w:rPr>
              <w:t>Evidence and success indicator</w:t>
            </w:r>
          </w:p>
        </w:tc>
      </w:tr>
      <w:tr w:rsidR="000E3CA9" w:rsidRPr="000E3CA9" w14:paraId="1680C214" w14:textId="77777777" w:rsidTr="006D2EB1">
        <w:trPr>
          <w:jc w:val="center"/>
        </w:trPr>
        <w:tc>
          <w:tcPr>
            <w:tcW w:w="3120" w:type="dxa"/>
            <w:vAlign w:val="center"/>
          </w:tcPr>
          <w:p w14:paraId="43370C09" w14:textId="77777777" w:rsidR="000E3CA9" w:rsidRPr="000E3CA9" w:rsidRDefault="000E3CA9" w:rsidP="000E3CA9">
            <w:pPr>
              <w:spacing w:after="40" w:line="360" w:lineRule="auto"/>
              <w:jc w:val="both"/>
              <w:rPr>
                <w:rFonts w:ascii="Arial" w:hAnsi="Arial" w:cs="Arial"/>
              </w:rPr>
            </w:pPr>
            <w:r w:rsidRPr="000E3CA9">
              <w:rPr>
                <w:rFonts w:ascii="Arial" w:hAnsi="Arial" w:cs="Arial"/>
              </w:rPr>
              <w:t>Practice</w:t>
            </w:r>
          </w:p>
        </w:tc>
        <w:tc>
          <w:tcPr>
            <w:tcW w:w="3120" w:type="dxa"/>
            <w:vAlign w:val="center"/>
          </w:tcPr>
          <w:p w14:paraId="31D58EF6" w14:textId="77777777" w:rsidR="000E3CA9" w:rsidRPr="000E3CA9" w:rsidRDefault="000E3CA9" w:rsidP="000E3CA9">
            <w:pPr>
              <w:spacing w:after="40" w:line="360" w:lineRule="auto"/>
              <w:jc w:val="both"/>
              <w:rPr>
                <w:rFonts w:ascii="Arial" w:hAnsi="Arial" w:cs="Arial"/>
              </w:rPr>
            </w:pPr>
            <w:r w:rsidRPr="000E3CA9">
              <w:rPr>
                <w:rFonts w:ascii="Arial" w:hAnsi="Arial" w:cs="Arial"/>
              </w:rPr>
              <w:t xml:space="preserve">Assess loneliness and objective isolation separately, then agree a </w:t>
            </w:r>
            <w:proofErr w:type="spellStart"/>
            <w:r w:rsidRPr="000E3CA9">
              <w:rPr>
                <w:rFonts w:ascii="Arial" w:hAnsi="Arial" w:cs="Arial"/>
              </w:rPr>
              <w:t>personalised</w:t>
            </w:r>
            <w:proofErr w:type="spellEnd"/>
            <w:r w:rsidRPr="000E3CA9">
              <w:rPr>
                <w:rFonts w:ascii="Arial" w:hAnsi="Arial" w:cs="Arial"/>
              </w:rPr>
              <w:t xml:space="preserve"> response to the identified mechanism (for example bereavement, mobility, transport or relationship quality).</w:t>
            </w:r>
          </w:p>
        </w:tc>
        <w:tc>
          <w:tcPr>
            <w:tcW w:w="3120" w:type="dxa"/>
            <w:vAlign w:val="center"/>
          </w:tcPr>
          <w:p w14:paraId="68DA371A" w14:textId="77777777" w:rsidR="000E3CA9" w:rsidRPr="000E3CA9" w:rsidRDefault="000E3CA9" w:rsidP="000E3CA9">
            <w:pPr>
              <w:spacing w:after="40" w:line="360" w:lineRule="auto"/>
              <w:jc w:val="both"/>
              <w:rPr>
                <w:rFonts w:ascii="Arial" w:hAnsi="Arial" w:cs="Arial"/>
              </w:rPr>
            </w:pPr>
            <w:proofErr w:type="spellStart"/>
            <w:r w:rsidRPr="000E3CA9">
              <w:rPr>
                <w:rFonts w:ascii="Arial" w:hAnsi="Arial" w:cs="Arial"/>
              </w:rPr>
              <w:t>Valtorta</w:t>
            </w:r>
            <w:proofErr w:type="spellEnd"/>
            <w:r w:rsidRPr="000E3CA9">
              <w:rPr>
                <w:rFonts w:ascii="Arial" w:hAnsi="Arial" w:cs="Arial"/>
              </w:rPr>
              <w:t xml:space="preserve"> et al. (2016); Prohaska et al. (2020). Monitor change in the relevant loneliness/isolation measure and the person’s stated goal.</w:t>
            </w:r>
          </w:p>
        </w:tc>
      </w:tr>
      <w:tr w:rsidR="000E3CA9" w:rsidRPr="000E3CA9" w14:paraId="415741AC" w14:textId="77777777" w:rsidTr="006D2EB1">
        <w:trPr>
          <w:jc w:val="center"/>
        </w:trPr>
        <w:tc>
          <w:tcPr>
            <w:tcW w:w="3120" w:type="dxa"/>
            <w:vAlign w:val="center"/>
          </w:tcPr>
          <w:p w14:paraId="64A246BD" w14:textId="77777777" w:rsidR="000E3CA9" w:rsidRPr="000E3CA9" w:rsidRDefault="000E3CA9" w:rsidP="000E3CA9">
            <w:pPr>
              <w:spacing w:after="40" w:line="360" w:lineRule="auto"/>
              <w:jc w:val="both"/>
              <w:rPr>
                <w:rFonts w:ascii="Arial" w:hAnsi="Arial" w:cs="Arial"/>
              </w:rPr>
            </w:pPr>
            <w:r w:rsidRPr="000E3CA9">
              <w:rPr>
                <w:rFonts w:ascii="Arial" w:hAnsi="Arial" w:cs="Arial"/>
              </w:rPr>
              <w:t>Practice</w:t>
            </w:r>
          </w:p>
        </w:tc>
        <w:tc>
          <w:tcPr>
            <w:tcW w:w="3120" w:type="dxa"/>
            <w:vAlign w:val="center"/>
          </w:tcPr>
          <w:p w14:paraId="4080B9D2" w14:textId="77777777" w:rsidR="000E3CA9" w:rsidRPr="000E3CA9" w:rsidRDefault="000E3CA9" w:rsidP="000E3CA9">
            <w:pPr>
              <w:spacing w:after="40" w:line="360" w:lineRule="auto"/>
              <w:jc w:val="both"/>
              <w:rPr>
                <w:rFonts w:ascii="Arial" w:hAnsi="Arial" w:cs="Arial"/>
              </w:rPr>
            </w:pPr>
            <w:r w:rsidRPr="000E3CA9">
              <w:rPr>
                <w:rFonts w:ascii="Arial" w:hAnsi="Arial" w:cs="Arial"/>
              </w:rPr>
              <w:t>Use social prescribing, befriending or community referral selectively, with planned follow-up rather than referral as an endpoint.</w:t>
            </w:r>
          </w:p>
        </w:tc>
        <w:tc>
          <w:tcPr>
            <w:tcW w:w="3120" w:type="dxa"/>
            <w:vAlign w:val="center"/>
          </w:tcPr>
          <w:p w14:paraId="25657C1E" w14:textId="77777777" w:rsidR="000E3CA9" w:rsidRPr="000E3CA9" w:rsidRDefault="000E3CA9" w:rsidP="000E3CA9">
            <w:pPr>
              <w:spacing w:after="40" w:line="360" w:lineRule="auto"/>
              <w:jc w:val="both"/>
              <w:rPr>
                <w:rFonts w:ascii="Arial" w:hAnsi="Arial" w:cs="Arial"/>
              </w:rPr>
            </w:pPr>
            <w:r w:rsidRPr="000E3CA9">
              <w:rPr>
                <w:rFonts w:ascii="Arial" w:hAnsi="Arial" w:cs="Arial"/>
              </w:rPr>
              <w:t>Reinhardt and Vidovic (2021); Galvez-Hernandez et al. (2022). Record uptake, sustained participation and change in the targeted outcome.</w:t>
            </w:r>
          </w:p>
        </w:tc>
      </w:tr>
      <w:tr w:rsidR="000E3CA9" w:rsidRPr="000E3CA9" w14:paraId="324BDF4F" w14:textId="77777777" w:rsidTr="006D2EB1">
        <w:trPr>
          <w:jc w:val="center"/>
        </w:trPr>
        <w:tc>
          <w:tcPr>
            <w:tcW w:w="3120" w:type="dxa"/>
            <w:vAlign w:val="center"/>
          </w:tcPr>
          <w:p w14:paraId="4B7F34DB" w14:textId="77777777" w:rsidR="000E3CA9" w:rsidRPr="000E3CA9" w:rsidRDefault="000E3CA9" w:rsidP="000E3CA9">
            <w:pPr>
              <w:spacing w:after="40" w:line="360" w:lineRule="auto"/>
              <w:jc w:val="both"/>
              <w:rPr>
                <w:rFonts w:ascii="Arial" w:hAnsi="Arial" w:cs="Arial"/>
              </w:rPr>
            </w:pPr>
            <w:r w:rsidRPr="000E3CA9">
              <w:rPr>
                <w:rFonts w:ascii="Arial" w:hAnsi="Arial" w:cs="Arial"/>
              </w:rPr>
              <w:t>Policy</w:t>
            </w:r>
          </w:p>
        </w:tc>
        <w:tc>
          <w:tcPr>
            <w:tcW w:w="3120" w:type="dxa"/>
            <w:vAlign w:val="center"/>
          </w:tcPr>
          <w:p w14:paraId="6A1B9970" w14:textId="77777777" w:rsidR="000E3CA9" w:rsidRPr="000E3CA9" w:rsidRDefault="000E3CA9" w:rsidP="000E3CA9">
            <w:pPr>
              <w:spacing w:after="40" w:line="360" w:lineRule="auto"/>
              <w:jc w:val="both"/>
              <w:rPr>
                <w:rFonts w:ascii="Arial" w:hAnsi="Arial" w:cs="Arial"/>
              </w:rPr>
            </w:pPr>
            <w:r w:rsidRPr="000E3CA9">
              <w:rPr>
                <w:rFonts w:ascii="Arial" w:hAnsi="Arial" w:cs="Arial"/>
              </w:rPr>
              <w:t>Protect accessible transport and local social infrastructure as upstream determinants of participation.</w:t>
            </w:r>
          </w:p>
        </w:tc>
        <w:tc>
          <w:tcPr>
            <w:tcW w:w="3120" w:type="dxa"/>
            <w:vAlign w:val="center"/>
          </w:tcPr>
          <w:p w14:paraId="3FDA3C66" w14:textId="77777777" w:rsidR="000E3CA9" w:rsidRPr="000E3CA9" w:rsidRDefault="000E3CA9" w:rsidP="000E3CA9">
            <w:pPr>
              <w:spacing w:after="40" w:line="360" w:lineRule="auto"/>
              <w:jc w:val="both"/>
              <w:rPr>
                <w:rFonts w:ascii="Arial" w:hAnsi="Arial" w:cs="Arial"/>
              </w:rPr>
            </w:pPr>
            <w:r w:rsidRPr="000E3CA9">
              <w:rPr>
                <w:rFonts w:ascii="Arial" w:hAnsi="Arial" w:cs="Arial"/>
              </w:rPr>
              <w:t xml:space="preserve">Reinhard et al. (2018); Hsueh et al. (2022). Monitor accessibility, participation and equity of reach across </w:t>
            </w:r>
            <w:proofErr w:type="spellStart"/>
            <w:r w:rsidRPr="000E3CA9">
              <w:rPr>
                <w:rFonts w:ascii="Arial" w:hAnsi="Arial" w:cs="Arial"/>
              </w:rPr>
              <w:t>neighbourhoods</w:t>
            </w:r>
            <w:proofErr w:type="spellEnd"/>
            <w:r w:rsidRPr="000E3CA9">
              <w:rPr>
                <w:rFonts w:ascii="Arial" w:hAnsi="Arial" w:cs="Arial"/>
              </w:rPr>
              <w:t>.</w:t>
            </w:r>
          </w:p>
        </w:tc>
      </w:tr>
      <w:tr w:rsidR="000E3CA9" w:rsidRPr="000E3CA9" w14:paraId="21E17DE8" w14:textId="77777777" w:rsidTr="006D2EB1">
        <w:trPr>
          <w:jc w:val="center"/>
        </w:trPr>
        <w:tc>
          <w:tcPr>
            <w:tcW w:w="3120" w:type="dxa"/>
            <w:vAlign w:val="center"/>
          </w:tcPr>
          <w:p w14:paraId="23C2B3C4" w14:textId="77777777" w:rsidR="000E3CA9" w:rsidRPr="000E3CA9" w:rsidRDefault="000E3CA9" w:rsidP="000E3CA9">
            <w:pPr>
              <w:spacing w:after="40" w:line="360" w:lineRule="auto"/>
              <w:jc w:val="both"/>
              <w:rPr>
                <w:rFonts w:ascii="Arial" w:hAnsi="Arial" w:cs="Arial"/>
              </w:rPr>
            </w:pPr>
            <w:r w:rsidRPr="000E3CA9">
              <w:rPr>
                <w:rFonts w:ascii="Arial" w:hAnsi="Arial" w:cs="Arial"/>
              </w:rPr>
              <w:t>Digital practice</w:t>
            </w:r>
          </w:p>
        </w:tc>
        <w:tc>
          <w:tcPr>
            <w:tcW w:w="3120" w:type="dxa"/>
            <w:vAlign w:val="center"/>
          </w:tcPr>
          <w:p w14:paraId="7F77266A" w14:textId="77777777" w:rsidR="000E3CA9" w:rsidRPr="000E3CA9" w:rsidRDefault="000E3CA9" w:rsidP="000E3CA9">
            <w:pPr>
              <w:spacing w:after="40" w:line="360" w:lineRule="auto"/>
              <w:jc w:val="both"/>
              <w:rPr>
                <w:rFonts w:ascii="Arial" w:hAnsi="Arial" w:cs="Arial"/>
              </w:rPr>
            </w:pPr>
            <w:r w:rsidRPr="000E3CA9">
              <w:rPr>
                <w:rFonts w:ascii="Arial" w:hAnsi="Arial" w:cs="Arial"/>
              </w:rPr>
              <w:t xml:space="preserve">Offer digital connection as an additional route, supported by </w:t>
            </w:r>
            <w:proofErr w:type="gramStart"/>
            <w:r w:rsidRPr="000E3CA9">
              <w:rPr>
                <w:rFonts w:ascii="Arial" w:hAnsi="Arial" w:cs="Arial"/>
              </w:rPr>
              <w:t>digital-literacy</w:t>
            </w:r>
            <w:proofErr w:type="gramEnd"/>
            <w:r w:rsidRPr="000E3CA9">
              <w:rPr>
                <w:rFonts w:ascii="Arial" w:hAnsi="Arial" w:cs="Arial"/>
              </w:rPr>
              <w:t xml:space="preserve"> and accessibility help, not as a universal substitute for face-to-face contact.</w:t>
            </w:r>
          </w:p>
        </w:tc>
        <w:tc>
          <w:tcPr>
            <w:tcW w:w="3120" w:type="dxa"/>
            <w:vAlign w:val="center"/>
          </w:tcPr>
          <w:p w14:paraId="1909A3E6" w14:textId="77777777" w:rsidR="000E3CA9" w:rsidRPr="000E3CA9" w:rsidRDefault="000E3CA9" w:rsidP="000E3CA9">
            <w:pPr>
              <w:spacing w:after="40" w:line="360" w:lineRule="auto"/>
              <w:jc w:val="both"/>
              <w:rPr>
                <w:rFonts w:ascii="Arial" w:hAnsi="Arial" w:cs="Arial"/>
              </w:rPr>
            </w:pPr>
            <w:proofErr w:type="spellStart"/>
            <w:r w:rsidRPr="000E3CA9">
              <w:rPr>
                <w:rFonts w:ascii="Arial" w:hAnsi="Arial" w:cs="Arial"/>
              </w:rPr>
              <w:t>Bałki</w:t>
            </w:r>
            <w:proofErr w:type="spellEnd"/>
            <w:r w:rsidRPr="000E3CA9">
              <w:rPr>
                <w:rFonts w:ascii="Arial" w:hAnsi="Arial" w:cs="Arial"/>
              </w:rPr>
              <w:t xml:space="preserve"> et al. (2022). Monitor access, sustained use and whether digital delivery narrows or widens inequalities.</w:t>
            </w:r>
          </w:p>
        </w:tc>
      </w:tr>
      <w:tr w:rsidR="000E3CA9" w:rsidRPr="000E3CA9" w14:paraId="1E7F847F" w14:textId="77777777" w:rsidTr="006D2EB1">
        <w:trPr>
          <w:jc w:val="center"/>
        </w:trPr>
        <w:tc>
          <w:tcPr>
            <w:tcW w:w="3120" w:type="dxa"/>
            <w:vAlign w:val="center"/>
          </w:tcPr>
          <w:p w14:paraId="62A7EE78" w14:textId="77777777" w:rsidR="000E3CA9" w:rsidRPr="000E3CA9" w:rsidRDefault="000E3CA9" w:rsidP="000E3CA9">
            <w:pPr>
              <w:spacing w:after="40" w:line="360" w:lineRule="auto"/>
              <w:jc w:val="both"/>
              <w:rPr>
                <w:rFonts w:ascii="Arial" w:hAnsi="Arial" w:cs="Arial"/>
              </w:rPr>
            </w:pPr>
            <w:r w:rsidRPr="000E3CA9">
              <w:rPr>
                <w:rFonts w:ascii="Arial" w:hAnsi="Arial" w:cs="Arial"/>
              </w:rPr>
              <w:t>Research</w:t>
            </w:r>
          </w:p>
        </w:tc>
        <w:tc>
          <w:tcPr>
            <w:tcW w:w="3120" w:type="dxa"/>
            <w:vAlign w:val="center"/>
          </w:tcPr>
          <w:p w14:paraId="5F744C7B" w14:textId="77777777" w:rsidR="000E3CA9" w:rsidRPr="000E3CA9" w:rsidRDefault="000E3CA9" w:rsidP="000E3CA9">
            <w:pPr>
              <w:spacing w:after="40" w:line="360" w:lineRule="auto"/>
              <w:jc w:val="both"/>
              <w:rPr>
                <w:rFonts w:ascii="Arial" w:hAnsi="Arial" w:cs="Arial"/>
              </w:rPr>
            </w:pPr>
            <w:proofErr w:type="spellStart"/>
            <w:r w:rsidRPr="000E3CA9">
              <w:rPr>
                <w:rFonts w:ascii="Arial" w:hAnsi="Arial" w:cs="Arial"/>
              </w:rPr>
              <w:t>Prioritise</w:t>
            </w:r>
            <w:proofErr w:type="spellEnd"/>
            <w:r w:rsidRPr="000E3CA9">
              <w:rPr>
                <w:rFonts w:ascii="Arial" w:hAnsi="Arial" w:cs="Arial"/>
              </w:rPr>
              <w:t xml:space="preserve"> longitudinal and intervention studies with explicit definitions, consistent </w:t>
            </w:r>
            <w:r w:rsidRPr="000E3CA9">
              <w:rPr>
                <w:rFonts w:ascii="Arial" w:hAnsi="Arial" w:cs="Arial"/>
              </w:rPr>
              <w:lastRenderedPageBreak/>
              <w:t>measures and subgroup reporting by ethnicity, disability, living arrangement and place.</w:t>
            </w:r>
          </w:p>
        </w:tc>
        <w:tc>
          <w:tcPr>
            <w:tcW w:w="3120" w:type="dxa"/>
            <w:vAlign w:val="center"/>
          </w:tcPr>
          <w:p w14:paraId="0BA6F130" w14:textId="77777777" w:rsidR="000E3CA9" w:rsidRPr="000E3CA9" w:rsidRDefault="000E3CA9" w:rsidP="000E3CA9">
            <w:pPr>
              <w:spacing w:after="40" w:line="360" w:lineRule="auto"/>
              <w:jc w:val="both"/>
              <w:rPr>
                <w:rFonts w:ascii="Arial" w:hAnsi="Arial" w:cs="Arial"/>
              </w:rPr>
            </w:pPr>
            <w:r w:rsidRPr="000E3CA9">
              <w:rPr>
                <w:rFonts w:ascii="Arial" w:hAnsi="Arial" w:cs="Arial"/>
              </w:rPr>
              <w:lastRenderedPageBreak/>
              <w:t xml:space="preserve">Prohaska et al. (2020); Bu and Fancourt (2024); Joshi et al. (2024). Pre-specify </w:t>
            </w:r>
            <w:r w:rsidRPr="000E3CA9">
              <w:rPr>
                <w:rFonts w:ascii="Arial" w:hAnsi="Arial" w:cs="Arial"/>
              </w:rPr>
              <w:lastRenderedPageBreak/>
              <w:t>outcomes and report differential effects.</w:t>
            </w:r>
          </w:p>
        </w:tc>
      </w:tr>
    </w:tbl>
    <w:p w14:paraId="1D0ACF9C" w14:textId="77777777" w:rsidR="000E3CA9" w:rsidRPr="000E3CA9" w:rsidRDefault="000E3CA9" w:rsidP="000E3CA9">
      <w:pPr>
        <w:spacing w:line="360" w:lineRule="auto"/>
        <w:jc w:val="both"/>
        <w:rPr>
          <w:rFonts w:ascii="Arial" w:hAnsi="Arial" w:cs="Arial"/>
        </w:rPr>
      </w:pPr>
      <w:r w:rsidRPr="000E3CA9">
        <w:rPr>
          <w:rFonts w:ascii="Arial" w:hAnsi="Arial" w:cs="Arial"/>
        </w:rPr>
        <w:lastRenderedPageBreak/>
        <w:br w:type="page"/>
      </w:r>
    </w:p>
    <w:p w14:paraId="42CB547C" w14:textId="77777777" w:rsidR="000E3CA9" w:rsidRPr="000E3CA9" w:rsidRDefault="000E3CA9" w:rsidP="000E3CA9">
      <w:pPr>
        <w:pStyle w:val="Heading3"/>
      </w:pPr>
      <w:bookmarkStart w:id="7" w:name="_Toc237607433"/>
      <w:r w:rsidRPr="000E3CA9">
        <w:lastRenderedPageBreak/>
        <w:t>Reference List</w:t>
      </w:r>
      <w:bookmarkEnd w:id="7"/>
    </w:p>
    <w:p w14:paraId="0D74F776" w14:textId="77777777" w:rsidR="000E3CA9" w:rsidRPr="000E3CA9" w:rsidRDefault="000E3CA9" w:rsidP="000E3CA9">
      <w:pPr>
        <w:spacing w:after="80" w:line="480" w:lineRule="auto"/>
        <w:rPr>
          <w:rFonts w:ascii="Arial" w:hAnsi="Arial" w:cs="Arial"/>
          <w:sz w:val="20"/>
          <w:szCs w:val="20"/>
        </w:rPr>
      </w:pPr>
      <w:proofErr w:type="spellStart"/>
      <w:r w:rsidRPr="000E3CA9">
        <w:rPr>
          <w:rFonts w:ascii="Arial" w:hAnsi="Arial" w:cs="Arial"/>
          <w:sz w:val="20"/>
          <w:szCs w:val="20"/>
        </w:rPr>
        <w:t>Bałki</w:t>
      </w:r>
      <w:proofErr w:type="spellEnd"/>
      <w:r w:rsidRPr="000E3CA9">
        <w:rPr>
          <w:rFonts w:ascii="Arial" w:hAnsi="Arial" w:cs="Arial"/>
          <w:sz w:val="20"/>
          <w:szCs w:val="20"/>
        </w:rPr>
        <w:t xml:space="preserve">, E., Hayes, N. and Holland, C. (2022) ‘Effectiveness of technology interventions in addressing social isolation, connectedness, and loneliness in older adults: systematic umbrella review’, </w:t>
      </w:r>
      <w:r w:rsidRPr="000E3CA9">
        <w:rPr>
          <w:rFonts w:ascii="Arial" w:hAnsi="Arial" w:cs="Arial"/>
          <w:i/>
          <w:iCs/>
          <w:sz w:val="20"/>
          <w:szCs w:val="20"/>
        </w:rPr>
        <w:t>JMIR Aging</w:t>
      </w:r>
      <w:r w:rsidRPr="000E3CA9">
        <w:rPr>
          <w:rFonts w:ascii="Arial" w:hAnsi="Arial" w:cs="Arial"/>
          <w:sz w:val="20"/>
          <w:szCs w:val="20"/>
        </w:rPr>
        <w:t xml:space="preserve">, 5(4), e40125. Available at: </w:t>
      </w:r>
      <w:hyperlink r:id="rId8" w:tgtFrame="_new" w:history="1">
        <w:r w:rsidRPr="000E3CA9">
          <w:rPr>
            <w:rStyle w:val="Hyperlink"/>
            <w:rFonts w:ascii="Arial" w:hAnsi="Arial" w:cs="Arial"/>
            <w:sz w:val="20"/>
            <w:szCs w:val="20"/>
          </w:rPr>
          <w:t>https://doi.org/10.2196/40125</w:t>
        </w:r>
      </w:hyperlink>
    </w:p>
    <w:p w14:paraId="5B46183F"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Barnes, T.L., MacLeod, S., Tkatch, R., Ahuja, M. et al. (2022) ‘Cumulative effect of loneliness and social isolation on health outcomes among older adults’, </w:t>
      </w:r>
      <w:r w:rsidRPr="000E3CA9">
        <w:rPr>
          <w:rFonts w:ascii="Arial" w:hAnsi="Arial" w:cs="Arial"/>
          <w:i/>
          <w:iCs/>
          <w:sz w:val="20"/>
          <w:szCs w:val="20"/>
        </w:rPr>
        <w:t>Aging &amp; Mental Health</w:t>
      </w:r>
      <w:r w:rsidRPr="000E3CA9">
        <w:rPr>
          <w:rFonts w:ascii="Arial" w:hAnsi="Arial" w:cs="Arial"/>
          <w:sz w:val="20"/>
          <w:szCs w:val="20"/>
        </w:rPr>
        <w:t xml:space="preserve">, 26(7), pp. 1327–1334. Available at: </w:t>
      </w:r>
      <w:hyperlink r:id="rId9" w:history="1">
        <w:r w:rsidRPr="000E3CA9">
          <w:rPr>
            <w:rStyle w:val="Hyperlink"/>
            <w:rFonts w:ascii="Arial" w:hAnsi="Arial" w:cs="Arial"/>
            <w:sz w:val="20"/>
            <w:szCs w:val="20"/>
          </w:rPr>
          <w:t>https://doi.org/10.1080/13607863.2021.1940096</w:t>
        </w:r>
      </w:hyperlink>
    </w:p>
    <w:p w14:paraId="2B1D1370"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Braun, V. and Clarke, V. (2019) ‘Reflecting on reflexive thematic analysis’, </w:t>
      </w:r>
      <w:r w:rsidRPr="000E3CA9">
        <w:rPr>
          <w:rFonts w:ascii="Arial" w:hAnsi="Arial" w:cs="Arial"/>
          <w:i/>
          <w:iCs/>
          <w:sz w:val="20"/>
          <w:szCs w:val="20"/>
        </w:rPr>
        <w:t>Qualitative Research in Sport, Exercise and Health</w:t>
      </w:r>
      <w:r w:rsidRPr="000E3CA9">
        <w:rPr>
          <w:rFonts w:ascii="Arial" w:hAnsi="Arial" w:cs="Arial"/>
          <w:sz w:val="20"/>
          <w:szCs w:val="20"/>
        </w:rPr>
        <w:t xml:space="preserve">, 11(4), pp. 589–597. Available at: </w:t>
      </w:r>
      <w:hyperlink r:id="rId10" w:tgtFrame="_new" w:history="1">
        <w:r w:rsidRPr="000E3CA9">
          <w:rPr>
            <w:rStyle w:val="Hyperlink"/>
            <w:rFonts w:ascii="Arial" w:hAnsi="Arial" w:cs="Arial"/>
            <w:sz w:val="20"/>
            <w:szCs w:val="20"/>
          </w:rPr>
          <w:t>https://doi.org/10.1080/2159676X.2019.1628806</w:t>
        </w:r>
      </w:hyperlink>
    </w:p>
    <w:p w14:paraId="157F6E68"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Bu, F. and Fancourt, D. (2024) ‘Patterns of social connection among older adults in England’, </w:t>
      </w:r>
      <w:r w:rsidRPr="000E3CA9">
        <w:rPr>
          <w:rFonts w:ascii="Arial" w:hAnsi="Arial" w:cs="Arial"/>
          <w:i/>
          <w:iCs/>
          <w:sz w:val="20"/>
          <w:szCs w:val="20"/>
        </w:rPr>
        <w:t>JAMA Network Open</w:t>
      </w:r>
      <w:r w:rsidRPr="000E3CA9">
        <w:rPr>
          <w:rFonts w:ascii="Arial" w:hAnsi="Arial" w:cs="Arial"/>
          <w:sz w:val="20"/>
          <w:szCs w:val="20"/>
        </w:rPr>
        <w:t xml:space="preserve">, 7(12), e2451580. Available at: </w:t>
      </w:r>
      <w:hyperlink r:id="rId11" w:history="1">
        <w:r w:rsidRPr="000E3CA9">
          <w:rPr>
            <w:rStyle w:val="Hyperlink"/>
            <w:rFonts w:ascii="Arial" w:hAnsi="Arial" w:cs="Arial"/>
            <w:sz w:val="20"/>
            <w:szCs w:val="20"/>
          </w:rPr>
          <w:t>https://doi.org/10.1001/jamanetworkopen.2024.51580</w:t>
        </w:r>
      </w:hyperlink>
    </w:p>
    <w:p w14:paraId="54BB4088"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Davies, K., Maharani, A., Chandola, T., Todd, C. et al. (2021) ‘The longitudinal relationship between loneliness, social isolation, and frailty in older adults in England: a prospective analysis’, </w:t>
      </w:r>
      <w:r w:rsidRPr="000E3CA9">
        <w:rPr>
          <w:rFonts w:ascii="Arial" w:hAnsi="Arial" w:cs="Arial"/>
          <w:i/>
          <w:iCs/>
          <w:sz w:val="20"/>
          <w:szCs w:val="20"/>
        </w:rPr>
        <w:t>The Lancet Healthy Longevity</w:t>
      </w:r>
      <w:r w:rsidRPr="000E3CA9">
        <w:rPr>
          <w:rFonts w:ascii="Arial" w:hAnsi="Arial" w:cs="Arial"/>
          <w:sz w:val="20"/>
          <w:szCs w:val="20"/>
        </w:rPr>
        <w:t xml:space="preserve">, 2(2), pp. e70–e77. Available at: </w:t>
      </w:r>
      <w:hyperlink r:id="rId12" w:history="1">
        <w:r w:rsidRPr="000E3CA9">
          <w:rPr>
            <w:rStyle w:val="Hyperlink"/>
            <w:rFonts w:ascii="Arial" w:hAnsi="Arial" w:cs="Arial"/>
            <w:sz w:val="20"/>
            <w:szCs w:val="20"/>
          </w:rPr>
          <w:t>https://doi.org/10.1016/S2666-7568(20)30038-6</w:t>
        </w:r>
      </w:hyperlink>
    </w:p>
    <w:p w14:paraId="2EA77674"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Eager, S., Baldwin, H., McDaid, D., McCrone, P. et al. (2025) ‘The impact of loneliness on healthcare costs and service utilisation and the cost-effectiveness of loneliness interventions: systematic review’, </w:t>
      </w:r>
      <w:proofErr w:type="spellStart"/>
      <w:r w:rsidRPr="000E3CA9">
        <w:rPr>
          <w:rFonts w:ascii="Arial" w:hAnsi="Arial" w:cs="Arial"/>
          <w:i/>
          <w:iCs/>
          <w:sz w:val="20"/>
          <w:szCs w:val="20"/>
        </w:rPr>
        <w:t>BJPsych</w:t>
      </w:r>
      <w:proofErr w:type="spellEnd"/>
      <w:r w:rsidRPr="000E3CA9">
        <w:rPr>
          <w:rFonts w:ascii="Arial" w:hAnsi="Arial" w:cs="Arial"/>
          <w:i/>
          <w:iCs/>
          <w:sz w:val="20"/>
          <w:szCs w:val="20"/>
        </w:rPr>
        <w:t xml:space="preserve"> Open</w:t>
      </w:r>
      <w:r w:rsidRPr="000E3CA9">
        <w:rPr>
          <w:rFonts w:ascii="Arial" w:hAnsi="Arial" w:cs="Arial"/>
          <w:sz w:val="20"/>
          <w:szCs w:val="20"/>
        </w:rPr>
        <w:t xml:space="preserve">. Available at: </w:t>
      </w:r>
      <w:hyperlink r:id="rId13" w:tgtFrame="_new" w:history="1">
        <w:r w:rsidRPr="000E3CA9">
          <w:rPr>
            <w:rStyle w:val="Hyperlink"/>
            <w:rFonts w:ascii="Arial" w:hAnsi="Arial" w:cs="Arial"/>
            <w:sz w:val="20"/>
            <w:szCs w:val="20"/>
          </w:rPr>
          <w:t>https://www.cambridge.org/core/journals/bjpsych-open/article/impact-of-loneliness-on-healthcare-costs-and-service-utilisation-and-the-costeffectiveness-of-loneliness-interventions-systematic-review/A63B16B1CC1D4F25491DA4F93822A817</w:t>
        </w:r>
      </w:hyperlink>
      <w:r w:rsidRPr="000E3CA9">
        <w:rPr>
          <w:rFonts w:ascii="Arial" w:hAnsi="Arial" w:cs="Arial"/>
          <w:sz w:val="20"/>
          <w:szCs w:val="20"/>
        </w:rPr>
        <w:t xml:space="preserve"> (Accessed: 8 August 2026).</w:t>
      </w:r>
    </w:p>
    <w:p w14:paraId="6977F9D5"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Galvez-Hernandez, P., González-de Paz, L. et al. (2022) ‘Primary care-based interventions addressing social isolation and loneliness in older people: a scoping review’, </w:t>
      </w:r>
      <w:r w:rsidRPr="000E3CA9">
        <w:rPr>
          <w:rFonts w:ascii="Arial" w:hAnsi="Arial" w:cs="Arial"/>
          <w:i/>
          <w:iCs/>
          <w:sz w:val="20"/>
          <w:szCs w:val="20"/>
        </w:rPr>
        <w:t>BMJ Open</w:t>
      </w:r>
      <w:r w:rsidRPr="000E3CA9">
        <w:rPr>
          <w:rFonts w:ascii="Arial" w:hAnsi="Arial" w:cs="Arial"/>
          <w:sz w:val="20"/>
          <w:szCs w:val="20"/>
        </w:rPr>
        <w:t xml:space="preserve">, 12(2), e057729. Available at: </w:t>
      </w:r>
      <w:hyperlink r:id="rId14" w:tgtFrame="_new" w:history="1">
        <w:r w:rsidRPr="000E3CA9">
          <w:rPr>
            <w:rStyle w:val="Hyperlink"/>
            <w:rFonts w:ascii="Arial" w:hAnsi="Arial" w:cs="Arial"/>
            <w:sz w:val="20"/>
            <w:szCs w:val="20"/>
          </w:rPr>
          <w:t>https://doi.org/10.1136/bmjopen-2021-057729</w:t>
        </w:r>
      </w:hyperlink>
    </w:p>
    <w:p w14:paraId="3AB85B56"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HM Government (2018) </w:t>
      </w:r>
      <w:r w:rsidRPr="000E3CA9">
        <w:rPr>
          <w:rFonts w:ascii="Arial" w:hAnsi="Arial" w:cs="Arial"/>
          <w:i/>
          <w:iCs/>
          <w:sz w:val="20"/>
          <w:szCs w:val="20"/>
        </w:rPr>
        <w:t>A connected society: a strategy for tackling loneliness – laying the foundations for change</w:t>
      </w:r>
      <w:r w:rsidRPr="000E3CA9">
        <w:rPr>
          <w:rFonts w:ascii="Arial" w:hAnsi="Arial" w:cs="Arial"/>
          <w:sz w:val="20"/>
          <w:szCs w:val="20"/>
        </w:rPr>
        <w:t xml:space="preserve">. London: Department for Digital, Culture, Media &amp; Sport. Available at: </w:t>
      </w:r>
      <w:hyperlink r:id="rId15" w:tgtFrame="_new" w:history="1">
        <w:r w:rsidRPr="000E3CA9">
          <w:rPr>
            <w:rStyle w:val="Hyperlink"/>
            <w:rFonts w:ascii="Arial" w:hAnsi="Arial" w:cs="Arial"/>
            <w:sz w:val="20"/>
            <w:szCs w:val="20"/>
          </w:rPr>
          <w:t>https://www.gov.uk/government/publications/a-connected-society-a-strategy-for-tackling-loneliness</w:t>
        </w:r>
      </w:hyperlink>
    </w:p>
    <w:p w14:paraId="4D94CEDA"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Hsueh, Y.-C., Batchelor, R., Liebmann, M. et al. (2022) ‘A systematic review of studies describing the effectiveness, acceptability, and potential harms of place-based interventions to address loneliness </w:t>
      </w:r>
      <w:r w:rsidRPr="000E3CA9">
        <w:rPr>
          <w:rFonts w:ascii="Arial" w:hAnsi="Arial" w:cs="Arial"/>
          <w:sz w:val="20"/>
          <w:szCs w:val="20"/>
        </w:rPr>
        <w:lastRenderedPageBreak/>
        <w:t xml:space="preserve">and mental health problems’, </w:t>
      </w:r>
      <w:r w:rsidRPr="000E3CA9">
        <w:rPr>
          <w:rFonts w:ascii="Arial" w:hAnsi="Arial" w:cs="Arial"/>
          <w:i/>
          <w:iCs/>
          <w:sz w:val="20"/>
          <w:szCs w:val="20"/>
        </w:rPr>
        <w:t>International Journal of Environmental Research and Public Health</w:t>
      </w:r>
      <w:r w:rsidRPr="000E3CA9">
        <w:rPr>
          <w:rFonts w:ascii="Arial" w:hAnsi="Arial" w:cs="Arial"/>
          <w:sz w:val="20"/>
          <w:szCs w:val="20"/>
        </w:rPr>
        <w:t xml:space="preserve">, 19(8), 4766. Available at: </w:t>
      </w:r>
      <w:hyperlink r:id="rId16" w:tgtFrame="_new" w:history="1">
        <w:r w:rsidRPr="000E3CA9">
          <w:rPr>
            <w:rStyle w:val="Hyperlink"/>
            <w:rFonts w:ascii="Arial" w:hAnsi="Arial" w:cs="Arial"/>
            <w:sz w:val="20"/>
            <w:szCs w:val="20"/>
          </w:rPr>
          <w:t>https://doi.org/10.3390/ijerph19084766</w:t>
        </w:r>
      </w:hyperlink>
    </w:p>
    <w:p w14:paraId="60D06E84"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Joshi, M., Finney, N. and Hale, J.M. (2024) ‘Loneliness and social isolation of ethnic minority/immigrant older adults: a scoping review’, </w:t>
      </w:r>
      <w:r w:rsidRPr="000E3CA9">
        <w:rPr>
          <w:rFonts w:ascii="Arial" w:hAnsi="Arial" w:cs="Arial"/>
          <w:i/>
          <w:iCs/>
          <w:sz w:val="20"/>
          <w:szCs w:val="20"/>
        </w:rPr>
        <w:t>Ageing &amp; Society</w:t>
      </w:r>
      <w:r w:rsidRPr="000E3CA9">
        <w:rPr>
          <w:rFonts w:ascii="Arial" w:hAnsi="Arial" w:cs="Arial"/>
          <w:sz w:val="20"/>
          <w:szCs w:val="20"/>
        </w:rPr>
        <w:t xml:space="preserve">. Available at: </w:t>
      </w:r>
      <w:hyperlink r:id="rId17" w:history="1">
        <w:r w:rsidRPr="000E3CA9">
          <w:rPr>
            <w:rStyle w:val="Hyperlink"/>
            <w:rFonts w:ascii="Arial" w:hAnsi="Arial" w:cs="Arial"/>
            <w:sz w:val="20"/>
            <w:szCs w:val="20"/>
          </w:rPr>
          <w:t>https://www.cambridge.org/core/journals/ageing-and-society/article/loneliness-and-social-isolation-of-ethnic-minorityimmigrant-older-adults-a-scoping-review/413C0D1167B709E36B76A3A2C6F59ED3</w:t>
        </w:r>
      </w:hyperlink>
      <w:r w:rsidRPr="000E3CA9">
        <w:rPr>
          <w:rFonts w:ascii="Arial" w:hAnsi="Arial" w:cs="Arial"/>
          <w:sz w:val="20"/>
          <w:szCs w:val="20"/>
        </w:rPr>
        <w:t xml:space="preserve"> (Accessed: 8 August 2026).</w:t>
      </w:r>
    </w:p>
    <w:p w14:paraId="372C9851"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Khalil, H., Peters, M.D.J., </w:t>
      </w:r>
      <w:proofErr w:type="spellStart"/>
      <w:r w:rsidRPr="000E3CA9">
        <w:rPr>
          <w:rFonts w:ascii="Arial" w:hAnsi="Arial" w:cs="Arial"/>
          <w:sz w:val="20"/>
          <w:szCs w:val="20"/>
        </w:rPr>
        <w:t>Tricco</w:t>
      </w:r>
      <w:proofErr w:type="spellEnd"/>
      <w:r w:rsidRPr="000E3CA9">
        <w:rPr>
          <w:rFonts w:ascii="Arial" w:hAnsi="Arial" w:cs="Arial"/>
          <w:sz w:val="20"/>
          <w:szCs w:val="20"/>
        </w:rPr>
        <w:t xml:space="preserve">, A.C., Pollock, D. et al. (2021) ‘Conducting </w:t>
      </w:r>
      <w:proofErr w:type="gramStart"/>
      <w:r w:rsidRPr="000E3CA9">
        <w:rPr>
          <w:rFonts w:ascii="Arial" w:hAnsi="Arial" w:cs="Arial"/>
          <w:sz w:val="20"/>
          <w:szCs w:val="20"/>
        </w:rPr>
        <w:t>high quality</w:t>
      </w:r>
      <w:proofErr w:type="gramEnd"/>
      <w:r w:rsidRPr="000E3CA9">
        <w:rPr>
          <w:rFonts w:ascii="Arial" w:hAnsi="Arial" w:cs="Arial"/>
          <w:sz w:val="20"/>
          <w:szCs w:val="20"/>
        </w:rPr>
        <w:t xml:space="preserve"> scoping reviews—challenges and solutions’, </w:t>
      </w:r>
      <w:r w:rsidRPr="000E3CA9">
        <w:rPr>
          <w:rFonts w:ascii="Arial" w:hAnsi="Arial" w:cs="Arial"/>
          <w:i/>
          <w:iCs/>
          <w:sz w:val="20"/>
          <w:szCs w:val="20"/>
        </w:rPr>
        <w:t>Journal of Clinical Epidemiology</w:t>
      </w:r>
      <w:r w:rsidRPr="000E3CA9">
        <w:rPr>
          <w:rFonts w:ascii="Arial" w:hAnsi="Arial" w:cs="Arial"/>
          <w:sz w:val="20"/>
          <w:szCs w:val="20"/>
        </w:rPr>
        <w:t xml:space="preserve">, 130, pp. 156–160. Available at: </w:t>
      </w:r>
      <w:hyperlink r:id="rId18" w:history="1">
        <w:r w:rsidRPr="000E3CA9">
          <w:rPr>
            <w:rStyle w:val="Hyperlink"/>
            <w:rFonts w:ascii="Arial" w:hAnsi="Arial" w:cs="Arial"/>
            <w:sz w:val="20"/>
            <w:szCs w:val="20"/>
          </w:rPr>
          <w:t>https://doi.org/10.1016/j.jclinepi.2020.10.009</w:t>
        </w:r>
      </w:hyperlink>
    </w:p>
    <w:p w14:paraId="44DC3783"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McElroy, E., Herrett, E., Patel, K. et al. (2023) ‘Living alone and mental health: parallel analyses in UK longitudinal population surveys and electronic health records prior to and during the COVID-19 pandemic’, </w:t>
      </w:r>
      <w:r w:rsidRPr="000E3CA9">
        <w:rPr>
          <w:rFonts w:ascii="Arial" w:hAnsi="Arial" w:cs="Arial"/>
          <w:i/>
          <w:iCs/>
          <w:sz w:val="20"/>
          <w:szCs w:val="20"/>
        </w:rPr>
        <w:t>BMJ Mental Health</w:t>
      </w:r>
      <w:r w:rsidRPr="000E3CA9">
        <w:rPr>
          <w:rFonts w:ascii="Arial" w:hAnsi="Arial" w:cs="Arial"/>
          <w:sz w:val="20"/>
          <w:szCs w:val="20"/>
        </w:rPr>
        <w:t xml:space="preserve">, 26(1), e300842. Available at: </w:t>
      </w:r>
      <w:hyperlink r:id="rId19" w:history="1">
        <w:r w:rsidRPr="000E3CA9">
          <w:rPr>
            <w:rStyle w:val="Hyperlink"/>
            <w:rFonts w:ascii="Arial" w:hAnsi="Arial" w:cs="Arial"/>
            <w:sz w:val="20"/>
            <w:szCs w:val="20"/>
          </w:rPr>
          <w:t>https://doi.org/10.1136/bmjment-2023-300842</w:t>
        </w:r>
      </w:hyperlink>
    </w:p>
    <w:p w14:paraId="4F4A7F7F"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NHS England (2019) </w:t>
      </w:r>
      <w:r w:rsidRPr="000E3CA9">
        <w:rPr>
          <w:rFonts w:ascii="Arial" w:hAnsi="Arial" w:cs="Arial"/>
          <w:i/>
          <w:iCs/>
          <w:sz w:val="20"/>
          <w:szCs w:val="20"/>
        </w:rPr>
        <w:t>Universal Personalised Care: implementing the comprehensive model</w:t>
      </w:r>
      <w:r w:rsidRPr="000E3CA9">
        <w:rPr>
          <w:rFonts w:ascii="Arial" w:hAnsi="Arial" w:cs="Arial"/>
          <w:sz w:val="20"/>
          <w:szCs w:val="20"/>
        </w:rPr>
        <w:t xml:space="preserve">. London: NHS England. Available at: </w:t>
      </w:r>
      <w:hyperlink r:id="rId20" w:tgtFrame="_new" w:history="1">
        <w:r w:rsidRPr="000E3CA9">
          <w:rPr>
            <w:rStyle w:val="Hyperlink"/>
            <w:rFonts w:ascii="Arial" w:hAnsi="Arial" w:cs="Arial"/>
            <w:sz w:val="20"/>
            <w:szCs w:val="20"/>
          </w:rPr>
          <w:t>https://www.england.nhs.uk/personalisedcare/upc/</w:t>
        </w:r>
      </w:hyperlink>
      <w:r w:rsidRPr="000E3CA9">
        <w:rPr>
          <w:rFonts w:ascii="Arial" w:hAnsi="Arial" w:cs="Arial"/>
          <w:sz w:val="20"/>
          <w:szCs w:val="20"/>
        </w:rPr>
        <w:t xml:space="preserve"> (Accessed: 10 August 2026).</w:t>
      </w:r>
    </w:p>
    <w:p w14:paraId="7809FBFB"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Peters, M.D.J., Marnie, C., </w:t>
      </w:r>
      <w:proofErr w:type="spellStart"/>
      <w:r w:rsidRPr="000E3CA9">
        <w:rPr>
          <w:rFonts w:ascii="Arial" w:hAnsi="Arial" w:cs="Arial"/>
          <w:sz w:val="20"/>
          <w:szCs w:val="20"/>
        </w:rPr>
        <w:t>Tricco</w:t>
      </w:r>
      <w:proofErr w:type="spellEnd"/>
      <w:r w:rsidRPr="000E3CA9">
        <w:rPr>
          <w:rFonts w:ascii="Arial" w:hAnsi="Arial" w:cs="Arial"/>
          <w:sz w:val="20"/>
          <w:szCs w:val="20"/>
        </w:rPr>
        <w:t xml:space="preserve">, A.C., Pollock, D., Munn, Z. et al. (2020) ‘Updated methodological guidance for the conduct of scoping reviews’, </w:t>
      </w:r>
      <w:r w:rsidRPr="000E3CA9">
        <w:rPr>
          <w:rFonts w:ascii="Arial" w:hAnsi="Arial" w:cs="Arial"/>
          <w:i/>
          <w:iCs/>
          <w:sz w:val="20"/>
          <w:szCs w:val="20"/>
        </w:rPr>
        <w:t>JBI Evidence Synthesis</w:t>
      </w:r>
      <w:r w:rsidRPr="000E3CA9">
        <w:rPr>
          <w:rFonts w:ascii="Arial" w:hAnsi="Arial" w:cs="Arial"/>
          <w:sz w:val="20"/>
          <w:szCs w:val="20"/>
        </w:rPr>
        <w:t xml:space="preserve">, 18(10), pp. 2119–2126. Available at: </w:t>
      </w:r>
      <w:hyperlink r:id="rId21" w:tgtFrame="_new" w:history="1">
        <w:r w:rsidRPr="000E3CA9">
          <w:rPr>
            <w:rStyle w:val="Hyperlink"/>
            <w:rFonts w:ascii="Arial" w:hAnsi="Arial" w:cs="Arial"/>
            <w:sz w:val="20"/>
            <w:szCs w:val="20"/>
          </w:rPr>
          <w:t>https://doi.org/10.11124/JBIES-20-00167</w:t>
        </w:r>
      </w:hyperlink>
    </w:p>
    <w:p w14:paraId="3214CC03"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Prohaska, T., Burholt, V., Burns, A., Golden, J. et al. (2020) ‘Consensus statement: loneliness in older adults, the 21st century social determinant of health?’, </w:t>
      </w:r>
      <w:r w:rsidRPr="000E3CA9">
        <w:rPr>
          <w:rFonts w:ascii="Arial" w:hAnsi="Arial" w:cs="Arial"/>
          <w:i/>
          <w:iCs/>
          <w:sz w:val="20"/>
          <w:szCs w:val="20"/>
        </w:rPr>
        <w:t>BMJ Open</w:t>
      </w:r>
      <w:r w:rsidRPr="000E3CA9">
        <w:rPr>
          <w:rFonts w:ascii="Arial" w:hAnsi="Arial" w:cs="Arial"/>
          <w:sz w:val="20"/>
          <w:szCs w:val="20"/>
        </w:rPr>
        <w:t xml:space="preserve">, 10(8), e034967. Available at: </w:t>
      </w:r>
      <w:hyperlink r:id="rId22" w:history="1">
        <w:r w:rsidRPr="000E3CA9">
          <w:rPr>
            <w:rStyle w:val="Hyperlink"/>
            <w:rFonts w:ascii="Arial" w:hAnsi="Arial" w:cs="Arial"/>
            <w:sz w:val="20"/>
            <w:szCs w:val="20"/>
          </w:rPr>
          <w:t>https://doi.org/10.1136/bmjopen-2019-034967</w:t>
        </w:r>
      </w:hyperlink>
    </w:p>
    <w:p w14:paraId="62E3646E"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Reinhard, E., Courtin, E., van Lenthe, F.J. and Avendano, M. (2018) ‘Public transport policy, social engagement and mental health in older age: a quasi-experimental evaluation of free bus passes in England’, </w:t>
      </w:r>
      <w:r w:rsidRPr="000E3CA9">
        <w:rPr>
          <w:rFonts w:ascii="Arial" w:hAnsi="Arial" w:cs="Arial"/>
          <w:i/>
          <w:iCs/>
          <w:sz w:val="20"/>
          <w:szCs w:val="20"/>
        </w:rPr>
        <w:t>Journal of Epidemiology and Community Health</w:t>
      </w:r>
      <w:r w:rsidRPr="000E3CA9">
        <w:rPr>
          <w:rFonts w:ascii="Arial" w:hAnsi="Arial" w:cs="Arial"/>
          <w:sz w:val="20"/>
          <w:szCs w:val="20"/>
        </w:rPr>
        <w:t xml:space="preserve">, 72(5), pp. 361–368. Available at: </w:t>
      </w:r>
      <w:hyperlink r:id="rId23" w:history="1">
        <w:r w:rsidRPr="000E3CA9">
          <w:rPr>
            <w:rStyle w:val="Hyperlink"/>
            <w:rFonts w:ascii="Arial" w:hAnsi="Arial" w:cs="Arial"/>
            <w:sz w:val="20"/>
            <w:szCs w:val="20"/>
          </w:rPr>
          <w:t>https://doi.org/10.1136/jech-2017-210038</w:t>
        </w:r>
      </w:hyperlink>
    </w:p>
    <w:p w14:paraId="4890CBE4"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lastRenderedPageBreak/>
        <w:t xml:space="preserve">Reinhardt, G.Y., Vidovic, D. and Hammerton, C. (2021) ‘Understanding loneliness: a systematic review of the impact of social prescribing initiatives on loneliness’, </w:t>
      </w:r>
      <w:r w:rsidRPr="000E3CA9">
        <w:rPr>
          <w:rFonts w:ascii="Arial" w:hAnsi="Arial" w:cs="Arial"/>
          <w:i/>
          <w:iCs/>
          <w:sz w:val="20"/>
          <w:szCs w:val="20"/>
        </w:rPr>
        <w:t>Perspectives in Public Health</w:t>
      </w:r>
      <w:r w:rsidRPr="000E3CA9">
        <w:rPr>
          <w:rFonts w:ascii="Arial" w:hAnsi="Arial" w:cs="Arial"/>
          <w:sz w:val="20"/>
          <w:szCs w:val="20"/>
        </w:rPr>
        <w:t xml:space="preserve">, 141(4), pp. 204–213. Available at: </w:t>
      </w:r>
      <w:hyperlink r:id="rId24" w:history="1">
        <w:r w:rsidRPr="000E3CA9">
          <w:rPr>
            <w:rStyle w:val="Hyperlink"/>
            <w:rFonts w:ascii="Arial" w:hAnsi="Arial" w:cs="Arial"/>
            <w:sz w:val="20"/>
            <w:szCs w:val="20"/>
          </w:rPr>
          <w:t>https://doi.org/10.1177/1757913920967040</w:t>
        </w:r>
      </w:hyperlink>
    </w:p>
    <w:p w14:paraId="75EAD44C" w14:textId="77777777" w:rsidR="000E3CA9" w:rsidRPr="000E3CA9" w:rsidRDefault="000E3CA9" w:rsidP="000E3CA9">
      <w:pPr>
        <w:spacing w:after="80" w:line="480" w:lineRule="auto"/>
        <w:rPr>
          <w:rFonts w:ascii="Arial" w:hAnsi="Arial" w:cs="Arial"/>
          <w:sz w:val="20"/>
          <w:szCs w:val="20"/>
        </w:rPr>
      </w:pPr>
      <w:r w:rsidRPr="000E3CA9">
        <w:rPr>
          <w:rFonts w:ascii="Arial" w:hAnsi="Arial" w:cs="Arial"/>
          <w:sz w:val="20"/>
          <w:szCs w:val="20"/>
        </w:rPr>
        <w:t xml:space="preserve">Robb, C.E., de Jager, C.A., Ahmadi-Abhari, S. et al. (2020) ‘Associations of social isolation with anxiety and depression during the early COVID-19 pandemic: a survey of older adults in London, UK’, </w:t>
      </w:r>
      <w:r w:rsidRPr="000E3CA9">
        <w:rPr>
          <w:rFonts w:ascii="Arial" w:hAnsi="Arial" w:cs="Arial"/>
          <w:i/>
          <w:iCs/>
          <w:sz w:val="20"/>
          <w:szCs w:val="20"/>
        </w:rPr>
        <w:t>Frontiers in Psychiatry</w:t>
      </w:r>
      <w:r w:rsidRPr="000E3CA9">
        <w:rPr>
          <w:rFonts w:ascii="Arial" w:hAnsi="Arial" w:cs="Arial"/>
          <w:sz w:val="20"/>
          <w:szCs w:val="20"/>
        </w:rPr>
        <w:t xml:space="preserve">, 11, 591120. Available at: </w:t>
      </w:r>
      <w:hyperlink r:id="rId25" w:tgtFrame="_new" w:history="1">
        <w:r w:rsidRPr="000E3CA9">
          <w:rPr>
            <w:rStyle w:val="Hyperlink"/>
            <w:rFonts w:ascii="Arial" w:hAnsi="Arial" w:cs="Arial"/>
            <w:sz w:val="20"/>
            <w:szCs w:val="20"/>
          </w:rPr>
          <w:t>https://doi.org/10.3389/fpsyt.2020.591120</w:t>
        </w:r>
      </w:hyperlink>
    </w:p>
    <w:p w14:paraId="4CDF6C15" w14:textId="77777777" w:rsidR="000E3CA9" w:rsidRPr="000E3CA9" w:rsidRDefault="000E3CA9" w:rsidP="000E3CA9">
      <w:pPr>
        <w:spacing w:after="80" w:line="480" w:lineRule="auto"/>
        <w:rPr>
          <w:rFonts w:ascii="Arial" w:hAnsi="Arial" w:cs="Arial"/>
          <w:sz w:val="20"/>
          <w:szCs w:val="20"/>
        </w:rPr>
      </w:pPr>
      <w:proofErr w:type="spellStart"/>
      <w:r w:rsidRPr="000E3CA9">
        <w:rPr>
          <w:rFonts w:ascii="Arial" w:hAnsi="Arial" w:cs="Arial"/>
          <w:sz w:val="20"/>
          <w:szCs w:val="20"/>
        </w:rPr>
        <w:t>Tricco</w:t>
      </w:r>
      <w:proofErr w:type="spellEnd"/>
      <w:r w:rsidRPr="000E3CA9">
        <w:rPr>
          <w:rFonts w:ascii="Arial" w:hAnsi="Arial" w:cs="Arial"/>
          <w:sz w:val="20"/>
          <w:szCs w:val="20"/>
        </w:rPr>
        <w:t>, A.C., Lillie, E., Zarin, W., O’Brien, K.K. et al. (2018) ‘PRISMA extension for scoping reviews (PRISMA-</w:t>
      </w:r>
      <w:proofErr w:type="spellStart"/>
      <w:r w:rsidRPr="000E3CA9">
        <w:rPr>
          <w:rFonts w:ascii="Arial" w:hAnsi="Arial" w:cs="Arial"/>
          <w:sz w:val="20"/>
          <w:szCs w:val="20"/>
        </w:rPr>
        <w:t>ScR</w:t>
      </w:r>
      <w:proofErr w:type="spellEnd"/>
      <w:r w:rsidRPr="000E3CA9">
        <w:rPr>
          <w:rFonts w:ascii="Arial" w:hAnsi="Arial" w:cs="Arial"/>
          <w:sz w:val="20"/>
          <w:szCs w:val="20"/>
        </w:rPr>
        <w:t xml:space="preserve">): checklist and explanation’, </w:t>
      </w:r>
      <w:r w:rsidRPr="000E3CA9">
        <w:rPr>
          <w:rFonts w:ascii="Arial" w:hAnsi="Arial" w:cs="Arial"/>
          <w:i/>
          <w:iCs/>
          <w:sz w:val="20"/>
          <w:szCs w:val="20"/>
        </w:rPr>
        <w:t>Annals of Internal Medicine</w:t>
      </w:r>
      <w:r w:rsidRPr="000E3CA9">
        <w:rPr>
          <w:rFonts w:ascii="Arial" w:hAnsi="Arial" w:cs="Arial"/>
          <w:sz w:val="20"/>
          <w:szCs w:val="20"/>
        </w:rPr>
        <w:t xml:space="preserve">, 169(7), pp. 467–473. Available at: </w:t>
      </w:r>
      <w:hyperlink r:id="rId26" w:tgtFrame="_new" w:history="1">
        <w:r w:rsidRPr="000E3CA9">
          <w:rPr>
            <w:rStyle w:val="Hyperlink"/>
            <w:rFonts w:ascii="Arial" w:hAnsi="Arial" w:cs="Arial"/>
            <w:sz w:val="20"/>
            <w:szCs w:val="20"/>
          </w:rPr>
          <w:t>https://doi.org/10.7326/M18-0850</w:t>
        </w:r>
      </w:hyperlink>
    </w:p>
    <w:p w14:paraId="324240DD" w14:textId="77777777" w:rsidR="000E3CA9" w:rsidRPr="000E3CA9" w:rsidRDefault="000E3CA9" w:rsidP="000E3CA9">
      <w:pPr>
        <w:spacing w:after="80" w:line="480" w:lineRule="auto"/>
        <w:rPr>
          <w:rFonts w:ascii="Arial" w:hAnsi="Arial" w:cs="Arial"/>
          <w:sz w:val="20"/>
          <w:szCs w:val="20"/>
        </w:rPr>
      </w:pPr>
      <w:proofErr w:type="spellStart"/>
      <w:r w:rsidRPr="000E3CA9">
        <w:rPr>
          <w:rFonts w:ascii="Arial" w:hAnsi="Arial" w:cs="Arial"/>
          <w:sz w:val="20"/>
          <w:szCs w:val="20"/>
        </w:rPr>
        <w:t>Valtorta</w:t>
      </w:r>
      <w:proofErr w:type="spellEnd"/>
      <w:r w:rsidRPr="000E3CA9">
        <w:rPr>
          <w:rFonts w:ascii="Arial" w:hAnsi="Arial" w:cs="Arial"/>
          <w:sz w:val="20"/>
          <w:szCs w:val="20"/>
        </w:rPr>
        <w:t xml:space="preserve">, N.K., Kanaan, M., Gilbody, S. and Hanratty, B. (2016) ‘Loneliness, social isolation and social relationships: what are we measuring? A novel framework for classifying and comparing tools’, </w:t>
      </w:r>
      <w:r w:rsidRPr="000E3CA9">
        <w:rPr>
          <w:rFonts w:ascii="Arial" w:hAnsi="Arial" w:cs="Arial"/>
          <w:i/>
          <w:iCs/>
          <w:sz w:val="20"/>
          <w:szCs w:val="20"/>
        </w:rPr>
        <w:t>BMJ Open</w:t>
      </w:r>
      <w:r w:rsidRPr="000E3CA9">
        <w:rPr>
          <w:rFonts w:ascii="Arial" w:hAnsi="Arial" w:cs="Arial"/>
          <w:sz w:val="20"/>
          <w:szCs w:val="20"/>
        </w:rPr>
        <w:t xml:space="preserve">, 6(4), e010799. Available at: </w:t>
      </w:r>
      <w:hyperlink r:id="rId27" w:history="1">
        <w:r w:rsidRPr="000E3CA9">
          <w:rPr>
            <w:rStyle w:val="Hyperlink"/>
            <w:rFonts w:ascii="Arial" w:hAnsi="Arial" w:cs="Arial"/>
            <w:sz w:val="20"/>
            <w:szCs w:val="20"/>
          </w:rPr>
          <w:t>https://doi.org/10.1136/bmjopen-2015-010799</w:t>
        </w:r>
      </w:hyperlink>
      <w:r w:rsidRPr="000E3CA9">
        <w:rPr>
          <w:rFonts w:ascii="Arial" w:hAnsi="Arial" w:cs="Arial"/>
          <w:sz w:val="20"/>
          <w:szCs w:val="20"/>
        </w:rPr>
        <w:t xml:space="preserve"> 10799. </w:t>
      </w:r>
      <w:proofErr w:type="spellStart"/>
      <w:r w:rsidRPr="000E3CA9">
        <w:rPr>
          <w:rFonts w:ascii="Arial" w:hAnsi="Arial" w:cs="Arial"/>
          <w:sz w:val="20"/>
          <w:szCs w:val="20"/>
        </w:rPr>
        <w:t>doi</w:t>
      </w:r>
      <w:proofErr w:type="spellEnd"/>
      <w:r w:rsidRPr="000E3CA9">
        <w:rPr>
          <w:rFonts w:ascii="Arial" w:hAnsi="Arial" w:cs="Arial"/>
          <w:sz w:val="20"/>
          <w:szCs w:val="20"/>
        </w:rPr>
        <w:t>: 10.1136/bmjopen-2015-010799.</w:t>
      </w:r>
    </w:p>
    <w:p w14:paraId="5D4E5748" w14:textId="32BF32F5" w:rsidR="00D43DEE" w:rsidRPr="000E3CA9" w:rsidRDefault="00D43DEE" w:rsidP="000E3CA9">
      <w:pPr>
        <w:spacing w:line="480" w:lineRule="auto"/>
        <w:rPr>
          <w:rFonts w:ascii="Arial" w:hAnsi="Arial" w:cs="Arial"/>
          <w:sz w:val="20"/>
          <w:szCs w:val="20"/>
        </w:rPr>
      </w:pPr>
    </w:p>
    <w:sectPr w:rsidR="00D43DEE" w:rsidRPr="000E3CA9" w:rsidSect="004F60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17EC0CF0"/>
    <w:lvl w:ilvl="0">
      <w:start w:val="1"/>
      <w:numFmt w:val="bullet"/>
      <w:pStyle w:val="ListBullet"/>
      <w:lvlText w:val=""/>
      <w:lvlJc w:val="left"/>
      <w:pPr>
        <w:tabs>
          <w:tab w:val="num" w:pos="360"/>
        </w:tabs>
        <w:ind w:left="360" w:hanging="360"/>
      </w:pPr>
      <w:rPr>
        <w:rFonts w:ascii="Symbol" w:hAnsi="Symbol" w:hint="default"/>
      </w:rPr>
    </w:lvl>
  </w:abstractNum>
  <w:num w:numId="1" w16cid:durableId="1554537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75C"/>
    <w:rsid w:val="000E3CA9"/>
    <w:rsid w:val="00194A1E"/>
    <w:rsid w:val="001D52CC"/>
    <w:rsid w:val="0020227F"/>
    <w:rsid w:val="00236577"/>
    <w:rsid w:val="004F6094"/>
    <w:rsid w:val="0054115E"/>
    <w:rsid w:val="0056637F"/>
    <w:rsid w:val="00745787"/>
    <w:rsid w:val="0089375C"/>
    <w:rsid w:val="0095093A"/>
    <w:rsid w:val="00986A6B"/>
    <w:rsid w:val="00A16EE6"/>
    <w:rsid w:val="00AA08A5"/>
    <w:rsid w:val="00AE7549"/>
    <w:rsid w:val="00BA4464"/>
    <w:rsid w:val="00D43DEE"/>
    <w:rsid w:val="00DA71CF"/>
    <w:rsid w:val="00F410B7"/>
    <w:rsid w:val="00F96D5B"/>
    <w:rsid w:val="00FB2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46FA6"/>
  <w15:chartTrackingRefBased/>
  <w15:docId w15:val="{5C41C0D5-E10A-4CFD-80F7-F7F139388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3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3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93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3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3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93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75C"/>
    <w:rPr>
      <w:rFonts w:eastAsiaTheme="majorEastAsia" w:cstheme="majorBidi"/>
      <w:color w:val="272727" w:themeColor="text1" w:themeTint="D8"/>
    </w:rPr>
  </w:style>
  <w:style w:type="paragraph" w:styleId="Title">
    <w:name w:val="Title"/>
    <w:basedOn w:val="Normal"/>
    <w:next w:val="Normal"/>
    <w:link w:val="TitleChar"/>
    <w:uiPriority w:val="10"/>
    <w:qFormat/>
    <w:rsid w:val="00893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75C"/>
    <w:pPr>
      <w:spacing w:before="160"/>
      <w:jc w:val="center"/>
    </w:pPr>
    <w:rPr>
      <w:i/>
      <w:iCs/>
      <w:color w:val="404040" w:themeColor="text1" w:themeTint="BF"/>
    </w:rPr>
  </w:style>
  <w:style w:type="character" w:customStyle="1" w:styleId="QuoteChar">
    <w:name w:val="Quote Char"/>
    <w:basedOn w:val="DefaultParagraphFont"/>
    <w:link w:val="Quote"/>
    <w:uiPriority w:val="29"/>
    <w:rsid w:val="0089375C"/>
    <w:rPr>
      <w:i/>
      <w:iCs/>
      <w:color w:val="404040" w:themeColor="text1" w:themeTint="BF"/>
    </w:rPr>
  </w:style>
  <w:style w:type="paragraph" w:styleId="ListParagraph">
    <w:name w:val="List Paragraph"/>
    <w:basedOn w:val="Normal"/>
    <w:uiPriority w:val="34"/>
    <w:qFormat/>
    <w:rsid w:val="0089375C"/>
    <w:pPr>
      <w:ind w:left="720"/>
      <w:contextualSpacing/>
    </w:pPr>
  </w:style>
  <w:style w:type="character" w:styleId="IntenseEmphasis">
    <w:name w:val="Intense Emphasis"/>
    <w:basedOn w:val="DefaultParagraphFont"/>
    <w:uiPriority w:val="21"/>
    <w:qFormat/>
    <w:rsid w:val="0089375C"/>
    <w:rPr>
      <w:i/>
      <w:iCs/>
      <w:color w:val="0F4761" w:themeColor="accent1" w:themeShade="BF"/>
    </w:rPr>
  </w:style>
  <w:style w:type="paragraph" w:styleId="IntenseQuote">
    <w:name w:val="Intense Quote"/>
    <w:basedOn w:val="Normal"/>
    <w:next w:val="Normal"/>
    <w:link w:val="IntenseQuoteChar"/>
    <w:uiPriority w:val="30"/>
    <w:qFormat/>
    <w:rsid w:val="00893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75C"/>
    <w:rPr>
      <w:i/>
      <w:iCs/>
      <w:color w:val="0F4761" w:themeColor="accent1" w:themeShade="BF"/>
    </w:rPr>
  </w:style>
  <w:style w:type="character" w:styleId="IntenseReference">
    <w:name w:val="Intense Reference"/>
    <w:basedOn w:val="DefaultParagraphFont"/>
    <w:uiPriority w:val="32"/>
    <w:qFormat/>
    <w:rsid w:val="0089375C"/>
    <w:rPr>
      <w:b/>
      <w:bCs/>
      <w:smallCaps/>
      <w:color w:val="0F4761" w:themeColor="accent1" w:themeShade="BF"/>
      <w:spacing w:val="5"/>
    </w:rPr>
  </w:style>
  <w:style w:type="character" w:styleId="Hyperlink">
    <w:name w:val="Hyperlink"/>
    <w:basedOn w:val="DefaultParagraphFont"/>
    <w:uiPriority w:val="99"/>
    <w:unhideWhenUsed/>
    <w:rsid w:val="0089375C"/>
    <w:rPr>
      <w:color w:val="467886" w:themeColor="hyperlink"/>
      <w:u w:val="single"/>
    </w:rPr>
  </w:style>
  <w:style w:type="character" w:styleId="UnresolvedMention">
    <w:name w:val="Unresolved Mention"/>
    <w:basedOn w:val="DefaultParagraphFont"/>
    <w:uiPriority w:val="99"/>
    <w:semiHidden/>
    <w:unhideWhenUsed/>
    <w:rsid w:val="0089375C"/>
    <w:rPr>
      <w:color w:val="605E5C"/>
      <w:shd w:val="clear" w:color="auto" w:fill="E1DFDD"/>
    </w:rPr>
  </w:style>
  <w:style w:type="paragraph" w:styleId="NoSpacing">
    <w:name w:val="No Spacing"/>
    <w:link w:val="NoSpacingChar"/>
    <w:uiPriority w:val="1"/>
    <w:qFormat/>
    <w:rsid w:val="004F6094"/>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4F6094"/>
    <w:rPr>
      <w:rFonts w:eastAsiaTheme="minorEastAsia"/>
      <w:kern w:val="0"/>
      <w:lang w:eastAsia="en-GB"/>
    </w:rPr>
  </w:style>
  <w:style w:type="paragraph" w:styleId="ListBullet">
    <w:name w:val="List Bullet"/>
    <w:basedOn w:val="Normal"/>
    <w:uiPriority w:val="99"/>
    <w:unhideWhenUsed/>
    <w:rsid w:val="00745787"/>
    <w:pPr>
      <w:numPr>
        <w:numId w:val="1"/>
      </w:numPr>
      <w:tabs>
        <w:tab w:val="clear" w:pos="360"/>
      </w:tabs>
      <w:spacing w:after="120" w:line="360" w:lineRule="auto"/>
      <w:ind w:left="0" w:firstLine="0"/>
      <w:contextualSpacing/>
      <w:jc w:val="both"/>
    </w:pPr>
    <w:rPr>
      <w:rFonts w:ascii="Arial" w:eastAsia="Arial" w:hAnsi="Arial"/>
      <w:kern w:val="0"/>
      <w:lang w:val="en-US"/>
      <w14:ligatures w14:val="none"/>
    </w:rPr>
  </w:style>
  <w:style w:type="table" w:styleId="TableGrid">
    <w:name w:val="Table Grid"/>
    <w:basedOn w:val="TableNormal"/>
    <w:uiPriority w:val="59"/>
    <w:rsid w:val="00745787"/>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45787"/>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745787"/>
    <w:pPr>
      <w:spacing w:after="100"/>
      <w:ind w:left="440"/>
    </w:pPr>
  </w:style>
  <w:style w:type="paragraph" w:styleId="TOC2">
    <w:name w:val="toc 2"/>
    <w:basedOn w:val="Normal"/>
    <w:next w:val="Normal"/>
    <w:autoRedefine/>
    <w:uiPriority w:val="39"/>
    <w:unhideWhenUsed/>
    <w:rsid w:val="000E3CA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40125" TargetMode="External"/><Relationship Id="rId13" Type="http://schemas.openxmlformats.org/officeDocument/2006/relationships/hyperlink" Target="https://www.cambridge.org/core/journals/bjpsych-open/article/impact-of-loneliness-on-healthcare-costs-and-service-utilisation-and-the-costeffectiveness-of-loneliness-interventions-systematic-review/A63B16B1CC1D4F25491DA4F93822A817" TargetMode="External"/><Relationship Id="rId18" Type="http://schemas.openxmlformats.org/officeDocument/2006/relationships/hyperlink" Target="https://doi.org/10.1016/j.jclinepi.2020.10.009" TargetMode="External"/><Relationship Id="rId26" Type="http://schemas.openxmlformats.org/officeDocument/2006/relationships/hyperlink" Target="https://doi.org/10.7326/M18-0850" TargetMode="External"/><Relationship Id="rId3" Type="http://schemas.openxmlformats.org/officeDocument/2006/relationships/styles" Target="styles.xml"/><Relationship Id="rId21" Type="http://schemas.openxmlformats.org/officeDocument/2006/relationships/hyperlink" Target="https://doi.org/10.11124/JBIES-20-00167" TargetMode="External"/><Relationship Id="rId7" Type="http://schemas.openxmlformats.org/officeDocument/2006/relationships/image" Target="media/image2.png"/><Relationship Id="rId12" Type="http://schemas.openxmlformats.org/officeDocument/2006/relationships/hyperlink" Target="https://doi.org/10.1016/S2666-7568(20)30038-6" TargetMode="External"/><Relationship Id="rId17" Type="http://schemas.openxmlformats.org/officeDocument/2006/relationships/hyperlink" Target="https://www.cambridge.org/core/journals/ageing-and-society/article/loneliness-and-social-isolation-of-ethnic-minorityimmigrant-older-adults-a-scoping-review/413C0D1167B709E36B76A3A2C6F59ED3" TargetMode="External"/><Relationship Id="rId25" Type="http://schemas.openxmlformats.org/officeDocument/2006/relationships/hyperlink" Target="https://doi.org/10.3389/fpsyt.2020.591120" TargetMode="External"/><Relationship Id="rId2" Type="http://schemas.openxmlformats.org/officeDocument/2006/relationships/numbering" Target="numbering.xml"/><Relationship Id="rId16" Type="http://schemas.openxmlformats.org/officeDocument/2006/relationships/hyperlink" Target="https://doi.org/10.3390/ijerph19084766" TargetMode="External"/><Relationship Id="rId20" Type="http://schemas.openxmlformats.org/officeDocument/2006/relationships/hyperlink" Target="https://www.england.nhs.uk/personalisedcare/upc/"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1/jamanetworkopen.2024.51580" TargetMode="External"/><Relationship Id="rId24" Type="http://schemas.openxmlformats.org/officeDocument/2006/relationships/hyperlink" Target="https://doi.org/10.1177/1757913920967040" TargetMode="External"/><Relationship Id="rId5" Type="http://schemas.openxmlformats.org/officeDocument/2006/relationships/webSettings" Target="webSettings.xml"/><Relationship Id="rId15" Type="http://schemas.openxmlformats.org/officeDocument/2006/relationships/hyperlink" Target="https://www.gov.uk/government/publications/a-connected-society-a-strategy-for-tackling-loneliness" TargetMode="External"/><Relationship Id="rId23" Type="http://schemas.openxmlformats.org/officeDocument/2006/relationships/hyperlink" Target="https://doi.org/10.1136/jech-2017-210038" TargetMode="External"/><Relationship Id="rId28" Type="http://schemas.openxmlformats.org/officeDocument/2006/relationships/fontTable" Target="fontTable.xml"/><Relationship Id="rId10" Type="http://schemas.openxmlformats.org/officeDocument/2006/relationships/hyperlink" Target="https://doi.org/10.1080/2159676X.2019.1628806" TargetMode="External"/><Relationship Id="rId19" Type="http://schemas.openxmlformats.org/officeDocument/2006/relationships/hyperlink" Target="https://doi.org/10.1136/bmjment-2023-300842" TargetMode="External"/><Relationship Id="rId4" Type="http://schemas.openxmlformats.org/officeDocument/2006/relationships/settings" Target="settings.xml"/><Relationship Id="rId9" Type="http://schemas.openxmlformats.org/officeDocument/2006/relationships/hyperlink" Target="https://doi.org/10.1080/13607863.2021.1940096" TargetMode="External"/><Relationship Id="rId14" Type="http://schemas.openxmlformats.org/officeDocument/2006/relationships/hyperlink" Target="https://doi.org/10.1136/bmjopen-2021-057729" TargetMode="External"/><Relationship Id="rId22" Type="http://schemas.openxmlformats.org/officeDocument/2006/relationships/hyperlink" Target="https://doi.org/10.1136/bmjopen-2019-034967" TargetMode="External"/><Relationship Id="rId27" Type="http://schemas.openxmlformats.org/officeDocument/2006/relationships/hyperlink" Target="https://doi.org/10.1136/bmjopen-2015-0107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03202-8DB9-4E19-AD9D-EB8792B9C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5668</Words>
  <Characters>32309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Believe Okwokwo</dc:creator>
  <cp:keywords/>
  <dc:description/>
  <cp:lastModifiedBy>Believe Okwokwo</cp:lastModifiedBy>
  <cp:revision>3</cp:revision>
  <dcterms:created xsi:type="dcterms:W3CDTF">2026-08-14T12:44:00Z</dcterms:created>
  <dcterms:modified xsi:type="dcterms:W3CDTF">2026-08-14T12:45:00Z</dcterms:modified>
</cp:coreProperties>
</file>