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109C0" w14:textId="77777777" w:rsidR="00AA3187" w:rsidRDefault="00AA3187" w:rsidP="00BD7217">
      <w:pPr>
        <w:spacing w:line="360" w:lineRule="auto"/>
        <w:jc w:val="center"/>
        <w:rPr>
          <w:rFonts w:cs="Times New Roman"/>
          <w:b/>
          <w:i/>
        </w:rPr>
      </w:pPr>
    </w:p>
    <w:p w14:paraId="6704A8ED" w14:textId="68001222" w:rsidR="00AA3187" w:rsidRPr="00AA3187" w:rsidRDefault="00AA3187" w:rsidP="00BD7217">
      <w:pPr>
        <w:spacing w:line="360" w:lineRule="auto"/>
        <w:jc w:val="center"/>
        <w:rPr>
          <w:rFonts w:cs="Times New Roman"/>
          <w:b/>
          <w:i/>
          <w:sz w:val="36"/>
          <w:szCs w:val="32"/>
        </w:rPr>
      </w:pPr>
      <w:r w:rsidRPr="00AA3187">
        <w:rPr>
          <w:rFonts w:cs="Times New Roman"/>
          <w:b/>
          <w:i/>
          <w:sz w:val="36"/>
          <w:szCs w:val="32"/>
        </w:rPr>
        <w:t>Health Care System Organisation and Leadership</w:t>
      </w:r>
    </w:p>
    <w:p w14:paraId="7B88FED3" w14:textId="4E4FD0A8" w:rsidR="00A033AE" w:rsidRPr="00BD7217" w:rsidRDefault="00841EA6" w:rsidP="00BD7217">
      <w:pPr>
        <w:spacing w:line="360" w:lineRule="auto"/>
        <w:jc w:val="center"/>
        <w:rPr>
          <w:rFonts w:cs="Times New Roman"/>
        </w:rPr>
      </w:pPr>
      <w:r w:rsidRPr="00BD7217">
        <w:rPr>
          <w:rFonts w:cs="Times New Roman"/>
          <w:b/>
          <w:i/>
        </w:rPr>
        <w:t>Case Report: Leadership, Governance and Systems Thinking in the HSSIB Morphine Oral Solution Overdose Case</w:t>
      </w:r>
    </w:p>
    <w:p w14:paraId="51A4EE38" w14:textId="77777777" w:rsidR="00A033AE" w:rsidRPr="00BD7217" w:rsidRDefault="00841EA6" w:rsidP="00BD7217">
      <w:pPr>
        <w:spacing w:line="360" w:lineRule="auto"/>
        <w:jc w:val="center"/>
        <w:rPr>
          <w:rFonts w:cs="Times New Roman"/>
        </w:rPr>
      </w:pPr>
      <w:r w:rsidRPr="00BD7217">
        <w:rPr>
          <w:rFonts w:cs="Times New Roman"/>
          <w:i/>
        </w:rPr>
        <w:t>Selected case study: Case Study Number 2 (Len morphine oral solution overdose)</w:t>
      </w:r>
    </w:p>
    <w:p w14:paraId="0D3F194A" w14:textId="77777777" w:rsidR="00107DBE" w:rsidRDefault="00BD7217">
      <w:r>
        <w:br w:type="page"/>
      </w:r>
    </w:p>
    <w:sdt>
      <w:sdtPr>
        <w:rPr>
          <w:rFonts w:eastAsia="Times New Roman" w:cstheme="minorBidi"/>
          <w:b w:val="0"/>
          <w:bCs w:val="0"/>
          <w:color w:val="auto"/>
          <w:sz w:val="24"/>
          <w:szCs w:val="22"/>
        </w:rPr>
        <w:id w:val="1399408790"/>
        <w:docPartObj>
          <w:docPartGallery w:val="Table of Contents"/>
          <w:docPartUnique/>
        </w:docPartObj>
      </w:sdtPr>
      <w:sdtEndPr>
        <w:rPr>
          <w:noProof/>
        </w:rPr>
      </w:sdtEndPr>
      <w:sdtContent>
        <w:p w14:paraId="48B9E5CD" w14:textId="2B3BA1A6" w:rsidR="00107DBE" w:rsidRDefault="00107DBE" w:rsidP="00F01A27">
          <w:pPr>
            <w:pStyle w:val="TOCHeading"/>
          </w:pPr>
          <w:r>
            <w:t>Table of Contents</w:t>
          </w:r>
        </w:p>
        <w:p w14:paraId="7800731C"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27427170" w:history="1">
            <w:r w:rsidRPr="00793059">
              <w:rPr>
                <w:rStyle w:val="Hyperlink"/>
                <w:rFonts w:eastAsiaTheme="majorEastAsia"/>
                <w:noProof/>
              </w:rPr>
              <w:t>Introduction</w:t>
            </w:r>
            <w:r>
              <w:rPr>
                <w:noProof/>
                <w:webHidden/>
              </w:rPr>
              <w:tab/>
            </w:r>
            <w:r>
              <w:rPr>
                <w:noProof/>
                <w:webHidden/>
              </w:rPr>
              <w:fldChar w:fldCharType="begin"/>
            </w:r>
            <w:r>
              <w:rPr>
                <w:noProof/>
                <w:webHidden/>
              </w:rPr>
              <w:instrText xml:space="preserve"> PAGEREF _Toc227427170 \h </w:instrText>
            </w:r>
            <w:r>
              <w:rPr>
                <w:noProof/>
                <w:webHidden/>
              </w:rPr>
            </w:r>
            <w:r>
              <w:rPr>
                <w:noProof/>
                <w:webHidden/>
              </w:rPr>
              <w:fldChar w:fldCharType="separate"/>
            </w:r>
            <w:r>
              <w:rPr>
                <w:noProof/>
                <w:webHidden/>
              </w:rPr>
              <w:t>3</w:t>
            </w:r>
            <w:r>
              <w:rPr>
                <w:noProof/>
                <w:webHidden/>
              </w:rPr>
              <w:fldChar w:fldCharType="end"/>
            </w:r>
          </w:hyperlink>
        </w:p>
        <w:p w14:paraId="444D006B"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1" w:history="1">
            <w:r w:rsidRPr="00793059">
              <w:rPr>
                <w:rStyle w:val="Hyperlink"/>
                <w:rFonts w:eastAsiaTheme="majorEastAsia"/>
                <w:noProof/>
              </w:rPr>
              <w:t>Main Body and Analysis</w:t>
            </w:r>
            <w:r>
              <w:rPr>
                <w:noProof/>
                <w:webHidden/>
              </w:rPr>
              <w:tab/>
            </w:r>
            <w:r>
              <w:rPr>
                <w:noProof/>
                <w:webHidden/>
              </w:rPr>
              <w:fldChar w:fldCharType="begin"/>
            </w:r>
            <w:r>
              <w:rPr>
                <w:noProof/>
                <w:webHidden/>
              </w:rPr>
              <w:instrText xml:space="preserve"> PAGEREF _Toc227427171 \h </w:instrText>
            </w:r>
            <w:r>
              <w:rPr>
                <w:noProof/>
                <w:webHidden/>
              </w:rPr>
            </w:r>
            <w:r>
              <w:rPr>
                <w:noProof/>
                <w:webHidden/>
              </w:rPr>
              <w:fldChar w:fldCharType="separate"/>
            </w:r>
            <w:r>
              <w:rPr>
                <w:noProof/>
                <w:webHidden/>
              </w:rPr>
              <w:t>4</w:t>
            </w:r>
            <w:r>
              <w:rPr>
                <w:noProof/>
                <w:webHidden/>
              </w:rPr>
              <w:fldChar w:fldCharType="end"/>
            </w:r>
          </w:hyperlink>
        </w:p>
        <w:p w14:paraId="5915DD77"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2" w:history="1">
            <w:r w:rsidRPr="00793059">
              <w:rPr>
                <w:rStyle w:val="Hyperlink"/>
                <w:rFonts w:eastAsiaTheme="majorEastAsia"/>
                <w:noProof/>
              </w:rPr>
              <w:t>a. 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_Toc227427172 \h </w:instrText>
            </w:r>
            <w:r>
              <w:rPr>
                <w:noProof/>
                <w:webHidden/>
              </w:rPr>
            </w:r>
            <w:r>
              <w:rPr>
                <w:noProof/>
                <w:webHidden/>
              </w:rPr>
              <w:fldChar w:fldCharType="separate"/>
            </w:r>
            <w:r>
              <w:rPr>
                <w:noProof/>
                <w:webHidden/>
              </w:rPr>
              <w:t>4</w:t>
            </w:r>
            <w:r>
              <w:rPr>
                <w:noProof/>
                <w:webHidden/>
              </w:rPr>
              <w:fldChar w:fldCharType="end"/>
            </w:r>
          </w:hyperlink>
        </w:p>
        <w:p w14:paraId="36DDFAD8"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3" w:history="1">
            <w:r w:rsidRPr="00793059">
              <w:rPr>
                <w:rStyle w:val="Hyperlink"/>
                <w:rFonts w:eastAsiaTheme="majorEastAsia"/>
                <w:noProof/>
              </w:rPr>
              <w:t>b. Centralisation or decentralisation within the case study</w:t>
            </w:r>
            <w:r>
              <w:rPr>
                <w:noProof/>
                <w:webHidden/>
              </w:rPr>
              <w:tab/>
            </w:r>
            <w:r>
              <w:rPr>
                <w:noProof/>
                <w:webHidden/>
              </w:rPr>
              <w:fldChar w:fldCharType="begin"/>
            </w:r>
            <w:r>
              <w:rPr>
                <w:noProof/>
                <w:webHidden/>
              </w:rPr>
              <w:instrText xml:space="preserve"> PAGEREF _Toc227427173 \h </w:instrText>
            </w:r>
            <w:r>
              <w:rPr>
                <w:noProof/>
                <w:webHidden/>
              </w:rPr>
            </w:r>
            <w:r>
              <w:rPr>
                <w:noProof/>
                <w:webHidden/>
              </w:rPr>
              <w:fldChar w:fldCharType="separate"/>
            </w:r>
            <w:r>
              <w:rPr>
                <w:noProof/>
                <w:webHidden/>
              </w:rPr>
              <w:t>6</w:t>
            </w:r>
            <w:r>
              <w:rPr>
                <w:noProof/>
                <w:webHidden/>
              </w:rPr>
              <w:fldChar w:fldCharType="end"/>
            </w:r>
          </w:hyperlink>
        </w:p>
        <w:p w14:paraId="7CECF76C"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4" w:history="1">
            <w:r w:rsidRPr="00793059">
              <w:rPr>
                <w:rStyle w:val="Hyperlink"/>
                <w:rFonts w:eastAsiaTheme="majorEastAsia"/>
                <w:noProof/>
              </w:rPr>
              <w:t>c. Leadership theories and application to the case study</w:t>
            </w:r>
            <w:r>
              <w:rPr>
                <w:noProof/>
                <w:webHidden/>
              </w:rPr>
              <w:tab/>
            </w:r>
            <w:r>
              <w:rPr>
                <w:noProof/>
                <w:webHidden/>
              </w:rPr>
              <w:fldChar w:fldCharType="begin"/>
            </w:r>
            <w:r>
              <w:rPr>
                <w:noProof/>
                <w:webHidden/>
              </w:rPr>
              <w:instrText xml:space="preserve"> PAGEREF _Toc227427174 \h </w:instrText>
            </w:r>
            <w:r>
              <w:rPr>
                <w:noProof/>
                <w:webHidden/>
              </w:rPr>
            </w:r>
            <w:r>
              <w:rPr>
                <w:noProof/>
                <w:webHidden/>
              </w:rPr>
              <w:fldChar w:fldCharType="separate"/>
            </w:r>
            <w:r>
              <w:rPr>
                <w:noProof/>
                <w:webHidden/>
              </w:rPr>
              <w:t>9</w:t>
            </w:r>
            <w:r>
              <w:rPr>
                <w:noProof/>
                <w:webHidden/>
              </w:rPr>
              <w:fldChar w:fldCharType="end"/>
            </w:r>
          </w:hyperlink>
        </w:p>
        <w:p w14:paraId="29DCEAF6" w14:textId="77777777" w:rsidR="00107DBE" w:rsidRDefault="00107DBE" w:rsidP="00F01A27">
          <w:pPr>
            <w:pStyle w:val="TOC2"/>
            <w:tabs>
              <w:tab w:val="right" w:leader="dot" w:pos="9638"/>
            </w:tabs>
            <w:spacing w:line="360" w:lineRule="auto"/>
            <w:rPr>
              <w:rFonts w:asciiTheme="minorHAnsi" w:eastAsiaTheme="minorEastAsia" w:hAnsiTheme="minorHAnsi"/>
              <w:noProof/>
              <w:sz w:val="22"/>
              <w:lang w:val="en-IN" w:eastAsia="en-IN"/>
            </w:rPr>
          </w:pPr>
          <w:hyperlink w:anchor="_Toc227427175" w:history="1">
            <w:r w:rsidRPr="00793059">
              <w:rPr>
                <w:rStyle w:val="Hyperlink"/>
                <w:rFonts w:eastAsiaTheme="majorEastAsia"/>
                <w:noProof/>
              </w:rPr>
              <w:t>d. Improvement and lessons learned</w:t>
            </w:r>
            <w:r>
              <w:rPr>
                <w:noProof/>
                <w:webHidden/>
              </w:rPr>
              <w:tab/>
            </w:r>
            <w:r>
              <w:rPr>
                <w:noProof/>
                <w:webHidden/>
              </w:rPr>
              <w:fldChar w:fldCharType="begin"/>
            </w:r>
            <w:r>
              <w:rPr>
                <w:noProof/>
                <w:webHidden/>
              </w:rPr>
              <w:instrText xml:space="preserve"> PAGEREF _Toc227427175 \h </w:instrText>
            </w:r>
            <w:r>
              <w:rPr>
                <w:noProof/>
                <w:webHidden/>
              </w:rPr>
            </w:r>
            <w:r>
              <w:rPr>
                <w:noProof/>
                <w:webHidden/>
              </w:rPr>
              <w:fldChar w:fldCharType="separate"/>
            </w:r>
            <w:r>
              <w:rPr>
                <w:noProof/>
                <w:webHidden/>
              </w:rPr>
              <w:t>11</w:t>
            </w:r>
            <w:r>
              <w:rPr>
                <w:noProof/>
                <w:webHidden/>
              </w:rPr>
              <w:fldChar w:fldCharType="end"/>
            </w:r>
          </w:hyperlink>
        </w:p>
        <w:p w14:paraId="1B2EBB9B"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6" w:history="1">
            <w:r w:rsidRPr="00793059">
              <w:rPr>
                <w:rStyle w:val="Hyperlink"/>
                <w:rFonts w:eastAsiaTheme="majorEastAsia"/>
                <w:noProof/>
              </w:rPr>
              <w:t>Recommendation</w:t>
            </w:r>
            <w:r>
              <w:rPr>
                <w:noProof/>
                <w:webHidden/>
              </w:rPr>
              <w:tab/>
            </w:r>
            <w:r>
              <w:rPr>
                <w:noProof/>
                <w:webHidden/>
              </w:rPr>
              <w:fldChar w:fldCharType="begin"/>
            </w:r>
            <w:r>
              <w:rPr>
                <w:noProof/>
                <w:webHidden/>
              </w:rPr>
              <w:instrText xml:space="preserve"> PAGEREF _Toc227427176 \h </w:instrText>
            </w:r>
            <w:r>
              <w:rPr>
                <w:noProof/>
                <w:webHidden/>
              </w:rPr>
            </w:r>
            <w:r>
              <w:rPr>
                <w:noProof/>
                <w:webHidden/>
              </w:rPr>
              <w:fldChar w:fldCharType="separate"/>
            </w:r>
            <w:r>
              <w:rPr>
                <w:noProof/>
                <w:webHidden/>
              </w:rPr>
              <w:t>14</w:t>
            </w:r>
            <w:r>
              <w:rPr>
                <w:noProof/>
                <w:webHidden/>
              </w:rPr>
              <w:fldChar w:fldCharType="end"/>
            </w:r>
          </w:hyperlink>
        </w:p>
        <w:p w14:paraId="6ADFF3C9"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7" w:history="1">
            <w:r w:rsidRPr="00793059">
              <w:rPr>
                <w:rStyle w:val="Hyperlink"/>
                <w:rFonts w:eastAsiaTheme="majorEastAsia"/>
                <w:noProof/>
              </w:rPr>
              <w:t>Conclusion</w:t>
            </w:r>
            <w:r>
              <w:rPr>
                <w:noProof/>
                <w:webHidden/>
              </w:rPr>
              <w:tab/>
            </w:r>
            <w:r>
              <w:rPr>
                <w:noProof/>
                <w:webHidden/>
              </w:rPr>
              <w:fldChar w:fldCharType="begin"/>
            </w:r>
            <w:r>
              <w:rPr>
                <w:noProof/>
                <w:webHidden/>
              </w:rPr>
              <w:instrText xml:space="preserve"> PAGEREF _Toc227427177 \h </w:instrText>
            </w:r>
            <w:r>
              <w:rPr>
                <w:noProof/>
                <w:webHidden/>
              </w:rPr>
            </w:r>
            <w:r>
              <w:rPr>
                <w:noProof/>
                <w:webHidden/>
              </w:rPr>
              <w:fldChar w:fldCharType="separate"/>
            </w:r>
            <w:r>
              <w:rPr>
                <w:noProof/>
                <w:webHidden/>
              </w:rPr>
              <w:t>15</w:t>
            </w:r>
            <w:r>
              <w:rPr>
                <w:noProof/>
                <w:webHidden/>
              </w:rPr>
              <w:fldChar w:fldCharType="end"/>
            </w:r>
          </w:hyperlink>
        </w:p>
        <w:p w14:paraId="2C9854FD" w14:textId="77777777" w:rsidR="00107DBE" w:rsidRDefault="00107DBE" w:rsidP="00F01A27">
          <w:pPr>
            <w:pStyle w:val="TOC1"/>
            <w:tabs>
              <w:tab w:val="right" w:leader="dot" w:pos="9638"/>
            </w:tabs>
            <w:spacing w:line="360" w:lineRule="auto"/>
            <w:rPr>
              <w:rFonts w:asciiTheme="minorHAnsi" w:eastAsiaTheme="minorEastAsia" w:hAnsiTheme="minorHAnsi"/>
              <w:noProof/>
              <w:sz w:val="22"/>
              <w:lang w:val="en-IN" w:eastAsia="en-IN"/>
            </w:rPr>
          </w:pPr>
          <w:hyperlink w:anchor="_Toc227427178" w:history="1">
            <w:r w:rsidRPr="00793059">
              <w:rPr>
                <w:rStyle w:val="Hyperlink"/>
                <w:rFonts w:eastAsiaTheme="majorEastAsia"/>
                <w:noProof/>
              </w:rPr>
              <w:t>References</w:t>
            </w:r>
            <w:r>
              <w:rPr>
                <w:noProof/>
                <w:webHidden/>
              </w:rPr>
              <w:tab/>
            </w:r>
            <w:r>
              <w:rPr>
                <w:noProof/>
                <w:webHidden/>
              </w:rPr>
              <w:fldChar w:fldCharType="begin"/>
            </w:r>
            <w:r>
              <w:rPr>
                <w:noProof/>
                <w:webHidden/>
              </w:rPr>
              <w:instrText xml:space="preserve"> PAGEREF _Toc227427178 \h </w:instrText>
            </w:r>
            <w:r>
              <w:rPr>
                <w:noProof/>
                <w:webHidden/>
              </w:rPr>
            </w:r>
            <w:r>
              <w:rPr>
                <w:noProof/>
                <w:webHidden/>
              </w:rPr>
              <w:fldChar w:fldCharType="separate"/>
            </w:r>
            <w:r>
              <w:rPr>
                <w:noProof/>
                <w:webHidden/>
              </w:rPr>
              <w:t>17</w:t>
            </w:r>
            <w:r>
              <w:rPr>
                <w:noProof/>
                <w:webHidden/>
              </w:rPr>
              <w:fldChar w:fldCharType="end"/>
            </w:r>
          </w:hyperlink>
        </w:p>
        <w:p w14:paraId="1EB1D2F9" w14:textId="6B014832" w:rsidR="00107DBE" w:rsidRDefault="00107DBE" w:rsidP="00F01A27">
          <w:pPr>
            <w:spacing w:line="360" w:lineRule="auto"/>
          </w:pPr>
          <w:r>
            <w:rPr>
              <w:b/>
              <w:bCs/>
              <w:noProof/>
            </w:rPr>
            <w:fldChar w:fldCharType="end"/>
          </w:r>
        </w:p>
      </w:sdtContent>
    </w:sdt>
    <w:p w14:paraId="0C08A029" w14:textId="2D00A823" w:rsidR="00107DBE" w:rsidRDefault="00107DBE">
      <w:r>
        <w:br w:type="page"/>
      </w:r>
    </w:p>
    <w:p w14:paraId="183F4135" w14:textId="4E0BF289" w:rsidR="00A033AE" w:rsidRDefault="00BD7217" w:rsidP="00BD7217">
      <w:pPr>
        <w:pStyle w:val="Heading1"/>
      </w:pPr>
      <w:bookmarkStart w:id="0" w:name="_Toc227427170"/>
      <w:r>
        <w:lastRenderedPageBreak/>
        <w:t>Introduction</w:t>
      </w:r>
      <w:bookmarkEnd w:id="0"/>
    </w:p>
    <w:p w14:paraId="40FA1797" w14:textId="77777777" w:rsidR="00842D29" w:rsidRDefault="00842D29" w:rsidP="00842D29">
      <w:pPr>
        <w:spacing w:after="120" w:line="360" w:lineRule="auto"/>
        <w:jc w:val="both"/>
      </w:pPr>
      <w:r>
        <w:t xml:space="preserve">In health and social care, patient safety failures can hardly be due to a single error. In more cases, clinical judgement, communication, packaging, prescribing, dispensing, patient education and organisational oversight interact in unsafe manners, resulting in serious harm. The chosen case study is about Len, </w:t>
      </w:r>
      <w:proofErr w:type="gramStart"/>
      <w:r>
        <w:t>a</w:t>
      </w:r>
      <w:proofErr w:type="gramEnd"/>
      <w:r>
        <w:t xml:space="preserve"> 89-year-old man with Charcot-Marie-Tooth disease, who obtained chest pain and breathlessness following a fall. He was subsequently given morphine sulfate oral solution, which he and his wife misread the label and took a lot more than the required level. He was hospitalized with the suspected overdose of morphine, pneumonia and aggravating neuromuscular illness, but after a short period of improvement, he worsened and died. HSA (since renamed Healthcare Safety Investigation Branch) found that the incident demonstrated broader safety concerns about oral morphine solution, particularly where the label of the dose prescribed by the physician can be confused with the label of the dispensed dose and where the label of the dispensing dose is not read or comprehended (HSSIB, 2022).</w:t>
      </w:r>
    </w:p>
    <w:p w14:paraId="5567D7CB" w14:textId="0FF47AAC" w:rsidR="00842D29" w:rsidRDefault="00842D29" w:rsidP="00842D29">
      <w:pPr>
        <w:spacing w:after="120" w:line="360" w:lineRule="auto"/>
        <w:jc w:val="both"/>
      </w:pPr>
      <w:r>
        <w:t>The case is significant since it is at the crossroads of medicines safety, care of older people, communicating with patients and leadership in complex systems. According to the World Health Organization (WHO, 2024), unsafe care is a significant contributor to the preventable harm worldwide, and medication-related harm is a steady and avoidable factor. Similar arguments are made by OECD (2022), which claims that drug safety failures generate human and financial expenses and tend to indicate systemic inefficiencies or frontline incompetence. In England, NHS has moved away from incident investigation as an exclusive method to system response based on learning with the Patient Safety Incident Response Framework (NHS England, 2022a). That change is very pertinent to the case of Len since it was not merely that a patient took the wrong dose</w:t>
      </w:r>
      <w:r w:rsidR="00F01A27">
        <w:t>,</w:t>
      </w:r>
      <w:r>
        <w:t xml:space="preserve"> it was that the system was set up to permit ambiguity to pass through the prescribing, dispensing, to home use.</w:t>
      </w:r>
    </w:p>
    <w:p w14:paraId="0BCE5BB8" w14:textId="69333D39" w:rsidR="00842D29" w:rsidRDefault="00842D29" w:rsidP="00842D29">
      <w:pPr>
        <w:spacing w:after="120" w:line="360" w:lineRule="auto"/>
        <w:jc w:val="both"/>
      </w:pPr>
      <w:r>
        <w:t>Influencing people, resources and systems to accomplish collective aims, particularly safe, high-quality and person-</w:t>
      </w:r>
      <w:proofErr w:type="spellStart"/>
      <w:r>
        <w:t>centred</w:t>
      </w:r>
      <w:proofErr w:type="spellEnd"/>
      <w:r>
        <w:t xml:space="preserve"> care, can be described as leadership in health and social care. Good leadership does not only apply to top managers. It encompasses the behavior of GPs, pharmacists, community teams, hospital clinicians, medicines safety officers and governance leads that influence the manner in which information is shared and risks are perceived. The leadership style is important in change and crisis situations. A learning and safe culture can be established through transformational leadership</w:t>
      </w:r>
      <w:r w:rsidR="00F01A27">
        <w:t xml:space="preserve"> (</w:t>
      </w:r>
      <w:r w:rsidR="00F01A27">
        <w:t>Cummings et al., 2023</w:t>
      </w:r>
      <w:r w:rsidR="00F01A27">
        <w:t>)</w:t>
      </w:r>
      <w:r>
        <w:t xml:space="preserve">. Compliance with procedures can be strengthened through the use of transactional leadership. Situational leadership may assist organisations to adjust their responses </w:t>
      </w:r>
      <w:r>
        <w:lastRenderedPageBreak/>
        <w:t>to the situation, particularly when the patients are frail, acutely unwell or may not comprehend complex treatment instructions (Mannion, 2024).</w:t>
      </w:r>
    </w:p>
    <w:p w14:paraId="21C82504" w14:textId="76363DC0" w:rsidR="00A033AE" w:rsidRDefault="00842D29" w:rsidP="00842D29">
      <w:pPr>
        <w:spacing w:after="120" w:line="360" w:lineRule="auto"/>
        <w:jc w:val="both"/>
      </w:pPr>
      <w:r>
        <w:t xml:space="preserve">This report analyzes the case based on the system thinking, governance and leadership theory. It diagnoses the problem first by putting it in local, national and international context. It then examines whether the case is indicative of </w:t>
      </w:r>
      <w:proofErr w:type="spellStart"/>
      <w:r>
        <w:t>centralised</w:t>
      </w:r>
      <w:proofErr w:type="spellEnd"/>
      <w:r>
        <w:t xml:space="preserve"> or </w:t>
      </w:r>
      <w:proofErr w:type="spellStart"/>
      <w:r>
        <w:t>decentralised</w:t>
      </w:r>
      <w:proofErr w:type="spellEnd"/>
      <w:r>
        <w:t xml:space="preserve"> organisational characteristics. Then, it uses theories of leadership to evaluate what was right, what was lacking and what could have been better. The report then considers lessons learnt, and finally presents evidence-based recommendations on how to maintain the safer medicines management in health and social care organisations.</w:t>
      </w:r>
    </w:p>
    <w:p w14:paraId="1640D7A2" w14:textId="3F2B9AC0" w:rsidR="00A033AE" w:rsidRDefault="00841EA6" w:rsidP="00842D29">
      <w:pPr>
        <w:pStyle w:val="Heading1"/>
        <w:tabs>
          <w:tab w:val="left" w:pos="6072"/>
        </w:tabs>
      </w:pPr>
      <w:bookmarkStart w:id="1" w:name="_Toc227427171"/>
      <w:r>
        <w:t>Main Body and Analysis</w:t>
      </w:r>
      <w:bookmarkEnd w:id="1"/>
      <w:r w:rsidR="00842D29">
        <w:tab/>
      </w:r>
    </w:p>
    <w:p w14:paraId="509D18C6" w14:textId="77777777" w:rsidR="00A033AE" w:rsidRDefault="00841EA6" w:rsidP="00BD7217">
      <w:pPr>
        <w:pStyle w:val="Heading2"/>
      </w:pPr>
      <w:bookmarkStart w:id="2" w:name="_Toc227427172"/>
      <w:r>
        <w:t>a. Identifying the problem and setting the system context: applying systems thinking and the rich picture</w:t>
      </w:r>
      <w:bookmarkEnd w:id="2"/>
    </w:p>
    <w:p w14:paraId="2F262E9D" w14:textId="77777777" w:rsidR="00842D29" w:rsidRDefault="00842D29" w:rsidP="00842D29">
      <w:pPr>
        <w:spacing w:after="120" w:line="360" w:lineRule="auto"/>
        <w:jc w:val="both"/>
      </w:pPr>
      <w:r>
        <w:t>The issue at hand was the accidental overdose of morphine sulfate oral solution, but the problem in the middle systems was the lack of safety in the translation of prescribing instructions to patient comprehensible insights. HSSIB (2022) discovered that Len received 1.25 ml to 2.5 ml of morphine sulfate oral solution every four hours as needed. Len and his wife, however, read the bottle label on the manufacturers label which said 10 mg in 5 ml to be the right dose. They failed to notice or take action on the dispensing box label on the outer box. This brought about a medication-use failure in a number of interfaces: prescribing, dispensing, packaging, communication, patient education and monitoring.</w:t>
      </w:r>
    </w:p>
    <w:p w14:paraId="66D7002B" w14:textId="77777777" w:rsidR="00842D29" w:rsidRDefault="00842D29" w:rsidP="00842D29">
      <w:pPr>
        <w:spacing w:after="120" w:line="360" w:lineRule="auto"/>
        <w:jc w:val="both"/>
      </w:pPr>
      <w:r>
        <w:t>The issue is not a singular exception. According to WHO (2024), one out of every twenty patients in the world suffer preventable medication-related harm, and more than half of medication harm is related to prescribing. OECD (2022) also estimates that nearly half of patients are given prescriptions that not only do not entirely address clinical need but are also used improperly, and that nearly half of the medicines are not taken as prescribed. These numbers are important as the case of Len did not result in any harm since morphine was not the appropriate choice; the selection of morphine liquid and lower dosage were consistent with the guidelines on an older patient with kidney dysfunction (HSSIB, 2022). Harm appeared due to the lack of the translation of safe prescribing into safe administration.</w:t>
      </w:r>
    </w:p>
    <w:p w14:paraId="612E683B" w14:textId="77777777" w:rsidR="00842D29" w:rsidRDefault="00842D29" w:rsidP="00842D29">
      <w:pPr>
        <w:spacing w:after="120" w:line="360" w:lineRule="auto"/>
        <w:jc w:val="both"/>
      </w:pPr>
      <w:r>
        <w:t xml:space="preserve">The reason why the case is applicable not only to one family is also indicated by national data. Medication safety remains a priority in the NHS with the Medicines Safety Improvement Programme </w:t>
      </w:r>
      <w:r>
        <w:lastRenderedPageBreak/>
        <w:t>and sustainable medication safety standards, with priority given to high-risk medicines, polypharmacy and safer administration (NHS England, 2026a). According to the NHS England Medication Safety Management guidance, the provision of safe medicines use in general practice requires high-quality records, proper communication and trusted follow-through between systems and clinicians (NHS England, 2025a). It is especially important in this case since Len transitioned between home and GP services, pharmacy and hospital care. These are known to be areas of risk particularly where the older patient is frail, symptomatic and requires family interpretation of instructions.</w:t>
      </w:r>
    </w:p>
    <w:p w14:paraId="2FF02936" w14:textId="558CC089" w:rsidR="00A033AE" w:rsidRDefault="00842D29" w:rsidP="00842D29">
      <w:pPr>
        <w:spacing w:after="120" w:line="360" w:lineRule="auto"/>
        <w:jc w:val="both"/>
      </w:pPr>
      <w:r>
        <w:t>There are also larger structural pressures within the system that are reflected in the case. OECD (2024a) observes that as much as 13 percent of health expenditure in OECD nations could be attributed to the costs of meeting the damages incurred in the course of care, and Health at a Glance: Europe 2024 highlights the ongoing shortage of workforce and the burden on services in European systems (OECD, 2024b). The data provided by staff surveys in England reveals that there is still little improvement in the freedom to speak up and safety culture, implying that organisational learning environments are not yet even (National Guardian Office, 2024). These contextual forces are important since safe medication practice is not only a matter of personal knowledge but also of time, staffing, communication practices and focus on vulnerable patients.</w:t>
      </w:r>
    </w:p>
    <w:p w14:paraId="04F63D47" w14:textId="77777777" w:rsidR="00AA3187" w:rsidRDefault="00AA3187" w:rsidP="00AA3187">
      <w:pPr>
        <w:keepNext/>
        <w:spacing w:after="120" w:line="360" w:lineRule="auto"/>
        <w:jc w:val="center"/>
      </w:pPr>
      <w:r w:rsidRPr="00AA3187">
        <w:rPr>
          <w:noProof/>
          <w:lang w:val="en-IN" w:eastAsia="en-IN"/>
        </w:rPr>
        <w:drawing>
          <wp:inline distT="0" distB="0" distL="0" distR="0" wp14:anchorId="0E8E928D" wp14:editId="53D965E1">
            <wp:extent cx="6126480" cy="3559175"/>
            <wp:effectExtent l="0" t="0" r="7620" b="3175"/>
            <wp:docPr id="1059442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42625" name=""/>
                    <pic:cNvPicPr/>
                  </pic:nvPicPr>
                  <pic:blipFill>
                    <a:blip r:embed="rId8"/>
                    <a:stretch>
                      <a:fillRect/>
                    </a:stretch>
                  </pic:blipFill>
                  <pic:spPr>
                    <a:xfrm>
                      <a:off x="0" y="0"/>
                      <a:ext cx="6126480" cy="3559175"/>
                    </a:xfrm>
                    <a:prstGeom prst="rect">
                      <a:avLst/>
                    </a:prstGeom>
                  </pic:spPr>
                </pic:pic>
              </a:graphicData>
            </a:graphic>
          </wp:inline>
        </w:drawing>
      </w:r>
    </w:p>
    <w:p w14:paraId="35CE6F5F" w14:textId="6F5B2FD1" w:rsidR="00AA3187" w:rsidRDefault="00AA3187" w:rsidP="00AA3187">
      <w:pPr>
        <w:pStyle w:val="Caption"/>
        <w:jc w:val="center"/>
      </w:pPr>
      <w:r>
        <w:t xml:space="preserve">Figure </w:t>
      </w:r>
      <w:r w:rsidR="0062267F">
        <w:rPr>
          <w:noProof/>
        </w:rPr>
        <w:fldChar w:fldCharType="begin"/>
      </w:r>
      <w:r w:rsidR="0062267F">
        <w:rPr>
          <w:noProof/>
        </w:rPr>
        <w:instrText xml:space="preserve"> SEQ Figure \* ARABIC </w:instrText>
      </w:r>
      <w:r w:rsidR="0062267F">
        <w:rPr>
          <w:noProof/>
        </w:rPr>
        <w:fldChar w:fldCharType="separate"/>
      </w:r>
      <w:r>
        <w:rPr>
          <w:noProof/>
        </w:rPr>
        <w:t>1</w:t>
      </w:r>
      <w:r w:rsidR="0062267F">
        <w:rPr>
          <w:noProof/>
        </w:rPr>
        <w:fldChar w:fldCharType="end"/>
      </w:r>
      <w:r>
        <w:t>: Rich Picture</w:t>
      </w:r>
    </w:p>
    <w:p w14:paraId="5CA5029C" w14:textId="77777777" w:rsidR="000020E2" w:rsidRDefault="00842D29" w:rsidP="00BD7217">
      <w:pPr>
        <w:spacing w:after="120" w:line="360" w:lineRule="auto"/>
        <w:jc w:val="both"/>
        <w:rPr>
          <w:rFonts w:ascii="Geist Fallback" w:hAnsi="Geist Fallback"/>
          <w:sz w:val="23"/>
          <w:szCs w:val="23"/>
        </w:rPr>
      </w:pPr>
      <w:r>
        <w:rPr>
          <w:rStyle w:val="cursor-pointer"/>
          <w:rFonts w:ascii="Geist Fallback" w:hAnsi="Geist Fallback"/>
          <w:sz w:val="23"/>
          <w:szCs w:val="23"/>
        </w:rPr>
        <w:lastRenderedPageBreak/>
        <w:t>The following text-based rich picture of the case can be described.</w:t>
      </w:r>
      <w:r>
        <w:rPr>
          <w:rFonts w:ascii="Geist Fallback" w:hAnsi="Geist Fallback"/>
          <w:sz w:val="23"/>
          <w:szCs w:val="23"/>
        </w:rPr>
        <w:t xml:space="preserve"> </w:t>
      </w:r>
      <w:r>
        <w:rPr>
          <w:rStyle w:val="cursor-pointer"/>
          <w:rFonts w:ascii="Geist Fallback" w:hAnsi="Geist Fallback"/>
          <w:sz w:val="23"/>
          <w:szCs w:val="23"/>
        </w:rPr>
        <w:t xml:space="preserve">Len, an older patient in pain, breathless and clinically vulnerable is at the </w:t>
      </w:r>
      <w:proofErr w:type="spellStart"/>
      <w:r>
        <w:rPr>
          <w:rStyle w:val="cursor-pointer"/>
          <w:rFonts w:ascii="Geist Fallback" w:hAnsi="Geist Fallback"/>
          <w:sz w:val="23"/>
          <w:szCs w:val="23"/>
        </w:rPr>
        <w:t>centre</w:t>
      </w:r>
      <w:proofErr w:type="spellEnd"/>
      <w:r>
        <w:rPr>
          <w:rStyle w:val="cursor-pointer"/>
          <w:rFonts w:ascii="Geist Fallback" w:hAnsi="Geist Fallback"/>
          <w:sz w:val="23"/>
          <w:szCs w:val="23"/>
        </w:rPr>
        <w:t>.</w:t>
      </w:r>
      <w:r>
        <w:rPr>
          <w:rFonts w:ascii="Geist Fallback" w:hAnsi="Geist Fallback"/>
          <w:sz w:val="23"/>
          <w:szCs w:val="23"/>
        </w:rPr>
        <w:t xml:space="preserve"> </w:t>
      </w:r>
      <w:r>
        <w:rPr>
          <w:rStyle w:val="cursor-pointer"/>
          <w:rFonts w:ascii="Geist Fallback" w:hAnsi="Geist Fallback"/>
          <w:sz w:val="23"/>
          <w:szCs w:val="23"/>
        </w:rPr>
        <w:t xml:space="preserve">His wife is the medicine administrator, GP is the prescriber, the community pharmacy is the dispenser, medicine bottle and outside packaging carry the information, and ambulance and emergency department are the rescue pathways, and the governance system on the wider level that establishes the labelling standards, medicines </w:t>
      </w:r>
      <w:proofErr w:type="spellStart"/>
      <w:r>
        <w:rPr>
          <w:rStyle w:val="cursor-pointer"/>
          <w:rFonts w:ascii="Geist Fallback" w:hAnsi="Geist Fallback"/>
          <w:sz w:val="23"/>
          <w:szCs w:val="23"/>
        </w:rPr>
        <w:t>optimisation</w:t>
      </w:r>
      <w:proofErr w:type="spellEnd"/>
      <w:r>
        <w:rPr>
          <w:rStyle w:val="cursor-pointer"/>
          <w:rFonts w:ascii="Geist Fallback" w:hAnsi="Geist Fallback"/>
          <w:sz w:val="23"/>
          <w:szCs w:val="23"/>
        </w:rPr>
        <w:t xml:space="preserve"> and patient safety control (NHS Staff Survey, 2025).</w:t>
      </w:r>
      <w:r>
        <w:rPr>
          <w:rFonts w:ascii="Geist Fallback" w:hAnsi="Geist Fallback"/>
          <w:sz w:val="23"/>
          <w:szCs w:val="23"/>
        </w:rPr>
        <w:t xml:space="preserve"> </w:t>
      </w:r>
      <w:r>
        <w:rPr>
          <w:rStyle w:val="cursor-pointer"/>
          <w:rFonts w:ascii="Geist Fallback" w:hAnsi="Geist Fallback"/>
          <w:sz w:val="23"/>
          <w:szCs w:val="23"/>
        </w:rPr>
        <w:t>Arrows are between GP and prescription, pharmacy and box and bottle, bottle text and patient interpretation and patient deterioration and back into emergency services.</w:t>
      </w:r>
      <w:r>
        <w:rPr>
          <w:rFonts w:ascii="Geist Fallback" w:hAnsi="Geist Fallback"/>
          <w:sz w:val="23"/>
          <w:szCs w:val="23"/>
        </w:rPr>
        <w:t xml:space="preserve"> </w:t>
      </w:r>
      <w:r>
        <w:rPr>
          <w:rStyle w:val="cursor-pointer"/>
          <w:rFonts w:ascii="Geist Fallback" w:hAnsi="Geist Fallback"/>
          <w:sz w:val="23"/>
          <w:szCs w:val="23"/>
        </w:rPr>
        <w:t>The lack of feedback loops manifest where the understanding is to be confirmed: prescriber-to-patient explanation, pharmacist-to-family counselling and post-prescription review of opioid response.</w:t>
      </w:r>
      <w:r>
        <w:rPr>
          <w:rFonts w:ascii="Geist Fallback" w:hAnsi="Geist Fallback"/>
          <w:sz w:val="23"/>
          <w:szCs w:val="23"/>
        </w:rPr>
        <w:t xml:space="preserve"> </w:t>
      </w:r>
      <w:r>
        <w:rPr>
          <w:rStyle w:val="cursor-pointer"/>
          <w:rFonts w:ascii="Geist Fallback" w:hAnsi="Geist Fallback"/>
          <w:sz w:val="23"/>
          <w:szCs w:val="23"/>
        </w:rPr>
        <w:t>There is also a powerful vicious cycle between deteriorating breathlessness, the impact of opioids, and respiratory constriction due to CMT.</w:t>
      </w:r>
      <w:r>
        <w:rPr>
          <w:rFonts w:ascii="Geist Fallback" w:hAnsi="Geist Fallback"/>
          <w:sz w:val="23"/>
          <w:szCs w:val="23"/>
        </w:rPr>
        <w:t xml:space="preserve"> </w:t>
      </w:r>
      <w:r>
        <w:rPr>
          <w:rStyle w:val="cursor-pointer"/>
          <w:rFonts w:ascii="Geist Fallback" w:hAnsi="Geist Fallback"/>
          <w:sz w:val="23"/>
          <w:szCs w:val="23"/>
        </w:rPr>
        <w:t>This rich picture demonstrates that relationships and disconnections, and not a single actor, generated harm.</w:t>
      </w:r>
      <w:r>
        <w:rPr>
          <w:rFonts w:ascii="Geist Fallback" w:hAnsi="Geist Fallback"/>
          <w:sz w:val="23"/>
          <w:szCs w:val="23"/>
        </w:rPr>
        <w:t xml:space="preserve"> </w:t>
      </w:r>
      <w:r>
        <w:rPr>
          <w:rStyle w:val="cursor-pointer"/>
          <w:rFonts w:ascii="Geist Fallback" w:hAnsi="Geist Fallback"/>
          <w:sz w:val="23"/>
          <w:szCs w:val="23"/>
        </w:rPr>
        <w:t>The level of governance that impacted the issue was both.</w:t>
      </w:r>
      <w:r>
        <w:rPr>
          <w:rFonts w:ascii="Geist Fallback" w:hAnsi="Geist Fallback"/>
          <w:sz w:val="23"/>
          <w:szCs w:val="23"/>
        </w:rPr>
        <w:t xml:space="preserve"> </w:t>
      </w:r>
    </w:p>
    <w:p w14:paraId="2EFB07B1" w14:textId="7A063ED2" w:rsidR="00A033AE" w:rsidRDefault="00842D29" w:rsidP="00BD7217">
      <w:pPr>
        <w:spacing w:after="120" w:line="360" w:lineRule="auto"/>
        <w:jc w:val="both"/>
      </w:pPr>
      <w:r>
        <w:rPr>
          <w:rStyle w:val="cursor-pointer"/>
          <w:rFonts w:ascii="Geist Fallback" w:hAnsi="Geist Fallback"/>
          <w:sz w:val="23"/>
          <w:szCs w:val="23"/>
        </w:rPr>
        <w:t>The event was influenced by the prescribing, dispensing and patient counselling processes in the area.</w:t>
      </w:r>
      <w:r>
        <w:rPr>
          <w:rFonts w:ascii="Geist Fallback" w:hAnsi="Geist Fallback"/>
          <w:sz w:val="23"/>
          <w:szCs w:val="23"/>
        </w:rPr>
        <w:t xml:space="preserve"> </w:t>
      </w:r>
      <w:r>
        <w:rPr>
          <w:rStyle w:val="cursor-pointer"/>
          <w:rFonts w:ascii="Geist Fallback" w:hAnsi="Geist Fallback"/>
          <w:sz w:val="23"/>
          <w:szCs w:val="23"/>
        </w:rPr>
        <w:t xml:space="preserve">Medicines </w:t>
      </w:r>
      <w:proofErr w:type="spellStart"/>
      <w:r>
        <w:rPr>
          <w:rStyle w:val="cursor-pointer"/>
          <w:rFonts w:ascii="Geist Fallback" w:hAnsi="Geist Fallback"/>
          <w:sz w:val="23"/>
          <w:szCs w:val="23"/>
        </w:rPr>
        <w:t>optimisation</w:t>
      </w:r>
      <w:proofErr w:type="spellEnd"/>
      <w:r>
        <w:rPr>
          <w:rStyle w:val="cursor-pointer"/>
          <w:rFonts w:ascii="Geist Fallback" w:hAnsi="Geist Fallback"/>
          <w:sz w:val="23"/>
          <w:szCs w:val="23"/>
        </w:rPr>
        <w:t xml:space="preserve"> policy, labelling practice, patient safety strategy and opioid dependence work influenced the environment in which the local actors operated regionally and nationally (NHS England, 2023a).</w:t>
      </w:r>
      <w:r>
        <w:rPr>
          <w:rFonts w:ascii="Geist Fallback" w:hAnsi="Geist Fallback"/>
          <w:sz w:val="23"/>
          <w:szCs w:val="23"/>
        </w:rPr>
        <w:t xml:space="preserve"> </w:t>
      </w:r>
      <w:r>
        <w:rPr>
          <w:rStyle w:val="cursor-pointer"/>
          <w:rFonts w:ascii="Geist Fallback" w:hAnsi="Geist Fallback"/>
          <w:sz w:val="23"/>
          <w:szCs w:val="23"/>
        </w:rPr>
        <w:t>The safety observations made by HSSIB also indicated improvements that are broader than the local organisation in the form of improvements in better dose-measurement aids by manufacturers and enhanced professional-body support in taking part in safety investigations (HSSIB, 2022).</w:t>
      </w:r>
      <w:r>
        <w:rPr>
          <w:rFonts w:ascii="Geist Fallback" w:hAnsi="Geist Fallback"/>
          <w:sz w:val="23"/>
          <w:szCs w:val="23"/>
        </w:rPr>
        <w:t xml:space="preserve"> </w:t>
      </w:r>
      <w:r>
        <w:rPr>
          <w:rStyle w:val="cursor-pointer"/>
          <w:rFonts w:ascii="Geist Fallback" w:hAnsi="Geist Fallback"/>
          <w:sz w:val="23"/>
          <w:szCs w:val="23"/>
        </w:rPr>
        <w:t>This demonstrates that a local incident may expose national system design issues.</w:t>
      </w:r>
      <w:r>
        <w:rPr>
          <w:rFonts w:ascii="Geist Fallback" w:hAnsi="Geist Fallback"/>
          <w:sz w:val="23"/>
          <w:szCs w:val="23"/>
        </w:rPr>
        <w:t xml:space="preserve"> </w:t>
      </w:r>
      <w:r>
        <w:rPr>
          <w:rStyle w:val="cursor-pointer"/>
          <w:rFonts w:ascii="Geist Fallback" w:hAnsi="Geist Fallback"/>
          <w:sz w:val="23"/>
          <w:szCs w:val="23"/>
        </w:rPr>
        <w:t>On the whole, the issue is indicative of structural flaws in communication, accountability and human-factors design.</w:t>
      </w:r>
      <w:r>
        <w:rPr>
          <w:rFonts w:ascii="Geist Fallback" w:hAnsi="Geist Fallback"/>
          <w:sz w:val="23"/>
          <w:szCs w:val="23"/>
        </w:rPr>
        <w:t xml:space="preserve"> </w:t>
      </w:r>
      <w:r>
        <w:rPr>
          <w:rStyle w:val="cursor-pointer"/>
          <w:rFonts w:ascii="Geist Fallback" w:hAnsi="Geist Fallback"/>
          <w:sz w:val="23"/>
          <w:szCs w:val="23"/>
        </w:rPr>
        <w:t>A systems approach thus is a more defensible conclusion than a blame-based one: The overdose in Len was possible as the care pathway was overly dependent on patient interpretation at home and underestimated the interaction of packaging, communication and frailty in the real world use of medicines.</w:t>
      </w:r>
    </w:p>
    <w:p w14:paraId="6F62E25F" w14:textId="77777777" w:rsidR="00A033AE" w:rsidRDefault="00841EA6" w:rsidP="00BD7217">
      <w:pPr>
        <w:pStyle w:val="Heading2"/>
      </w:pPr>
      <w:bookmarkStart w:id="3" w:name="_Toc227427173"/>
      <w:r>
        <w:t xml:space="preserve">b. </w:t>
      </w:r>
      <w:proofErr w:type="spellStart"/>
      <w:r>
        <w:t>Centralisation</w:t>
      </w:r>
      <w:proofErr w:type="spellEnd"/>
      <w:r>
        <w:t xml:space="preserve"> or </w:t>
      </w:r>
      <w:proofErr w:type="spellStart"/>
      <w:r>
        <w:t>decentralisation</w:t>
      </w:r>
      <w:proofErr w:type="spellEnd"/>
      <w:r>
        <w:t xml:space="preserve"> within the case study</w:t>
      </w:r>
      <w:bookmarkEnd w:id="3"/>
    </w:p>
    <w:p w14:paraId="0A2A92E6" w14:textId="25F27226" w:rsidR="00842D29" w:rsidRDefault="00842D29" w:rsidP="00842D29">
      <w:pPr>
        <w:spacing w:after="120" w:line="360" w:lineRule="auto"/>
        <w:jc w:val="both"/>
      </w:pPr>
      <w:r>
        <w:t xml:space="preserve">The case is located in a health system that has both </w:t>
      </w:r>
      <w:proofErr w:type="spellStart"/>
      <w:r>
        <w:t>centralised</w:t>
      </w:r>
      <w:proofErr w:type="spellEnd"/>
      <w:r>
        <w:t xml:space="preserve"> and </w:t>
      </w:r>
      <w:proofErr w:type="spellStart"/>
      <w:r>
        <w:t>decentralised</w:t>
      </w:r>
      <w:proofErr w:type="spellEnd"/>
      <w:r>
        <w:t xml:space="preserve"> characteristics. </w:t>
      </w:r>
      <w:proofErr w:type="spellStart"/>
      <w:r>
        <w:t>Centralisation</w:t>
      </w:r>
      <w:proofErr w:type="spellEnd"/>
      <w:r>
        <w:t xml:space="preserve"> means the decision making is at a very high level of organisation or country and it is usually by </w:t>
      </w:r>
      <w:proofErr w:type="spellStart"/>
      <w:r>
        <w:t>standardised</w:t>
      </w:r>
      <w:proofErr w:type="spellEnd"/>
      <w:r>
        <w:t xml:space="preserve"> policies, protocols and regulatory controls. </w:t>
      </w:r>
      <w:proofErr w:type="spellStart"/>
      <w:r>
        <w:t>Decentralisation</w:t>
      </w:r>
      <w:proofErr w:type="spellEnd"/>
      <w:r>
        <w:t xml:space="preserve"> means the dispersion of power to local teams allowing them to tailor care to the patient circumstances and service realities. Both of the models are not superior in health systems</w:t>
      </w:r>
      <w:r w:rsidR="000020E2">
        <w:t xml:space="preserve"> (</w:t>
      </w:r>
      <w:r w:rsidR="000020E2">
        <w:t>NHS England, 2022a</w:t>
      </w:r>
      <w:r w:rsidR="000020E2">
        <w:t>)</w:t>
      </w:r>
      <w:r>
        <w:t xml:space="preserve">. The point is whether the balance between </w:t>
      </w:r>
      <w:proofErr w:type="spellStart"/>
      <w:r>
        <w:t>standardisation</w:t>
      </w:r>
      <w:proofErr w:type="spellEnd"/>
      <w:r>
        <w:t xml:space="preserve"> and local flexibility can be helpful in making safe decisions, as well as in having clarity of accountability and quick learning.</w:t>
      </w:r>
    </w:p>
    <w:p w14:paraId="1E523F86" w14:textId="5FDE263E" w:rsidR="00842D29" w:rsidRDefault="00842D29" w:rsidP="00842D29">
      <w:pPr>
        <w:spacing w:after="120" w:line="360" w:lineRule="auto"/>
        <w:jc w:val="both"/>
      </w:pPr>
      <w:r>
        <w:t xml:space="preserve">In the case of Len, the </w:t>
      </w:r>
      <w:proofErr w:type="spellStart"/>
      <w:r>
        <w:t>centralised</w:t>
      </w:r>
      <w:proofErr w:type="spellEnd"/>
      <w:r>
        <w:t xml:space="preserve"> aspect is evident in the form of national prescribing guidelines, pharmaceutical manufacturing standards, labeling conventions, patient safety policy and medicines </w:t>
      </w:r>
      <w:proofErr w:type="spellStart"/>
      <w:r>
        <w:lastRenderedPageBreak/>
        <w:t>optimisation</w:t>
      </w:r>
      <w:proofErr w:type="spellEnd"/>
      <w:r>
        <w:t xml:space="preserve"> frameworks. The NHS England regional medicines </w:t>
      </w:r>
      <w:proofErr w:type="spellStart"/>
      <w:r>
        <w:t>optimisation</w:t>
      </w:r>
      <w:proofErr w:type="spellEnd"/>
      <w:r>
        <w:t xml:space="preserve"> guidance establishes system-wide roles, responsibilities and accountabilities, and the Patient Safety Incident Response Framework </w:t>
      </w:r>
      <w:proofErr w:type="spellStart"/>
      <w:r>
        <w:t>standardises</w:t>
      </w:r>
      <w:proofErr w:type="spellEnd"/>
      <w:r>
        <w:t xml:space="preserve"> expectations of learning about an incident within the NHS (NHS England, 2023a). The benefits of </w:t>
      </w:r>
      <w:proofErr w:type="spellStart"/>
      <w:r>
        <w:t>centralisation</w:t>
      </w:r>
      <w:proofErr w:type="spellEnd"/>
      <w:r>
        <w:t xml:space="preserve"> are apparent in medication safety. It enhances uniformity, </w:t>
      </w:r>
      <w:proofErr w:type="spellStart"/>
      <w:r>
        <w:t>minimises</w:t>
      </w:r>
      <w:proofErr w:type="spellEnd"/>
      <w:r>
        <w:t xml:space="preserve"> unnecessary variation and may facilitate that all organisations strive to shared safety anticipations. Principally, a centrally-led system of safety must render high-risk medicines like morphine to strong design, proper warnings and shared learning.</w:t>
      </w:r>
    </w:p>
    <w:p w14:paraId="545BB379" w14:textId="77777777" w:rsidR="00842D29" w:rsidRDefault="00842D29" w:rsidP="00842D29">
      <w:pPr>
        <w:spacing w:after="120" w:line="360" w:lineRule="auto"/>
        <w:jc w:val="both"/>
      </w:pPr>
      <w:r>
        <w:t xml:space="preserve">But with this case we see the frontiers of </w:t>
      </w:r>
      <w:proofErr w:type="spellStart"/>
      <w:r>
        <w:t>centralisation</w:t>
      </w:r>
      <w:proofErr w:type="spellEnd"/>
      <w:r>
        <w:t xml:space="preserve"> where </w:t>
      </w:r>
      <w:proofErr w:type="spellStart"/>
      <w:r>
        <w:t>standardisation</w:t>
      </w:r>
      <w:proofErr w:type="spellEnd"/>
      <w:r>
        <w:t xml:space="preserve"> fails to consider usability in the frontline. A bottle that correctly indicates the strength of the medicine may not be safe when it is interpreted by the patients as the dose. As noted by HSSIB (2022), the dispensing label was placed on the outer box, which may not be the bottle at the time of administration. This implies that an ambiguity in practice existed in a technically </w:t>
      </w:r>
      <w:proofErr w:type="spellStart"/>
      <w:r>
        <w:t>standardised</w:t>
      </w:r>
      <w:proofErr w:type="spellEnd"/>
      <w:r>
        <w:t xml:space="preserve"> process. </w:t>
      </w:r>
      <w:proofErr w:type="spellStart"/>
      <w:r>
        <w:t>Centralised</w:t>
      </w:r>
      <w:proofErr w:type="spellEnd"/>
      <w:r>
        <w:t xml:space="preserve"> systems can thus give an illusion of control in case the design choices are taken at a distance to point of use. They can also spread responsibility since every actor can say that he or she adheres to the formal process and the patient is still unsafe.</w:t>
      </w:r>
    </w:p>
    <w:p w14:paraId="5D0100D9" w14:textId="77777777" w:rsidR="00842D29" w:rsidRDefault="00842D29" w:rsidP="00842D29">
      <w:pPr>
        <w:spacing w:after="120" w:line="360" w:lineRule="auto"/>
        <w:jc w:val="both"/>
      </w:pPr>
      <w:r>
        <w:t xml:space="preserve">Clinical judgement and communication with patients is </w:t>
      </w:r>
      <w:proofErr w:type="spellStart"/>
      <w:r>
        <w:t>decentralised</w:t>
      </w:r>
      <w:proofErr w:type="spellEnd"/>
      <w:r>
        <w:t xml:space="preserve"> in the case. The GP chose morphine correctly and decreased the dose considering age and kidney dysfunction, demonstrating the worth of locally responsive, </w:t>
      </w:r>
      <w:proofErr w:type="spellStart"/>
      <w:r>
        <w:t>individualised</w:t>
      </w:r>
      <w:proofErr w:type="spellEnd"/>
      <w:r>
        <w:t xml:space="preserve"> decision-making (HSSIB, 2022). The local part of administration was also played in the pharmacy. The capacity of patients and their families was critical in home-based medication use. </w:t>
      </w:r>
      <w:proofErr w:type="spellStart"/>
      <w:r>
        <w:t>Decentralisation</w:t>
      </w:r>
      <w:proofErr w:type="spellEnd"/>
      <w:r>
        <w:t xml:space="preserve"> may work to enhance safety because local teams have familiarity with patient context, cognitive ability, health literacy and family support. The whole-system, person-</w:t>
      </w:r>
      <w:proofErr w:type="spellStart"/>
      <w:r>
        <w:t>centred</w:t>
      </w:r>
      <w:proofErr w:type="spellEnd"/>
      <w:r>
        <w:t xml:space="preserve"> local action framework of NHS England on </w:t>
      </w:r>
      <w:proofErr w:type="spellStart"/>
      <w:r>
        <w:t>personalised</w:t>
      </w:r>
      <w:proofErr w:type="spellEnd"/>
      <w:r>
        <w:t xml:space="preserve"> care to people who are prescribed medicines related to dependence or withdrawal symptoms explicitly encourages people to take local action and not one-size-fits-all prescribing (NHS England, 2023b). This is of particular importance in older adults, as frailty, multimorbidity, sensory changes and carer dependence are key determinants of medication safety (Steinman and Hanlon, 2023).</w:t>
      </w:r>
    </w:p>
    <w:p w14:paraId="0A8A6126" w14:textId="77777777" w:rsidR="00842D29" w:rsidRDefault="00842D29" w:rsidP="00842D29">
      <w:pPr>
        <w:spacing w:after="120" w:line="360" w:lineRule="auto"/>
        <w:jc w:val="both"/>
      </w:pPr>
      <w:r>
        <w:t xml:space="preserve">But there are drawbacks of </w:t>
      </w:r>
      <w:proofErr w:type="spellStart"/>
      <w:r>
        <w:t>decentralisation</w:t>
      </w:r>
      <w:proofErr w:type="spellEnd"/>
      <w:r>
        <w:t xml:space="preserve">, too. Without proper accountability of authority spread, safety-related tasks may be left in between the professional boundaries. In this instance, who had the responsibility to make sure that Len and his wife were able to properly interpret the dose? The prescriber might have thought that the pharmacy would support the message. The drugstore might have assumed that the label was adequate. The family might have believed that the bottle had the </w:t>
      </w:r>
      <w:r>
        <w:lastRenderedPageBreak/>
        <w:t xml:space="preserve">essential command on it. This is a typical failure of </w:t>
      </w:r>
      <w:proofErr w:type="spellStart"/>
      <w:r>
        <w:t>decentralisation</w:t>
      </w:r>
      <w:proofErr w:type="spellEnd"/>
      <w:r>
        <w:t>: shared responsibility and poor closure of the information loop.</w:t>
      </w:r>
    </w:p>
    <w:p w14:paraId="0B624410" w14:textId="2971CBCD" w:rsidR="00A033AE" w:rsidRDefault="00842D29" w:rsidP="00842D29">
      <w:pPr>
        <w:spacing w:after="120" w:line="360" w:lineRule="auto"/>
        <w:jc w:val="both"/>
      </w:pPr>
      <w:r>
        <w:t xml:space="preserve">The case thus indicates that the organisation operated as a hybrid system, not necessarily a </w:t>
      </w:r>
      <w:proofErr w:type="spellStart"/>
      <w:r>
        <w:t>well integrated</w:t>
      </w:r>
      <w:proofErr w:type="spellEnd"/>
      <w:r>
        <w:t xml:space="preserve"> system. The medicine and the general rules were characterized by central systems; they were </w:t>
      </w:r>
      <w:proofErr w:type="spellStart"/>
      <w:r>
        <w:t>functionalised</w:t>
      </w:r>
      <w:proofErr w:type="spellEnd"/>
      <w:r>
        <w:t xml:space="preserve"> by the local actors. The interface between </w:t>
      </w:r>
      <w:proofErr w:type="spellStart"/>
      <w:r>
        <w:t>standardisation</w:t>
      </w:r>
      <w:proofErr w:type="spellEnd"/>
      <w:r>
        <w:t xml:space="preserve"> and adaptation was poor, thereby compromising crisis management. Wider system sources provide numerical evidence as to why this is important. According to WHO (2024), 53 percent of all medication-related harm is associated with prescribing, yet the harm frequently occurs at even later stages in the process of dispensing, administration, and patient use. OECD (2022) underlines that half of drugs are not used in the proper way, and </w:t>
      </w:r>
      <w:proofErr w:type="spellStart"/>
      <w:r>
        <w:t>standardised</w:t>
      </w:r>
      <w:proofErr w:type="spellEnd"/>
      <w:r>
        <w:t xml:space="preserve"> prescription is not a sufficient protection. In England, national medicines safety functions have moved to </w:t>
      </w:r>
      <w:proofErr w:type="spellStart"/>
      <w:r>
        <w:t>prioritise</w:t>
      </w:r>
      <w:proofErr w:type="spellEnd"/>
      <w:r>
        <w:t xml:space="preserve"> problematic polypharmacy, and safer administration; understanding that the risk of medication is </w:t>
      </w:r>
      <w:proofErr w:type="spellStart"/>
      <w:r>
        <w:t>decentralised</w:t>
      </w:r>
      <w:proofErr w:type="spellEnd"/>
      <w:r>
        <w:t xml:space="preserve"> across settings, but not limited to prescribers (NHS England, 2026b).</w:t>
      </w:r>
    </w:p>
    <w:p w14:paraId="228AF990" w14:textId="21FD06AB" w:rsidR="00842D29" w:rsidRDefault="00842D29" w:rsidP="00842D29">
      <w:pPr>
        <w:spacing w:after="120" w:line="360" w:lineRule="auto"/>
        <w:jc w:val="both"/>
      </w:pPr>
      <w:r>
        <w:t xml:space="preserve">The systems that are </w:t>
      </w:r>
      <w:proofErr w:type="spellStart"/>
      <w:r>
        <w:t>decentralised</w:t>
      </w:r>
      <w:proofErr w:type="spellEnd"/>
      <w:r>
        <w:t xml:space="preserve"> are also more susceptible in the presence of workforce or culture issues. In the NHS Staff Survey 2024, there was not much change in terms of speaking-up indicators, and the National Guardians Office reported that the Freedom to Speak Up score has not changed much in 2024, staying at 6.45, as it was in 2025 (National Guardian Office, 2024). In practice, local flexibility can only enhance safety in those areas where employees can feel empowered to challenge unsafe assumptions, re-design poor routines and escalate issues. In its absence, </w:t>
      </w:r>
      <w:proofErr w:type="spellStart"/>
      <w:r>
        <w:t>decentralisation</w:t>
      </w:r>
      <w:proofErr w:type="spellEnd"/>
      <w:r>
        <w:t xml:space="preserve"> can imply variation instead of intelligent adaptation.</w:t>
      </w:r>
      <w:r w:rsidR="000020E2">
        <w:t xml:space="preserve"> </w:t>
      </w:r>
      <w:r>
        <w:t xml:space="preserve">In this situation, the most appropriate explanation is that the failure was not only the result of </w:t>
      </w:r>
      <w:proofErr w:type="spellStart"/>
      <w:r>
        <w:t>centralisation</w:t>
      </w:r>
      <w:proofErr w:type="spellEnd"/>
      <w:r>
        <w:t xml:space="preserve"> or </w:t>
      </w:r>
      <w:proofErr w:type="spellStart"/>
      <w:r>
        <w:t>decentralisation</w:t>
      </w:r>
      <w:proofErr w:type="spellEnd"/>
      <w:r>
        <w:t xml:space="preserve">. Instead, the failure was due to failure to </w:t>
      </w:r>
      <w:proofErr w:type="spellStart"/>
      <w:r>
        <w:t>realise</w:t>
      </w:r>
      <w:proofErr w:type="spellEnd"/>
      <w:r>
        <w:t xml:space="preserve"> the benefits of each model. The use of </w:t>
      </w:r>
      <w:proofErr w:type="spellStart"/>
      <w:r>
        <w:t>centralised</w:t>
      </w:r>
      <w:proofErr w:type="spellEnd"/>
      <w:r>
        <w:t xml:space="preserve"> structures failed to provide human-factors-safe packaging and communication</w:t>
      </w:r>
      <w:r w:rsidR="000020E2">
        <w:t xml:space="preserve"> (</w:t>
      </w:r>
      <w:r w:rsidR="000020E2">
        <w:t>NHS Staff Survey, 2025</w:t>
      </w:r>
      <w:r w:rsidR="000020E2">
        <w:t>)</w:t>
      </w:r>
      <w:r>
        <w:t xml:space="preserve">. Patient understanding was not consistently checked in context by </w:t>
      </w:r>
      <w:proofErr w:type="spellStart"/>
      <w:r>
        <w:t>decentralised</w:t>
      </w:r>
      <w:proofErr w:type="spellEnd"/>
      <w:r>
        <w:t xml:space="preserve"> practice. The system thus inhibited accountability: everybody had a hand in the process, yet there was no system to ensure that the understanding of the patient was verified prior to the taking of a high-risk opioid at home.</w:t>
      </w:r>
    </w:p>
    <w:p w14:paraId="2E2FBE8E" w14:textId="10573DD0" w:rsidR="00A033AE" w:rsidRDefault="00842D29" w:rsidP="00842D29">
      <w:pPr>
        <w:spacing w:after="120" w:line="360" w:lineRule="auto"/>
        <w:jc w:val="both"/>
      </w:pPr>
      <w:r>
        <w:t xml:space="preserve">A better design would be to integrate </w:t>
      </w:r>
      <w:proofErr w:type="spellStart"/>
      <w:r>
        <w:t>centralised</w:t>
      </w:r>
      <w:proofErr w:type="spellEnd"/>
      <w:r>
        <w:t xml:space="preserve"> safety design with </w:t>
      </w:r>
      <w:proofErr w:type="spellStart"/>
      <w:r>
        <w:t>decentralised</w:t>
      </w:r>
      <w:proofErr w:type="spellEnd"/>
      <w:r>
        <w:t xml:space="preserve"> verification. Labelling, bottle presentation and dose should have aids to reduce ambiguity and that this should be by national bodies and manufacturers. The local teams can then use situational judgement to determine whether a patient and a carer will be able to safely administer the medicine, particularly when older age, breathlessness, cognitive load and multimorbidity are involved. In that regard, the </w:t>
      </w:r>
      <w:r>
        <w:lastRenderedPageBreak/>
        <w:t xml:space="preserve">lesson is not to decide between </w:t>
      </w:r>
      <w:proofErr w:type="spellStart"/>
      <w:r>
        <w:t>centralisation</w:t>
      </w:r>
      <w:proofErr w:type="spellEnd"/>
      <w:r>
        <w:t xml:space="preserve"> and </w:t>
      </w:r>
      <w:proofErr w:type="spellStart"/>
      <w:r>
        <w:t>decentralisation</w:t>
      </w:r>
      <w:proofErr w:type="spellEnd"/>
      <w:r>
        <w:t>, but consider the combination of the two in a strategic manner around the patient.</w:t>
      </w:r>
    </w:p>
    <w:p w14:paraId="78AE20AE" w14:textId="77777777" w:rsidR="00A033AE" w:rsidRDefault="00841EA6" w:rsidP="00BD7217">
      <w:pPr>
        <w:pStyle w:val="Heading2"/>
      </w:pPr>
      <w:bookmarkStart w:id="4" w:name="_Toc227427174"/>
      <w:r>
        <w:t>c. Leadership theories and application to the case study</w:t>
      </w:r>
      <w:bookmarkEnd w:id="4"/>
    </w:p>
    <w:p w14:paraId="4B289DE9" w14:textId="650889D4" w:rsidR="00A033AE" w:rsidRDefault="00842D29" w:rsidP="00BD7217">
      <w:pPr>
        <w:spacing w:after="120" w:line="360" w:lineRule="auto"/>
        <w:jc w:val="both"/>
      </w:pPr>
      <w:r w:rsidRPr="00842D29">
        <w:t>Leadership analysis aids in an explanation of not only what did not work in the case of Len but also what kind of organisational response would most probably prevent the same situation. Three school of thought of leadership are particularly applicable: transactional leadership, transformational leadership and situational or distributed leadership.</w:t>
      </w:r>
    </w:p>
    <w:p w14:paraId="5C37BCB8" w14:textId="13C332C5" w:rsidR="0093104B" w:rsidRPr="0093104B" w:rsidRDefault="0093104B" w:rsidP="00842D29">
      <w:pPr>
        <w:tabs>
          <w:tab w:val="center" w:pos="4824"/>
        </w:tabs>
        <w:spacing w:after="120" w:line="360" w:lineRule="auto"/>
        <w:jc w:val="both"/>
        <w:rPr>
          <w:b/>
          <w:bCs/>
        </w:rPr>
      </w:pPr>
      <w:r w:rsidRPr="0093104B">
        <w:rPr>
          <w:b/>
          <w:bCs/>
        </w:rPr>
        <w:t xml:space="preserve">Transactional leadership </w:t>
      </w:r>
      <w:r w:rsidR="00842D29">
        <w:rPr>
          <w:b/>
          <w:bCs/>
        </w:rPr>
        <w:tab/>
      </w:r>
    </w:p>
    <w:p w14:paraId="45EA97E7" w14:textId="77777777" w:rsidR="00842D29" w:rsidRDefault="00842D29" w:rsidP="00842D29">
      <w:pPr>
        <w:tabs>
          <w:tab w:val="center" w:pos="4824"/>
        </w:tabs>
        <w:spacing w:after="120" w:line="360" w:lineRule="auto"/>
        <w:jc w:val="both"/>
      </w:pPr>
      <w:r>
        <w:t xml:space="preserve">The transactional leadership is concerned with compliance, roles, rules and performances that are not expected. This style is applicable in high-risk processes in healthcare where </w:t>
      </w:r>
      <w:proofErr w:type="spellStart"/>
      <w:r>
        <w:t>standardisation</w:t>
      </w:r>
      <w:proofErr w:type="spellEnd"/>
      <w:r>
        <w:t xml:space="preserve"> is important, including prescribing documentation, checking dispensing, using dose-measurement aids, and incident reporting. In the case of Len, transactional leadership can be traced in the following aspects: the GP was prescribed according to the guidance, the medicine was with a labeled strength and the system was giving a dispensing instruction. Theoretically, all of these are rule-based controls. The case however demonstrates the shortcoming of </w:t>
      </w:r>
      <w:proofErr w:type="spellStart"/>
      <w:r>
        <w:t>overreliing</w:t>
      </w:r>
      <w:proofErr w:type="spellEnd"/>
      <w:r>
        <w:t xml:space="preserve"> on transactional leadership. The adherence to procedure did not guarantee understanding. It seems that the organisation was rule-correct rather than system-safe. This is in line with broader evidence showing that safety cannot be narrowed down to formal compliance with processes in the context of the actual work of patients and carers, which is complicated (Mannion, 2024).</w:t>
      </w:r>
    </w:p>
    <w:p w14:paraId="6FE6D3D1" w14:textId="4725297E" w:rsidR="0093104B" w:rsidRPr="0093104B" w:rsidRDefault="0093104B" w:rsidP="00842D29">
      <w:pPr>
        <w:tabs>
          <w:tab w:val="center" w:pos="4824"/>
        </w:tabs>
        <w:spacing w:after="120" w:line="360" w:lineRule="auto"/>
        <w:jc w:val="both"/>
        <w:rPr>
          <w:b/>
          <w:bCs/>
        </w:rPr>
      </w:pPr>
      <w:r w:rsidRPr="0093104B">
        <w:rPr>
          <w:b/>
          <w:bCs/>
        </w:rPr>
        <w:t xml:space="preserve">Transformational leadership </w:t>
      </w:r>
      <w:r w:rsidR="00842D29">
        <w:rPr>
          <w:b/>
          <w:bCs/>
        </w:rPr>
        <w:tab/>
      </w:r>
    </w:p>
    <w:p w14:paraId="56641E5B" w14:textId="77777777" w:rsidR="00842D29" w:rsidRDefault="00842D29" w:rsidP="00842D29">
      <w:pPr>
        <w:spacing w:after="120" w:line="360" w:lineRule="auto"/>
        <w:jc w:val="both"/>
      </w:pPr>
      <w:r>
        <w:t>Transformational leadership is more applicable when organisations require to form culture, learning and shared purpose. It motivates employees to go beyond the minimum compliance and consider whether the care is truly safe as viewed by the patient. Transformational and servant leadership were related to a better patient safety culture and quality outcomes in a systematic review and meta-analysis (Pattison and Corser, 2023). Associated evidence demonstrates that perceptions of transformational leadership by nurses are associated with reduced reported adverse patient events and improved measured quality of care, in part due to improved work satisfaction (</w:t>
      </w:r>
      <w:proofErr w:type="spellStart"/>
      <w:r>
        <w:t>Labrague</w:t>
      </w:r>
      <w:proofErr w:type="spellEnd"/>
      <w:r>
        <w:t xml:space="preserve">, 2023). When applied to this case, transformational leadership would have promoted a culture of medication communication as a safety conversation and not a labelling transaction among the staff. The questions that a leader with this style may pose are: do an older couple under stress comprehend the distinction between the </w:t>
      </w:r>
      <w:r>
        <w:lastRenderedPageBreak/>
        <w:t>strength of medicine and the dose prescribed? Will the bottle be used independently of the box? What obstacles render the instructions which are correct to be invisible in practice?</w:t>
      </w:r>
    </w:p>
    <w:p w14:paraId="03BCF459" w14:textId="02F6B1DC" w:rsidR="0093104B" w:rsidRPr="0093104B" w:rsidRDefault="0093104B" w:rsidP="00BD7217">
      <w:pPr>
        <w:spacing w:after="120" w:line="360" w:lineRule="auto"/>
        <w:jc w:val="both"/>
        <w:rPr>
          <w:b/>
          <w:bCs/>
        </w:rPr>
      </w:pPr>
      <w:r w:rsidRPr="0093104B">
        <w:rPr>
          <w:b/>
          <w:bCs/>
        </w:rPr>
        <w:t xml:space="preserve">Situational leadership </w:t>
      </w:r>
    </w:p>
    <w:p w14:paraId="3FF3A2A0" w14:textId="7827F035" w:rsidR="00A033AE" w:rsidRDefault="00842D29" w:rsidP="00BD7217">
      <w:pPr>
        <w:spacing w:after="120" w:line="360" w:lineRule="auto"/>
        <w:jc w:val="both"/>
      </w:pPr>
      <w:r w:rsidRPr="00842D29">
        <w:t xml:space="preserve">The situational leadership is also very relevant since it focuses on alignment of leadership behaviour to the situation and the ability of the involved individuals. Len was no ordinary low-risk patient. He was 89, acutely unwell, and has progressive neuromuscular disease, and informal care giving. Situational leadership would then need a more supportive, coaching and anticipatory leadership, rather than just delegation of medicine administration to the home setting. The emerging literature on healthcare maintains that adaptive leadership </w:t>
      </w:r>
      <w:proofErr w:type="spellStart"/>
      <w:r w:rsidRPr="00842D29">
        <w:t>behaviours</w:t>
      </w:r>
      <w:proofErr w:type="spellEnd"/>
      <w:r w:rsidRPr="00842D29">
        <w:t xml:space="preserve"> are required during crises and disruption of services since leaders should alternatingly switch between direction, support and delegation based on risk and preparedness (</w:t>
      </w:r>
      <w:proofErr w:type="spellStart"/>
      <w:r w:rsidRPr="00842D29">
        <w:t>Mafimisebi</w:t>
      </w:r>
      <w:proofErr w:type="spellEnd"/>
      <w:r w:rsidRPr="00842D29">
        <w:t xml:space="preserve"> et al., 2025). A situational approach in this situation may have led to additional verification, demonstration by a pharmacist, follow-up contact or alternative formulations and packaging.</w:t>
      </w:r>
    </w:p>
    <w:p w14:paraId="3E6663EB" w14:textId="7913FB05" w:rsidR="0093104B" w:rsidRPr="0093104B" w:rsidRDefault="0093104B" w:rsidP="00BD7217">
      <w:pPr>
        <w:spacing w:after="120" w:line="360" w:lineRule="auto"/>
        <w:jc w:val="both"/>
        <w:rPr>
          <w:b/>
          <w:bCs/>
        </w:rPr>
      </w:pPr>
      <w:r w:rsidRPr="0093104B">
        <w:rPr>
          <w:b/>
          <w:bCs/>
        </w:rPr>
        <w:t xml:space="preserve">Distributed leadership </w:t>
      </w:r>
    </w:p>
    <w:p w14:paraId="7AC64978" w14:textId="77777777" w:rsidR="00842D29" w:rsidRDefault="00842D29" w:rsidP="00842D29">
      <w:pPr>
        <w:spacing w:after="120" w:line="360" w:lineRule="auto"/>
        <w:jc w:val="both"/>
      </w:pPr>
      <w:r>
        <w:t>The concept of distributed leadership can also provide another approach since medication safety cuts across professions and environments. A recent review of quality-improvement collaboratives established that congruent distributed leadership enhanced progress and success through the dissemination of influence within the professional circles instead of focusing it in a single, official leader (Carstensen, Kjeldsen and Nielsen, 2023). The case of Len was definitely one that needed distributed leadership: GP, pharmacist, medicines safety teams, hospital clinicians and governance leaders all shared some blame. Its weakness lay in the fact that there was a distribution of influence and responsibility, but not alignment. Nobody managed the entire safety route between decision to prescribe and home administration.</w:t>
      </w:r>
    </w:p>
    <w:p w14:paraId="23FD83A5" w14:textId="1B27A1CA" w:rsidR="00842D29" w:rsidRDefault="00842D29" w:rsidP="00842D29">
      <w:pPr>
        <w:spacing w:after="120" w:line="360" w:lineRule="auto"/>
        <w:jc w:val="both"/>
      </w:pPr>
      <w:r>
        <w:t xml:space="preserve">The leadership that was actually in the case is rather reactive than proactive. The system reacted following injury in terms of ambulance transfer and emergency care and subsequent investigation. The report by HSSIB was a good one, but it was retroactive. An active leadership culture would have viewed the oral morphine solution as a predictable risk factor in geriatric patients and structured communication based on it prior to an incident. There are various examples of anticipatory learning promoted by NHS England in its patient safety strategy, PSIRF and medicines safety work but implementation relies on leaders transforming national intent to practice (NHS England, 2022a). This </w:t>
      </w:r>
      <w:r>
        <w:lastRenderedPageBreak/>
        <w:t>is the point of governance and leadership. Structures are characterized by good governance; they are animated by effective leadership.</w:t>
      </w:r>
    </w:p>
    <w:p w14:paraId="4CF9E1AD" w14:textId="3FA1DA5F" w:rsidR="00A033AE" w:rsidRDefault="00842D29" w:rsidP="00842D29">
      <w:pPr>
        <w:spacing w:after="120" w:line="360" w:lineRule="auto"/>
        <w:jc w:val="both"/>
      </w:pPr>
      <w:r>
        <w:t>Information about staff culture is also important when it comes to assessing the effectiveness of leadership. According to national data, the extent of staff experience of speaking up and safety culture has not significantly increased, but has been relatively stable (National Guardian’s Office, 2024; NHS Staff Survey, 2025). That is not an indication of poor leadership in the organisation that Len is working in, but rather an indication of a bigger picture whereby the leaders in the healthcare sector are still yet to achieve the ability to consistently establish an open, learning-</w:t>
      </w:r>
      <w:proofErr w:type="spellStart"/>
      <w:r>
        <w:t>centred</w:t>
      </w:r>
      <w:proofErr w:type="spellEnd"/>
      <w:r>
        <w:t xml:space="preserve"> environment. Unless teams periodically identify and report near misses, usability issues or patient confusion, latent medication risks will go unnoticed until a serious event happens</w:t>
      </w:r>
      <w:r w:rsidR="000020E2">
        <w:t xml:space="preserve"> (</w:t>
      </w:r>
      <w:r w:rsidR="000020E2">
        <w:t>NHS England, 2026a</w:t>
      </w:r>
      <w:r w:rsidR="000020E2">
        <w:t>)</w:t>
      </w:r>
      <w:r>
        <w:t>.</w:t>
      </w:r>
    </w:p>
    <w:p w14:paraId="4B89AAEA" w14:textId="77777777" w:rsidR="00842D29" w:rsidRDefault="00842D29" w:rsidP="00842D29">
      <w:pPr>
        <w:spacing w:after="120" w:line="360" w:lineRule="auto"/>
        <w:jc w:val="both"/>
      </w:pPr>
      <w:r>
        <w:t>One more thing that should be mentioned is emotionally intelligent leadership. Older individuals on opioids frequently report ambiguity, barriers and difficulty in shared decision-making with the practitioners (</w:t>
      </w:r>
      <w:proofErr w:type="spellStart"/>
      <w:r>
        <w:t>Liebschutz</w:t>
      </w:r>
      <w:proofErr w:type="spellEnd"/>
      <w:r>
        <w:t xml:space="preserve"> et al., 2024). Research on patient education on opioids also demonstrates that specific education may enhance patient use, storage, and management of opioid medications (McElyea et al., 2022). In such cases, leaders who appreciate the importance of emotional intelligence are better placed to </w:t>
      </w:r>
      <w:proofErr w:type="spellStart"/>
      <w:r>
        <w:t>realise</w:t>
      </w:r>
      <w:proofErr w:type="spellEnd"/>
      <w:r>
        <w:t xml:space="preserve"> anxiety, cognitive load and vulnerability of patients and carers. Practically, emotionally intelligent leadership would have communication based not on the transfer of information but on the establishment of comprehension.</w:t>
      </w:r>
    </w:p>
    <w:p w14:paraId="023DBC24" w14:textId="5F825728" w:rsidR="00A033AE" w:rsidRDefault="00842D29" w:rsidP="00842D29">
      <w:pPr>
        <w:spacing w:after="120" w:line="360" w:lineRule="auto"/>
        <w:jc w:val="both"/>
      </w:pPr>
      <w:r>
        <w:t>What would you have done otherwise? First, leaders might have facilitated further decentralized ownership of medication safety on both sides of the prescribing and dispensing interfaces. Second, they might have enhanced human-factors awareness to ensure that staff do not think written labels are self-explanatory. Third, they would have facilitated the creation of a transformational safety culture where frontline employees are stimulated to redesign systems based on actual patient use. Lastly, they might have employed situational leadership to increase support to high-risk patients instead of routine communication strategies. As such, the most persuasive criticism is that leadership lacked, but it was not adaptive enough, integrative and patient-</w:t>
      </w:r>
      <w:proofErr w:type="spellStart"/>
      <w:r>
        <w:t>centred</w:t>
      </w:r>
      <w:proofErr w:type="spellEnd"/>
      <w:r>
        <w:t xml:space="preserve"> to respond to the degree of risk involved.</w:t>
      </w:r>
    </w:p>
    <w:p w14:paraId="15676C93" w14:textId="77777777" w:rsidR="00A033AE" w:rsidRDefault="00841EA6" w:rsidP="00BD7217">
      <w:pPr>
        <w:pStyle w:val="Heading2"/>
      </w:pPr>
      <w:bookmarkStart w:id="5" w:name="_Toc227427175"/>
      <w:r>
        <w:t>d. Improvement and lessons learned</w:t>
      </w:r>
      <w:bookmarkEnd w:id="5"/>
    </w:p>
    <w:p w14:paraId="4E9DD35C" w14:textId="77777777" w:rsidR="00842D29" w:rsidRDefault="00842D29" w:rsidP="00842D29">
      <w:pPr>
        <w:spacing w:after="120" w:line="360" w:lineRule="auto"/>
        <w:jc w:val="both"/>
      </w:pPr>
      <w:r>
        <w:t xml:space="preserve">This interplay of leadership and governance in the case created a paradox. There was formal governance structures, but practical safety did not exist. This prescription was clinically suitable, the drug was legally labeled and emergency care was called in when Len became sick. However, a predictable misinterpretation in a weak elderly patient taking a high-risk opioid at home was not </w:t>
      </w:r>
      <w:r>
        <w:lastRenderedPageBreak/>
        <w:t>averted by the system. This proves that procedural assurance may be developed through governance in which leadership lacks an effective learning aspect.</w:t>
      </w:r>
    </w:p>
    <w:p w14:paraId="17C2482A" w14:textId="77777777" w:rsidR="00842D29" w:rsidRDefault="00842D29" w:rsidP="00842D29">
      <w:pPr>
        <w:spacing w:after="120" w:line="360" w:lineRule="auto"/>
        <w:jc w:val="both"/>
      </w:pPr>
      <w:r>
        <w:t>One of the initial opportunities that were missed was related to communication and verification. Whether there were instructions was not the critical question, but whether they were understood. HSSIB (2022) discovered that Len and his wife were not aware of the dispensing label on the outer box but rather used the strength label of the bottle. This points to a classic human-factors issue: the information most visible where it was needed had a different meaning than that desired by the patient. A possible evidence-based change would be to make oral opioids in the elderly and any drug where there is a risk of confusion between concentration and dose to be administered on a mandatory basis of teaching it orally or by demonstration. Studies have indicated that patient education about opioid administration and use needs to be delivered in a structured manner to enhance the safe handling and use of opioids (McElyea et al., 2022). Implying governance, this involves transforming counselling as a good practice that is optional to a monitored safety process.</w:t>
      </w:r>
    </w:p>
    <w:p w14:paraId="135741A3" w14:textId="00D17ADE" w:rsidR="00842D29" w:rsidRDefault="00842D29" w:rsidP="00842D29">
      <w:pPr>
        <w:spacing w:after="120" w:line="360" w:lineRule="auto"/>
        <w:jc w:val="both"/>
      </w:pPr>
      <w:r>
        <w:t xml:space="preserve">A second </w:t>
      </w:r>
      <w:r w:rsidR="000020E2">
        <w:t>missed opportunity was in</w:t>
      </w:r>
      <w:r>
        <w:t xml:space="preserve"> packaging and measurement. Another safety observation made by HSSIB (2022) is that manufacturers must make sure that any dose-measurement aid supplied will be able to measure the entire range of potential doses. This is very important since </w:t>
      </w:r>
      <w:r w:rsidR="000020E2">
        <w:t xml:space="preserve">an ideal interpretation should not be used in </w:t>
      </w:r>
      <w:r>
        <w:t xml:space="preserve">system safety. The correct action to take should be made easier by design than the wrong one. The </w:t>
      </w:r>
      <w:r w:rsidR="000020E2">
        <w:t>enhancements here are bottle-level dose labelling where possible, increased prominence of prescribed directions, better distinction between strength and your dose,</w:t>
      </w:r>
      <w:r>
        <w:t xml:space="preserve"> and the use of reliable measuring instruments. Leadership outside an organisation is necessary in such changes and it involves regulators, manufacturers and national medicines governance.</w:t>
      </w:r>
    </w:p>
    <w:p w14:paraId="157DBD8B" w14:textId="7C5894C9" w:rsidR="00842D29" w:rsidRDefault="00842D29" w:rsidP="00842D29">
      <w:pPr>
        <w:spacing w:after="120" w:line="360" w:lineRule="auto"/>
        <w:jc w:val="both"/>
      </w:pPr>
      <w:r>
        <w:t xml:space="preserve">A third opportunity missed was that of integrated monitoring across settings. The medicines </w:t>
      </w:r>
      <w:proofErr w:type="spellStart"/>
      <w:r>
        <w:t>optimisation</w:t>
      </w:r>
      <w:proofErr w:type="spellEnd"/>
      <w:r>
        <w:t xml:space="preserve"> and dependence-related prescribing frameworks of NHS England start to prioritize whole-system, person-</w:t>
      </w:r>
      <w:proofErr w:type="spellStart"/>
      <w:r>
        <w:t>centred</w:t>
      </w:r>
      <w:proofErr w:type="spellEnd"/>
      <w:r>
        <w:t xml:space="preserve"> action via integrated care systems (NHS England, 2023a). Len traversed home, primary care, pharmacy and hospital but a risk was not addressed as a pathway-level incident. Recommendations would include cross-sector medication safety reviews of opioids prescribed to frail older adults, such as pharmacy follow-up and review shortly after the start</w:t>
      </w:r>
      <w:r w:rsidR="000020E2">
        <w:t xml:space="preserve"> (</w:t>
      </w:r>
      <w:r w:rsidR="000020E2">
        <w:t>NHS England, 2023b</w:t>
      </w:r>
      <w:r w:rsidR="000020E2">
        <w:t>)</w:t>
      </w:r>
      <w:r>
        <w:t>. The Digital Medicines Programme and medication safety management guidance indicate that safer communication and monitoring could be aided by enhanced approaches to data and digital technology, yet technology should support, rather than substitute, human explanation (NHS England, 2025a).</w:t>
      </w:r>
    </w:p>
    <w:p w14:paraId="13DD413C" w14:textId="77777777" w:rsidR="00842D29" w:rsidRDefault="00842D29" w:rsidP="00842D29">
      <w:pPr>
        <w:spacing w:after="120" w:line="360" w:lineRule="auto"/>
        <w:jc w:val="both"/>
      </w:pPr>
      <w:r>
        <w:lastRenderedPageBreak/>
        <w:t xml:space="preserve">The fourth lesson relates to patient and family involvement. PSIRF also clearly encourages participation and inclusion of patients, families and staff in the aftermath of incidents to ensure organisations get to learn through lived experience and not just by reviewing internal processes (NHS England, 2022b). In the case of Len, the family only </w:t>
      </w:r>
      <w:proofErr w:type="spellStart"/>
      <w:r>
        <w:t>realised</w:t>
      </w:r>
      <w:proofErr w:type="spellEnd"/>
      <w:r>
        <w:t xml:space="preserve"> the intended dose after Death struck. This depressing fact emphasizes the significance of co-production. Medicine safety does not flow down to patients and carers, these two groups are active components of the safety system. OECD (2023) says that patient engagement must be viewed as a fundamental pathway in terms of enhancing accountability and safety. Thus, carers and older patients should be involved in label redesign by organisations.</w:t>
      </w:r>
    </w:p>
    <w:p w14:paraId="2A1C5611" w14:textId="77777777" w:rsidR="00842D29" w:rsidRDefault="00842D29" w:rsidP="00842D29">
      <w:pPr>
        <w:spacing w:after="120" w:line="360" w:lineRule="auto"/>
        <w:jc w:val="both"/>
      </w:pPr>
      <w:r>
        <w:t xml:space="preserve">The fifth problem is associated with culture and accountability. In case safety governance is excessively </w:t>
      </w:r>
      <w:proofErr w:type="spellStart"/>
      <w:r>
        <w:t>centralised</w:t>
      </w:r>
      <w:proofErr w:type="spellEnd"/>
      <w:r>
        <w:t xml:space="preserve">, local teams can wait till national solutions. When it is too </w:t>
      </w:r>
      <w:proofErr w:type="spellStart"/>
      <w:r>
        <w:t>decentralised</w:t>
      </w:r>
      <w:proofErr w:type="spellEnd"/>
      <w:r>
        <w:t>, local variation might remain unchallenged. The moral of the story here is that both good governance and local action are needed to bring about continuous improvement. The safer design expectations should be established by national bodies; the knowledge of high-risk medicines in the patients should be audited by local organisations. Nationally set minimum standards may be given, but ground-based leaders have to apply data, incidence reviews, and patient feedback to challenge the practicality of these standards.</w:t>
      </w:r>
    </w:p>
    <w:p w14:paraId="1C1E97A7" w14:textId="77777777" w:rsidR="00842D29" w:rsidRDefault="00842D29" w:rsidP="00842D29">
      <w:pPr>
        <w:spacing w:after="120" w:line="360" w:lineRule="auto"/>
        <w:jc w:val="both"/>
      </w:pPr>
      <w:r>
        <w:t>The case has broader implications to the other organisations in health and social care. To begin with, medication safety among the elderly should be perceived as a system problem, rather than a one-profession problem. Steinman and Hanlon (2023) highlight that multimorbidity, frailty and complexity of administration influence the use of medication in older adults. Second, communication design rather than dose calculation should also be associated with opioid prescribing. Older-adult attitudes to opioid use reveal that doubt and lack of understanding are prevalent despite the perception of an effective communicator (clinician) who thinks that instructions are effective (</w:t>
      </w:r>
      <w:proofErr w:type="spellStart"/>
      <w:r>
        <w:t>Liebschutz</w:t>
      </w:r>
      <w:proofErr w:type="spellEnd"/>
      <w:r>
        <w:t xml:space="preserve"> et al., 2024). Third, incident learning must look at work-as-done and not work-as-imagined. According to Mannion (2024), systems thinking enhances healthcare as it emphasizes interactions, feedback, and unintended consequences. The situation with Len does confirm that principle.</w:t>
      </w:r>
    </w:p>
    <w:p w14:paraId="14499DB9" w14:textId="6894080E" w:rsidR="00A033AE" w:rsidRDefault="00842D29" w:rsidP="00842D29">
      <w:pPr>
        <w:spacing w:after="120" w:line="360" w:lineRule="auto"/>
        <w:jc w:val="both"/>
      </w:pPr>
      <w:r>
        <w:t xml:space="preserve">Lastly, improvement must be evidence and data-driven but the appropriate data must be adopted. Incident data, near-miss reports, patient feedback, audit on counselling quality, and monitoring high-risk prescribing pathways should be combined by organisations. The leadership teams must not only enquire about the number of opioid prescriptions issued, but also about the number of patients or </w:t>
      </w:r>
      <w:r>
        <w:lastRenderedPageBreak/>
        <w:t xml:space="preserve">carers who could report the dose correctly, show their method of measuring, and recognize the signs of </w:t>
      </w:r>
      <w:proofErr w:type="spellStart"/>
      <w:r>
        <w:t>overdose.A</w:t>
      </w:r>
      <w:proofErr w:type="spellEnd"/>
      <w:r>
        <w:t xml:space="preserve"> more significant safety measure of this kind of harm.</w:t>
      </w:r>
    </w:p>
    <w:p w14:paraId="67346BA4" w14:textId="77777777" w:rsidR="00A033AE" w:rsidRDefault="00841EA6" w:rsidP="00BD7217">
      <w:pPr>
        <w:pStyle w:val="Heading1"/>
      </w:pPr>
      <w:bookmarkStart w:id="6" w:name="_Toc227427176"/>
      <w:r>
        <w:t>Recommendation</w:t>
      </w:r>
      <w:bookmarkEnd w:id="6"/>
    </w:p>
    <w:p w14:paraId="1BFA1180" w14:textId="7C8F6085" w:rsidR="00842D29" w:rsidRDefault="00842D29" w:rsidP="00842D29">
      <w:pPr>
        <w:spacing w:after="120" w:line="360" w:lineRule="auto"/>
        <w:jc w:val="both"/>
      </w:pPr>
      <w:r>
        <w:t xml:space="preserve">This case should be addressed by the selected organisation and other health and social care providers using a whole-system medication safety improvement </w:t>
      </w:r>
      <w:proofErr w:type="spellStart"/>
      <w:r>
        <w:t>programme</w:t>
      </w:r>
      <w:proofErr w:type="spellEnd"/>
      <w:r>
        <w:t xml:space="preserve"> that focuses on older adults prescribed high-risk oral opioids. The first is a shift to a mixed leadership approach in which the transformational style is the dominant style of leadership with the situational and transactional factors as the supportive ones. It requires transformational leadership to establish a culture where employees always view medication communication as a patient safety priority, and not an administrative consideration. Situational leadership is needed to enable additional support to be activated when a patient is aged, frail, cognitively burdened, breathless or a carer</w:t>
      </w:r>
      <w:r w:rsidR="000020E2">
        <w:t xml:space="preserve"> (</w:t>
      </w:r>
      <w:r w:rsidR="000020E2">
        <w:t>NHS England, 2026a</w:t>
      </w:r>
      <w:r w:rsidR="000020E2">
        <w:t>)</w:t>
      </w:r>
      <w:r>
        <w:t xml:space="preserve">. Transactional leadership is still required to </w:t>
      </w:r>
      <w:proofErr w:type="spellStart"/>
      <w:r>
        <w:t>standardise</w:t>
      </w:r>
      <w:proofErr w:type="spellEnd"/>
      <w:r>
        <w:t xml:space="preserve"> core activities like labelling checks, counselling cues and recording of insight.</w:t>
      </w:r>
    </w:p>
    <w:p w14:paraId="637E1771" w14:textId="25B92BCF" w:rsidR="00842D29" w:rsidRDefault="00842D29" w:rsidP="00842D29">
      <w:pPr>
        <w:spacing w:after="120" w:line="360" w:lineRule="auto"/>
        <w:jc w:val="both"/>
      </w:pPr>
      <w:r>
        <w:t xml:space="preserve">Second, the enhancement of governance must be ensured by implementing a well-defined opioid safety pathway across prescribing, dispensing and follow-up. Each new prescription of an oral solution of morphine to a geriatric patient must elicit: a documented explanation of the specific dose in </w:t>
      </w:r>
      <w:proofErr w:type="spellStart"/>
      <w:r>
        <w:t>millilitres</w:t>
      </w:r>
      <w:proofErr w:type="spellEnd"/>
      <w:r>
        <w:t xml:space="preserve"> and milligrams; a teach-back check with the patient, or carer; a provision and demonstration of an appropriate dose-measuring device; and follow-up contact within 24-72 hours where clinically suitable. This is to be monitored by local medicines safety governance, which is correlated to PSIRF learning and reported by the current patient safety systems (NHS England, 2022a).</w:t>
      </w:r>
    </w:p>
    <w:p w14:paraId="77562FE0" w14:textId="6E000A55" w:rsidR="00842D29" w:rsidRDefault="00842D29" w:rsidP="00842D29">
      <w:pPr>
        <w:spacing w:after="120" w:line="360" w:lineRule="auto"/>
        <w:jc w:val="both"/>
      </w:pPr>
      <w:r>
        <w:t>Third, integration of communication and systems must be redesigned based on human-factors principle. The dosage to be taken must be clearly written on the container of the medication or on supplementary material that is actually used at the administration point. Organisation must collaborate with pharmacies and commissioners to lessen the use of outer-box labels only</w:t>
      </w:r>
      <w:r w:rsidR="000020E2">
        <w:t xml:space="preserve"> (</w:t>
      </w:r>
      <w:r w:rsidR="000020E2">
        <w:t>NHS England, 2026c</w:t>
      </w:r>
      <w:r w:rsidR="000020E2">
        <w:t>)</w:t>
      </w:r>
      <w:r>
        <w:t xml:space="preserve">. This needs to be facilitated by digital systems that produce clear instructions that are easy to understand and indicate high-risk combinations, e.g., opioids and respiratory vulnerability or neuromuscular disease. Digital medicines initiatives must be </w:t>
      </w:r>
      <w:proofErr w:type="spellStart"/>
      <w:r>
        <w:t>utilised</w:t>
      </w:r>
      <w:proofErr w:type="spellEnd"/>
      <w:r>
        <w:t xml:space="preserve"> to </w:t>
      </w:r>
      <w:proofErr w:type="spellStart"/>
      <w:r>
        <w:t>standardise</w:t>
      </w:r>
      <w:proofErr w:type="spellEnd"/>
      <w:r>
        <w:t xml:space="preserve"> GP, pharmacy and hospital systems safer information flows where possible (NHS England, 2025a).</w:t>
      </w:r>
    </w:p>
    <w:p w14:paraId="40779ECF" w14:textId="77777777" w:rsidR="00842D29" w:rsidRDefault="00842D29" w:rsidP="00842D29">
      <w:pPr>
        <w:spacing w:after="120" w:line="360" w:lineRule="auto"/>
        <w:jc w:val="both"/>
      </w:pPr>
      <w:r>
        <w:t xml:space="preserve">Fourth, the organisation must enhance technical and allocative efficiency by focusing on the most risky patients and procedures and not on all prescribing. Frail older adults should be given priority </w:t>
      </w:r>
      <w:r>
        <w:lastRenderedPageBreak/>
        <w:t>based on their high-risk opioid pathways since they focus on preventable harm and downstream cost. OECD (2022) demonstrates that medication safety failure results in significant preventable cost; hence, an investment in specific counselling, monitoring and packaging redesign will be cost-effective and less risky, too. Local audit ought to concentrate on whether resources are being directed at the patients, who are most prone to misunderstanding of liquid opioid dosing.</w:t>
      </w:r>
    </w:p>
    <w:p w14:paraId="48143D8C" w14:textId="35D14072" w:rsidR="00842D29" w:rsidRDefault="00842D29" w:rsidP="00842D29">
      <w:pPr>
        <w:spacing w:after="120" w:line="360" w:lineRule="auto"/>
        <w:jc w:val="both"/>
      </w:pPr>
      <w:r>
        <w:t>Fifth, multidisciplinary review and co-production should be incorporated as a continuous learning. The frequency of opioid incidents and near misses involving GPs, pharmacists, nurses, medicines safety officers, patient representatives and carers should be periodically reviewed by each organisation</w:t>
      </w:r>
      <w:r w:rsidR="000020E2">
        <w:t xml:space="preserve"> (</w:t>
      </w:r>
      <w:r w:rsidR="000020E2">
        <w:t>OECD, 2023</w:t>
      </w:r>
      <w:r w:rsidR="000020E2">
        <w:t>)</w:t>
      </w:r>
      <w:r>
        <w:t>. Label redesign, written leaflets and staff training should be directly informed by feedbacks provided by families who were confused. This is in line with the focus of PSIRF on involvement and the OECD case on patient engagement as a part of safety responsibility (NHS England, 2022b).</w:t>
      </w:r>
    </w:p>
    <w:p w14:paraId="0A9F21A4" w14:textId="05ABC6AA" w:rsidR="00A033AE" w:rsidRDefault="00842D29" w:rsidP="00842D29">
      <w:pPr>
        <w:spacing w:after="120" w:line="360" w:lineRule="auto"/>
        <w:jc w:val="both"/>
      </w:pPr>
      <w:r>
        <w:t>Lastly, employee competency needs to be enhanced. Training can be done on the risk of opioids in older adults, communication about liquid medications, teach-back, human-factors design and awareness of warning signs of overdose. The findings of staff surveys and local safety culture data should be used by leaders to understand whether teams feel at ease challenging unsafe routines and put forward redesign. Continued enhancement will not rely on a single new protocol, but rather on management that transforms learning of safety into a routine within the entire care pathway.</w:t>
      </w:r>
    </w:p>
    <w:p w14:paraId="15DA5225" w14:textId="77777777" w:rsidR="00A033AE" w:rsidRDefault="00841EA6" w:rsidP="00BD7217">
      <w:pPr>
        <w:pStyle w:val="Heading1"/>
      </w:pPr>
      <w:bookmarkStart w:id="7" w:name="_Toc227427177"/>
      <w:r>
        <w:t>Conclusion</w:t>
      </w:r>
      <w:bookmarkEnd w:id="7"/>
    </w:p>
    <w:p w14:paraId="21195507" w14:textId="77777777" w:rsidR="00842D29" w:rsidRDefault="00842D29" w:rsidP="00842D29">
      <w:pPr>
        <w:spacing w:after="120" w:line="360" w:lineRule="auto"/>
        <w:jc w:val="both"/>
      </w:pPr>
      <w:r>
        <w:t>This case report has indicated that the death of Len after unintended overdose of morphine sulfate oral solution did not merely occur due to a single error on the part of an individual. It came about as a series of system vulnerabilities that included packaging, labelling, communication, patient education, integration and governance of pathways. The investigation conducted by HSSIB showed that the prescribed dose and drug were generally in accordance with the recommendations on an older person but the system did not guarantee that the prescribed dose was the dose intended and taken. It is the difference that is the key in the contemporary patient safety analysis.</w:t>
      </w:r>
    </w:p>
    <w:p w14:paraId="63DFBE3D" w14:textId="77777777" w:rsidR="00842D29" w:rsidRDefault="00842D29" w:rsidP="00842D29">
      <w:pPr>
        <w:spacing w:after="120" w:line="360" w:lineRule="auto"/>
        <w:jc w:val="both"/>
      </w:pPr>
      <w:r>
        <w:t xml:space="preserve">The report demonstrated the influence of local action on broader national arrangements and the problem as both </w:t>
      </w:r>
      <w:proofErr w:type="spellStart"/>
      <w:r>
        <w:t>centralised</w:t>
      </w:r>
      <w:proofErr w:type="spellEnd"/>
      <w:r>
        <w:t xml:space="preserve"> and </w:t>
      </w:r>
      <w:proofErr w:type="spellStart"/>
      <w:r>
        <w:t>decentralised</w:t>
      </w:r>
      <w:proofErr w:type="spellEnd"/>
      <w:r>
        <w:t xml:space="preserve"> aspects of the NHS, using systems thinking. There was </w:t>
      </w:r>
      <w:proofErr w:type="spellStart"/>
      <w:r>
        <w:t>standardised</w:t>
      </w:r>
      <w:proofErr w:type="spellEnd"/>
      <w:r>
        <w:t xml:space="preserve"> guidance and governance but these failed to safeguard the patient at the point of use. There was some local flexibility in clinical decision-making, but there was inadequate alignment of </w:t>
      </w:r>
      <w:r>
        <w:lastRenderedPageBreak/>
        <w:t>accountability to verify understanding. The best interpretation is then the one that harm was caused by a lack of integration of national controls with local adaptation around a vulnerable patient.</w:t>
      </w:r>
    </w:p>
    <w:p w14:paraId="19921C0E" w14:textId="77777777" w:rsidR="00842D29" w:rsidRDefault="00842D29" w:rsidP="00842D29">
      <w:pPr>
        <w:spacing w:after="120" w:line="360" w:lineRule="auto"/>
        <w:jc w:val="both"/>
      </w:pPr>
      <w:r>
        <w:t>The event was also explained using the leadership theory. The transactional processes were not sufficient as compliance on paper was not necessarily safe in practice. A more powerful culture of learning and patient-</w:t>
      </w:r>
      <w:proofErr w:type="spellStart"/>
      <w:r>
        <w:t>centred</w:t>
      </w:r>
      <w:proofErr w:type="spellEnd"/>
      <w:r>
        <w:t xml:space="preserve"> communication required a transformational leadership. There was a need to provide support to a weak elderly patient and organize work within the framework of the professional boundaries, which required situational and distributed leadership. The necessity of a more proactive, integrated and emotionally intelligent approach is supported by evidence of patient safety, workforce culture and older-adult medication safety literature.</w:t>
      </w:r>
    </w:p>
    <w:p w14:paraId="7FC8895E" w14:textId="78B877C6" w:rsidR="00A033AE" w:rsidRDefault="00842D29" w:rsidP="00842D29">
      <w:pPr>
        <w:spacing w:after="120" w:line="360" w:lineRule="auto"/>
        <w:jc w:val="both"/>
      </w:pPr>
      <w:r>
        <w:t>The primary implication of the study to health and social care organisations is that leadership, governance, and systems design need to work together to improve medication safety. To make opioid use safer in older people, it is necessary to use clearer labelling, more effective patient and carer education, more effective coordination between cross-setting, more specific monitoring, and authentic co-production. Preventable harm can be avoided more when organisations do not only count incidents but also redesign the conditions that give rise to them.</w:t>
      </w:r>
    </w:p>
    <w:p w14:paraId="24F150AE" w14:textId="77777777" w:rsidR="00C46FDB" w:rsidRDefault="00C46FDB">
      <w:pPr>
        <w:rPr>
          <w:rFonts w:eastAsiaTheme="majorEastAsia" w:cstheme="majorBidi"/>
          <w:b/>
          <w:bCs/>
          <w:color w:val="000000" w:themeColor="text1"/>
          <w:sz w:val="28"/>
          <w:szCs w:val="28"/>
        </w:rPr>
      </w:pPr>
      <w:r>
        <w:br w:type="page"/>
      </w:r>
    </w:p>
    <w:p w14:paraId="4B4ACA44" w14:textId="7383DE3A" w:rsidR="00A033AE" w:rsidRDefault="00841EA6" w:rsidP="00BD7217">
      <w:pPr>
        <w:pStyle w:val="Heading1"/>
      </w:pPr>
      <w:bookmarkStart w:id="8" w:name="_Toc227427178"/>
      <w:r>
        <w:lastRenderedPageBreak/>
        <w:t>References</w:t>
      </w:r>
      <w:bookmarkEnd w:id="8"/>
    </w:p>
    <w:p w14:paraId="6ECE4AD4" w14:textId="77777777" w:rsidR="00C46FDB" w:rsidRDefault="00C46FDB" w:rsidP="00C46FDB">
      <w:pPr>
        <w:spacing w:after="80" w:line="360" w:lineRule="auto"/>
        <w:ind w:left="432" w:hanging="432"/>
        <w:jc w:val="both"/>
      </w:pPr>
      <w:r>
        <w:t xml:space="preserve">Agyepong, I.A., Adam, T., </w:t>
      </w:r>
      <w:proofErr w:type="spellStart"/>
      <w:r>
        <w:t>Ayivor-Djanie</w:t>
      </w:r>
      <w:proofErr w:type="spellEnd"/>
      <w:r>
        <w:t xml:space="preserve">, R., van Belle, S., Barasa, E., Bigdeli, M., de Savigny, D., Gilson, L., Sheikh, K., </w:t>
      </w:r>
      <w:proofErr w:type="spellStart"/>
      <w:r>
        <w:t>Ssengooba</w:t>
      </w:r>
      <w:proofErr w:type="spellEnd"/>
      <w:r>
        <w:t>, F., Uzochukwu, B. and Peters, D.H. (2023) ‘Development of the Systems Thinking for Health Actions framework: a literature review and a case study’, BMJ Global Health, 8(3), e010191. Available at: https://gh.bmj.com/content/8/3/e010191 (Accessed: 18 April 2026).</w:t>
      </w:r>
    </w:p>
    <w:p w14:paraId="7B199B60" w14:textId="77777777" w:rsidR="00C46FDB" w:rsidRDefault="00C46FDB" w:rsidP="00C46FDB">
      <w:pPr>
        <w:spacing w:after="80" w:line="360" w:lineRule="auto"/>
        <w:ind w:left="432" w:hanging="432"/>
        <w:jc w:val="both"/>
      </w:pPr>
      <w:r>
        <w:t>Carstensen, K., Kjeldsen, A.M. and Nielsen, C.P. (2023) ‘Distributed leadership in health quality improvement collaboratives’, Health Care Management Review. Available at: https://pubmed.ncbi.nlm.nih.gov/38019463/ (Accessed: 18 April 2026).</w:t>
      </w:r>
    </w:p>
    <w:p w14:paraId="206AB587" w14:textId="77777777" w:rsidR="00C46FDB" w:rsidRDefault="00C46FDB" w:rsidP="00C46FDB">
      <w:pPr>
        <w:spacing w:after="80" w:line="360" w:lineRule="auto"/>
        <w:ind w:left="432" w:hanging="432"/>
        <w:jc w:val="both"/>
      </w:pPr>
      <w:r>
        <w:t>CQC (2025) Adult inpatient survey 2024. Available at: https://www.cqc.org.uk/publications/surveys/adult-inpatient-survey (Accessed: 18 April 2026).</w:t>
      </w:r>
    </w:p>
    <w:p w14:paraId="38C2B510" w14:textId="77777777" w:rsidR="00C46FDB" w:rsidRDefault="00C46FDB" w:rsidP="00C46FDB">
      <w:pPr>
        <w:spacing w:after="80" w:line="360" w:lineRule="auto"/>
        <w:ind w:left="432" w:hanging="432"/>
        <w:jc w:val="both"/>
      </w:pPr>
      <w:r>
        <w:t>Cummings, G.G., Tate, K., Lee, S., Wong, C.A. and Paananen, T. (2023) ‘Investigating the influence of selected leadership styles on patient safety and quality of care: a systematic review and meta-analysis’, BMJ Leader. Available at: https://pubmed.ncbi.nlm.nih.gov/37821224/ (Accessed: 18 April 2026).</w:t>
      </w:r>
    </w:p>
    <w:p w14:paraId="20A9096C" w14:textId="77777777" w:rsidR="00C46FDB" w:rsidRDefault="00C46FDB" w:rsidP="00C46FDB">
      <w:pPr>
        <w:spacing w:after="80" w:line="360" w:lineRule="auto"/>
        <w:ind w:left="432" w:hanging="432"/>
        <w:jc w:val="both"/>
      </w:pPr>
      <w:r>
        <w:t>HSSIB (2022) Unintentional overdose of morphine sulfate oral solution. Available at: https://www.hssib.org.uk/patient-safety-investigations/unintentional-overdose-of-morphine-sulfate-oral-solution/ (Accessed: 18 April 2026).</w:t>
      </w:r>
    </w:p>
    <w:p w14:paraId="0FDB2936" w14:textId="77777777" w:rsidR="00C46FDB" w:rsidRDefault="00C46FDB" w:rsidP="00C46FDB">
      <w:pPr>
        <w:spacing w:after="80" w:line="360" w:lineRule="auto"/>
        <w:ind w:left="432" w:hanging="432"/>
        <w:jc w:val="both"/>
      </w:pPr>
      <w:proofErr w:type="spellStart"/>
      <w:r>
        <w:t>Labrague</w:t>
      </w:r>
      <w:proofErr w:type="spellEnd"/>
      <w:r>
        <w:t>, L.J. (2023) ‘Relationship between transformational leadership, adverse patient events, and quality of care among emergency room nurses: the mediating role of work satisfaction’, Accident and Emergency Nursing. Available at: https://pubmed.ncbi.nlm.nih.gov/37598031/ (Accessed: 18 April 2026).</w:t>
      </w:r>
    </w:p>
    <w:p w14:paraId="65C8C033" w14:textId="77777777" w:rsidR="00C46FDB" w:rsidRDefault="00C46FDB" w:rsidP="00C46FDB">
      <w:pPr>
        <w:spacing w:after="80" w:line="360" w:lineRule="auto"/>
        <w:ind w:left="432" w:hanging="432"/>
        <w:jc w:val="both"/>
      </w:pPr>
      <w:proofErr w:type="spellStart"/>
      <w:r>
        <w:t>Liebschutz</w:t>
      </w:r>
      <w:proofErr w:type="spellEnd"/>
      <w:r>
        <w:t>, J., Ouchi, K., Orav, E.J., et al. (2024) ‘Older adult and primary care practitioner perspectives on using, prescribing and deprescribing opioids’, JAMA Network Open. Available at: https://pubmed.ncbi.nlm.nih.gov/38446478/ (Accessed: 18 April 2026).</w:t>
      </w:r>
    </w:p>
    <w:p w14:paraId="61825E95" w14:textId="77777777" w:rsidR="00C46FDB" w:rsidRDefault="00C46FDB" w:rsidP="00C46FDB">
      <w:pPr>
        <w:spacing w:after="80" w:line="360" w:lineRule="auto"/>
        <w:ind w:left="432" w:hanging="432"/>
        <w:jc w:val="both"/>
      </w:pPr>
      <w:proofErr w:type="spellStart"/>
      <w:r>
        <w:t>Mafimisebi</w:t>
      </w:r>
      <w:proofErr w:type="spellEnd"/>
      <w:r>
        <w:t xml:space="preserve">, O., </w:t>
      </w:r>
      <w:proofErr w:type="spellStart"/>
      <w:r>
        <w:t>Chandraratne</w:t>
      </w:r>
      <w:proofErr w:type="spellEnd"/>
      <w:r>
        <w:t>, N. and Wijesuriya, N. (2025) ‘Navigating turbulent waters: resilience and recovery of a tertiary healthcare setting through situational leadership’, Leadership in Health Services. Available at: https://pubmed.ncbi.nlm.nih.gov/40721298/ (Accessed: 18 April 2026).</w:t>
      </w:r>
    </w:p>
    <w:p w14:paraId="61737635" w14:textId="77777777" w:rsidR="00C46FDB" w:rsidRDefault="00C46FDB" w:rsidP="00C46FDB">
      <w:pPr>
        <w:spacing w:after="80" w:line="360" w:lineRule="auto"/>
        <w:ind w:left="432" w:hanging="432"/>
        <w:jc w:val="both"/>
      </w:pPr>
      <w:r>
        <w:t>Mannion, R. (2024) ‘Systems thinking to improve healthcare’, The BMJ, 384, q105. Available at: https://www.bmj.com/content/384/bmj.q105 (Accessed: 18 April 2026).</w:t>
      </w:r>
    </w:p>
    <w:p w14:paraId="258AC7AA" w14:textId="77777777" w:rsidR="00C46FDB" w:rsidRDefault="00C46FDB" w:rsidP="00C46FDB">
      <w:pPr>
        <w:spacing w:after="80" w:line="360" w:lineRule="auto"/>
        <w:ind w:left="432" w:hanging="432"/>
        <w:jc w:val="both"/>
      </w:pPr>
      <w:r>
        <w:lastRenderedPageBreak/>
        <w:t>McElyea, J., Sam, B., Hollingsworth, H., Chamberlain, C. and Brown, L.S. (2022) ‘The effect of patient opioid education on opioid use, storage, and disposal’, Pain Management Nursing. Available at: https://pubmed.ncbi.nlm.nih.gov/35311594/ (Accessed: 18 April 2026).</w:t>
      </w:r>
    </w:p>
    <w:p w14:paraId="581A9AA0" w14:textId="77777777" w:rsidR="00C46FDB" w:rsidRDefault="00C46FDB" w:rsidP="00C46FDB">
      <w:pPr>
        <w:spacing w:after="80" w:line="360" w:lineRule="auto"/>
        <w:ind w:left="432" w:hanging="432"/>
        <w:jc w:val="both"/>
      </w:pPr>
      <w:r>
        <w:t>National Guardian’s Office (2024) National Guardian’s Office update and priorities for 2024/25. Available at: https://www.england.nhs.uk/long-read/national-guardians-office-update-and-priorities-for-2024-25-2/ (Accessed: 18 April 2026).</w:t>
      </w:r>
    </w:p>
    <w:p w14:paraId="0FAACC1D" w14:textId="77777777" w:rsidR="00C46FDB" w:rsidRDefault="00C46FDB" w:rsidP="00C46FDB">
      <w:pPr>
        <w:spacing w:after="80" w:line="360" w:lineRule="auto"/>
        <w:ind w:left="432" w:hanging="432"/>
        <w:jc w:val="both"/>
      </w:pPr>
      <w:r>
        <w:t>NHS England (2022a) Patient Safety Incident Response Framework. Available at: https://www.england.nhs.uk/patient-safety/patient-safety-insight/incident-response-framework/ (Accessed: 18 April 2026).</w:t>
      </w:r>
    </w:p>
    <w:p w14:paraId="26651BCD" w14:textId="77777777" w:rsidR="00C46FDB" w:rsidRDefault="00C46FDB" w:rsidP="00C46FDB">
      <w:pPr>
        <w:spacing w:after="80" w:line="360" w:lineRule="auto"/>
        <w:ind w:left="432" w:hanging="432"/>
        <w:jc w:val="both"/>
      </w:pPr>
      <w:r>
        <w:t>NHS England (2022b) Engaging and involving patients, families and staff following a patient safety incident. Available at: https://www.england.nhs.uk/publication/patient-safety-incident-response-framework-and-supporting-guidance/ (Accessed: 18 April 2026).</w:t>
      </w:r>
    </w:p>
    <w:p w14:paraId="0FE841D8" w14:textId="77777777" w:rsidR="00C46FDB" w:rsidRDefault="00C46FDB" w:rsidP="00C46FDB">
      <w:pPr>
        <w:spacing w:after="80" w:line="360" w:lineRule="auto"/>
        <w:ind w:left="432" w:hanging="432"/>
        <w:jc w:val="both"/>
      </w:pPr>
      <w:r>
        <w:t xml:space="preserve">NHS England (2023a) Regional arrangements for medicines </w:t>
      </w:r>
      <w:proofErr w:type="spellStart"/>
      <w:r>
        <w:t>optimisation</w:t>
      </w:r>
      <w:proofErr w:type="spellEnd"/>
      <w:r>
        <w:t xml:space="preserve"> in the NHS in England. Available at: https://www.england.nhs.uk/publication/regional-medicines-optimisation-committee-operating-guidance-and-recruitment-information/ (Accessed: 18 April 2026).</w:t>
      </w:r>
    </w:p>
    <w:p w14:paraId="5C32C20D" w14:textId="77777777" w:rsidR="00C46FDB" w:rsidRDefault="00C46FDB" w:rsidP="00C46FDB">
      <w:pPr>
        <w:spacing w:after="80" w:line="360" w:lineRule="auto"/>
        <w:ind w:left="432" w:hanging="432"/>
        <w:jc w:val="both"/>
      </w:pPr>
      <w:r>
        <w:t xml:space="preserve">NHS England (2023b) </w:t>
      </w:r>
      <w:proofErr w:type="spellStart"/>
      <w:r>
        <w:t>Optimising</w:t>
      </w:r>
      <w:proofErr w:type="spellEnd"/>
      <w:r>
        <w:t xml:space="preserve"> </w:t>
      </w:r>
      <w:proofErr w:type="spellStart"/>
      <w:r>
        <w:t>personalised</w:t>
      </w:r>
      <w:proofErr w:type="spellEnd"/>
      <w:r>
        <w:t xml:space="preserve"> care for adults prescribed medicines associated with dependence or withdrawal symptoms. Available at: https://www.england.nhs.uk/publication/optimising-personalised-care-for-adults-prescribed-medicines-associated-with-dependence-or-withdrawal-symptoms/ (Accessed: 18 April 2026).</w:t>
      </w:r>
    </w:p>
    <w:p w14:paraId="224B4A9C" w14:textId="77777777" w:rsidR="00C46FDB" w:rsidRDefault="00C46FDB" w:rsidP="00C46FDB">
      <w:pPr>
        <w:spacing w:after="80" w:line="360" w:lineRule="auto"/>
        <w:ind w:left="432" w:hanging="432"/>
        <w:jc w:val="both"/>
      </w:pPr>
      <w:r>
        <w:t>NHS England (2024a) Patient safety incident response standards. Available at: https://www.england.nhs.uk/long-read/patient-safety-incident-response-standards/ (Accessed: 18 April 2026).</w:t>
      </w:r>
    </w:p>
    <w:p w14:paraId="3D7A0D00" w14:textId="77777777" w:rsidR="00C46FDB" w:rsidRDefault="00C46FDB" w:rsidP="00C46FDB">
      <w:pPr>
        <w:spacing w:after="80" w:line="360" w:lineRule="auto"/>
        <w:ind w:left="432" w:hanging="432"/>
        <w:jc w:val="both"/>
      </w:pPr>
      <w:r>
        <w:t>NHS England (2025a) Medication safety management. Available at: https://www.england.nhs.uk/long-read/medication-safety-management/ (Accessed: 18 April 2026).</w:t>
      </w:r>
    </w:p>
    <w:p w14:paraId="0E519A09" w14:textId="77777777" w:rsidR="00C46FDB" w:rsidRDefault="00C46FDB" w:rsidP="00C46FDB">
      <w:pPr>
        <w:spacing w:after="80" w:line="360" w:lineRule="auto"/>
        <w:ind w:left="432" w:hanging="432"/>
        <w:jc w:val="both"/>
      </w:pPr>
      <w:r>
        <w:t>NHS England (2025b) Adult inpatient experience survey 2024: national qualitative report. Available at: https://www.england.nhs.uk/long-read/adult-inpatient-experience-survey-2024-national-qualitative-report/ (Accessed: 18 April 2026).</w:t>
      </w:r>
    </w:p>
    <w:p w14:paraId="6B8F075C" w14:textId="77777777" w:rsidR="00C46FDB" w:rsidRDefault="00C46FDB" w:rsidP="00C46FDB">
      <w:pPr>
        <w:spacing w:after="80" w:line="360" w:lineRule="auto"/>
        <w:ind w:left="432" w:hanging="432"/>
        <w:jc w:val="both"/>
      </w:pPr>
      <w:r>
        <w:t xml:space="preserve">NHS England (2026a) The National Patient Safety Improvement </w:t>
      </w:r>
      <w:proofErr w:type="spellStart"/>
      <w:r>
        <w:t>Programmes</w:t>
      </w:r>
      <w:proofErr w:type="spellEnd"/>
      <w:r>
        <w:t>. Available at: https://www.england.nhs.uk/patient-safety/patient-safety-improvement-programmes/ (Accessed: 18 April 2026).</w:t>
      </w:r>
    </w:p>
    <w:p w14:paraId="691A482F" w14:textId="77777777" w:rsidR="00C46FDB" w:rsidRDefault="00C46FDB" w:rsidP="00C46FDB">
      <w:pPr>
        <w:spacing w:after="80" w:line="360" w:lineRule="auto"/>
        <w:ind w:left="432" w:hanging="432"/>
        <w:jc w:val="both"/>
      </w:pPr>
      <w:r>
        <w:lastRenderedPageBreak/>
        <w:t>NHS England (2026b) Medication safety. Available at: https://www.england.nhs.uk/patient-safety/patient-safety-insight/patient-safety-alerts/enduring-standards/standards-that-remain-valid/medication-safety/ (Accessed: 18 April 2026).</w:t>
      </w:r>
    </w:p>
    <w:p w14:paraId="30502557" w14:textId="77777777" w:rsidR="00C46FDB" w:rsidRDefault="00C46FDB" w:rsidP="00C46FDB">
      <w:pPr>
        <w:spacing w:after="80" w:line="360" w:lineRule="auto"/>
        <w:ind w:left="432" w:hanging="432"/>
        <w:jc w:val="both"/>
      </w:pPr>
      <w:r>
        <w:t>NHS England (2026c) Digital Medicines Programme. Available at: https://www.england.nhs.uk/digitaltechnology/digital-medicines-programme/ (Accessed: 18 April 2026).</w:t>
      </w:r>
    </w:p>
    <w:p w14:paraId="0DB55486" w14:textId="77777777" w:rsidR="00C46FDB" w:rsidRDefault="00C46FDB" w:rsidP="00C46FDB">
      <w:pPr>
        <w:spacing w:after="80" w:line="360" w:lineRule="auto"/>
        <w:ind w:left="432" w:hanging="432"/>
        <w:jc w:val="both"/>
      </w:pPr>
      <w:r>
        <w:t>NHS Staff Survey (2025) National results briefing 2024. Available at: https://www.nhsstaffsurveys.com/static/c1a573e95b1a49428676ef4b24f5efe7/National-Results-Briefing-2024.pdf (Accessed: 18 April 2026).</w:t>
      </w:r>
    </w:p>
    <w:p w14:paraId="00784AF6" w14:textId="77777777" w:rsidR="00C46FDB" w:rsidRDefault="00C46FDB" w:rsidP="00C46FDB">
      <w:pPr>
        <w:spacing w:after="80" w:line="360" w:lineRule="auto"/>
        <w:ind w:left="432" w:hanging="432"/>
        <w:jc w:val="both"/>
      </w:pPr>
      <w:r>
        <w:t>OECD (2022) The economics of medication safety. OECD Health Working Papers. Available at: https://one.oecd.org/document/delsa/hea/wd/hwp%282022%2915/en/pdf (Accessed: 18 April 2026).</w:t>
      </w:r>
    </w:p>
    <w:p w14:paraId="21E06E46" w14:textId="77777777" w:rsidR="00C46FDB" w:rsidRDefault="00C46FDB" w:rsidP="00C46FDB">
      <w:pPr>
        <w:spacing w:after="80" w:line="360" w:lineRule="auto"/>
        <w:ind w:left="432" w:hanging="432"/>
        <w:jc w:val="both"/>
      </w:pPr>
      <w:r>
        <w:t>OECD (2023) Enhancing monitoring of patient safety for keeping track of progress and building accountability. OECD Health Working Papers. Available at: https://one.oecd.org/document/DELSA/HEA/WD/HWP%282023%2911/en/pdf (Accessed: 18 April 2026).</w:t>
      </w:r>
    </w:p>
    <w:p w14:paraId="39F34208" w14:textId="77777777" w:rsidR="00C46FDB" w:rsidRDefault="00C46FDB" w:rsidP="00C46FDB">
      <w:pPr>
        <w:spacing w:after="80" w:line="360" w:lineRule="auto"/>
        <w:ind w:left="432" w:hanging="432"/>
        <w:jc w:val="both"/>
      </w:pPr>
      <w:r>
        <w:t>OECD (2024a) Patient safety. Available at: https://www.oecd.org/en/topics/patient-safety.html (Accessed: 18 April 2026).</w:t>
      </w:r>
    </w:p>
    <w:p w14:paraId="443900A4" w14:textId="77777777" w:rsidR="00C46FDB" w:rsidRDefault="00C46FDB" w:rsidP="00C46FDB">
      <w:pPr>
        <w:spacing w:after="80" w:line="360" w:lineRule="auto"/>
        <w:ind w:left="432" w:hanging="432"/>
        <w:jc w:val="both"/>
      </w:pPr>
      <w:r>
        <w:t>OECD (2024b) Health at a Glance: Europe 2024. Available at: https://www.oecd.org/en/publications/health-at-a-glance-europe-2024_b3704e14-en.html (Accessed: 18 April 2026).</w:t>
      </w:r>
    </w:p>
    <w:p w14:paraId="59DA598F" w14:textId="77777777" w:rsidR="00C46FDB" w:rsidRDefault="00C46FDB" w:rsidP="00C46FDB">
      <w:pPr>
        <w:spacing w:after="80" w:line="360" w:lineRule="auto"/>
        <w:ind w:left="432" w:hanging="432"/>
        <w:jc w:val="both"/>
      </w:pPr>
      <w:r>
        <w:t>SPS (2022) Understanding medication safety policy and frameworks. Specialist Pharmacy Service. Available at: https://www.sps.nhs.uk/articles/understanding-medication-safety-policy-and-frameworks/ (Accessed: 18 April 2026).</w:t>
      </w:r>
    </w:p>
    <w:p w14:paraId="28AAB5D1" w14:textId="77777777" w:rsidR="00C46FDB" w:rsidRDefault="00C46FDB" w:rsidP="00C46FDB">
      <w:pPr>
        <w:spacing w:after="80" w:line="360" w:lineRule="auto"/>
        <w:ind w:left="432" w:hanging="432"/>
        <w:jc w:val="both"/>
      </w:pPr>
      <w:r>
        <w:t>Steinman, M.A. and Hanlon, J.T. (2023) ‘Medication use quality and safety in older adults: 2022 update’, Journal of the American Geriatrics Society. Available at: https://pubmed.ncbi.nlm.nih.gov/38038490/ (Accessed: 18 April 2026).</w:t>
      </w:r>
    </w:p>
    <w:p w14:paraId="380DD7DC" w14:textId="77777777" w:rsidR="00C46FDB" w:rsidRDefault="00C46FDB" w:rsidP="00C46FDB">
      <w:pPr>
        <w:spacing w:after="80" w:line="360" w:lineRule="auto"/>
        <w:ind w:left="432" w:hanging="432"/>
        <w:jc w:val="both"/>
      </w:pPr>
      <w:proofErr w:type="spellStart"/>
      <w:r>
        <w:t>Tampi</w:t>
      </w:r>
      <w:proofErr w:type="spellEnd"/>
      <w:r>
        <w:t xml:space="preserve">, R.R., </w:t>
      </w:r>
      <w:proofErr w:type="spellStart"/>
      <w:r>
        <w:t>Tampi</w:t>
      </w:r>
      <w:proofErr w:type="spellEnd"/>
      <w:r>
        <w:t>, D.J., Young, J.J. and Balachandran, S. (2022) ‘Opioids in the elderly patients with cognitive impairment: a narrative review’, Drugs &amp; Aging. Available at: https://pubmed.ncbi.nlm.nih.gov/35380373/ (Accessed: 18 April 2026).</w:t>
      </w:r>
    </w:p>
    <w:p w14:paraId="061EF0F6" w14:textId="77777777" w:rsidR="00C46FDB" w:rsidRDefault="00C46FDB" w:rsidP="00C46FDB">
      <w:pPr>
        <w:spacing w:after="80" w:line="360" w:lineRule="auto"/>
        <w:ind w:left="432" w:hanging="432"/>
        <w:jc w:val="both"/>
      </w:pPr>
      <w:r>
        <w:lastRenderedPageBreak/>
        <w:t>WHO (2024) Global Patient Safety Report 2024. Available at: https://www.who.int/publications/i/item/9789240095458 (Accessed: 18 April 2026).</w:t>
      </w:r>
    </w:p>
    <w:sectPr w:rsidR="00C46FDB" w:rsidSect="00034616">
      <w:footerReference w:type="default" r:id="rId9"/>
      <w:pgSz w:w="12240" w:h="15840"/>
      <w:pgMar w:top="1152" w:right="1296" w:bottom="1008"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25223" w14:textId="77777777" w:rsidR="00A51E1E" w:rsidRDefault="00A51E1E">
      <w:pPr>
        <w:spacing w:after="0" w:line="240" w:lineRule="auto"/>
      </w:pPr>
      <w:r>
        <w:separator/>
      </w:r>
    </w:p>
  </w:endnote>
  <w:endnote w:type="continuationSeparator" w:id="0">
    <w:p w14:paraId="67F4DC1F" w14:textId="77777777" w:rsidR="00A51E1E" w:rsidRDefault="00A51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angal">
    <w:panose1 w:val="02040503050203030202"/>
    <w:charset w:val="00"/>
    <w:family w:val="roman"/>
    <w:pitch w:val="variable"/>
    <w:sig w:usb0="00008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34920" w14:textId="77777777" w:rsidR="00A033AE" w:rsidRDefault="00841EA6">
    <w:pPr>
      <w:pStyle w:val="Footer"/>
      <w:jc w:val="center"/>
    </w:pPr>
    <w:r>
      <w:fldChar w:fldCharType="begin"/>
    </w:r>
    <w:r>
      <w:instrText xml:space="preserve"> PAGE </w:instrText>
    </w:r>
    <w:r>
      <w:fldChar w:fldCharType="separate"/>
    </w:r>
    <w:r w:rsidR="00107DB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1BBD9" w14:textId="77777777" w:rsidR="00A51E1E" w:rsidRDefault="00A51E1E">
      <w:pPr>
        <w:spacing w:after="0" w:line="240" w:lineRule="auto"/>
      </w:pPr>
      <w:r>
        <w:separator/>
      </w:r>
    </w:p>
  </w:footnote>
  <w:footnote w:type="continuationSeparator" w:id="0">
    <w:p w14:paraId="66C6EE62" w14:textId="77777777" w:rsidR="00A51E1E" w:rsidRDefault="00A51E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2174150">
    <w:abstractNumId w:val="8"/>
  </w:num>
  <w:num w:numId="2" w16cid:durableId="2128700556">
    <w:abstractNumId w:val="6"/>
  </w:num>
  <w:num w:numId="3" w16cid:durableId="359551872">
    <w:abstractNumId w:val="5"/>
  </w:num>
  <w:num w:numId="4" w16cid:durableId="595403094">
    <w:abstractNumId w:val="4"/>
  </w:num>
  <w:num w:numId="5" w16cid:durableId="643974405">
    <w:abstractNumId w:val="7"/>
  </w:num>
  <w:num w:numId="6" w16cid:durableId="443967328">
    <w:abstractNumId w:val="3"/>
  </w:num>
  <w:num w:numId="7" w16cid:durableId="1275021568">
    <w:abstractNumId w:val="2"/>
  </w:num>
  <w:num w:numId="8" w16cid:durableId="1549872319">
    <w:abstractNumId w:val="1"/>
  </w:num>
  <w:num w:numId="9" w16cid:durableId="1930577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20E2"/>
    <w:rsid w:val="00034616"/>
    <w:rsid w:val="00046D1B"/>
    <w:rsid w:val="0006063C"/>
    <w:rsid w:val="00107DBE"/>
    <w:rsid w:val="00111829"/>
    <w:rsid w:val="0015074B"/>
    <w:rsid w:val="0029639D"/>
    <w:rsid w:val="00326F90"/>
    <w:rsid w:val="003A5948"/>
    <w:rsid w:val="004C48F0"/>
    <w:rsid w:val="0062267F"/>
    <w:rsid w:val="00703094"/>
    <w:rsid w:val="00841EA6"/>
    <w:rsid w:val="00842D29"/>
    <w:rsid w:val="0093104B"/>
    <w:rsid w:val="00A033AE"/>
    <w:rsid w:val="00A51E1E"/>
    <w:rsid w:val="00AA1D8D"/>
    <w:rsid w:val="00AA3187"/>
    <w:rsid w:val="00B47730"/>
    <w:rsid w:val="00BD7217"/>
    <w:rsid w:val="00C46FDB"/>
    <w:rsid w:val="00CB0664"/>
    <w:rsid w:val="00D11401"/>
    <w:rsid w:val="00DB3DCD"/>
    <w:rsid w:val="00F01A2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84CAD7"/>
  <w14:defaultImageDpi w14:val="300"/>
  <w15:docId w15:val="{0F980647-DE26-42D8-9BD4-25E10F1D8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BD7217"/>
    <w:pPr>
      <w:keepNext/>
      <w:keepLines/>
      <w:spacing w:before="480" w:after="0" w:line="360" w:lineRule="auto"/>
      <w:jc w:val="both"/>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BD7217"/>
    <w:pPr>
      <w:keepNext/>
      <w:keepLines/>
      <w:spacing w:before="200" w:after="0" w:line="360" w:lineRule="auto"/>
      <w:jc w:val="both"/>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BD7217"/>
    <w:pPr>
      <w:keepNext/>
      <w:keepLines/>
      <w:spacing w:before="200" w:after="0" w:line="360" w:lineRule="auto"/>
      <w:jc w:val="both"/>
      <w:outlineLvl w:val="2"/>
    </w:pPr>
    <w:rPr>
      <w:rFonts w:eastAsiaTheme="majorEastAsia" w:cstheme="majorBidi"/>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D7217"/>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D7217"/>
    <w:rPr>
      <w:rFonts w:ascii="Times New Roman" w:eastAsiaTheme="majorEastAsia" w:hAnsi="Times New Roman" w:cstheme="majorBidi"/>
      <w:bCs/>
      <w:color w:val="000000" w:themeColor="text1"/>
      <w:sz w:val="24"/>
      <w:szCs w:val="26"/>
      <w:u w:val="single"/>
    </w:rPr>
  </w:style>
  <w:style w:type="character" w:customStyle="1" w:styleId="Heading3Char">
    <w:name w:val="Heading 3 Char"/>
    <w:basedOn w:val="DefaultParagraphFont"/>
    <w:link w:val="Heading3"/>
    <w:uiPriority w:val="9"/>
    <w:rsid w:val="00BD7217"/>
    <w:rPr>
      <w:rFonts w:ascii="Times New Roman" w:eastAsiaTheme="majorEastAsia" w:hAnsi="Times New Roman" w:cstheme="majorBidi"/>
      <w:bCs/>
      <w:color w:val="4F81BD" w:themeColor="accen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AA3187"/>
    <w:pPr>
      <w:spacing w:line="360" w:lineRule="auto"/>
      <w:jc w:val="both"/>
    </w:pPr>
    <w:rPr>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cursor-pointer">
    <w:name w:val="cursor-pointer"/>
    <w:basedOn w:val="DefaultParagraphFont"/>
    <w:rsid w:val="00842D29"/>
  </w:style>
  <w:style w:type="paragraph" w:styleId="TOC1">
    <w:name w:val="toc 1"/>
    <w:basedOn w:val="Normal"/>
    <w:next w:val="Normal"/>
    <w:autoRedefine/>
    <w:uiPriority w:val="39"/>
    <w:unhideWhenUsed/>
    <w:rsid w:val="00107DBE"/>
    <w:pPr>
      <w:spacing w:after="100"/>
    </w:pPr>
  </w:style>
  <w:style w:type="paragraph" w:styleId="TOC2">
    <w:name w:val="toc 2"/>
    <w:basedOn w:val="Normal"/>
    <w:next w:val="Normal"/>
    <w:autoRedefine/>
    <w:uiPriority w:val="39"/>
    <w:unhideWhenUsed/>
    <w:rsid w:val="00107DBE"/>
    <w:pPr>
      <w:spacing w:after="100"/>
      <w:ind w:left="240"/>
    </w:pPr>
  </w:style>
  <w:style w:type="character" w:styleId="Hyperlink">
    <w:name w:val="Hyperlink"/>
    <w:basedOn w:val="DefaultParagraphFont"/>
    <w:uiPriority w:val="99"/>
    <w:unhideWhenUsed/>
    <w:rsid w:val="00107D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B80FE7-9008-4281-9B91-81489ED6E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6719</Words>
  <Characters>38301</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44931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generated by HP-docx</dc:description>
  <cp:lastModifiedBy>HP USER</cp:lastModifiedBy>
  <cp:revision>4</cp:revision>
  <dcterms:created xsi:type="dcterms:W3CDTF">2026-04-18T14:19:00Z</dcterms:created>
  <dcterms:modified xsi:type="dcterms:W3CDTF">2026-04-18T14:23:00Z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df97d166-e486-41bc-a273-96a10eed2594</vt:lpwstr>
  </property>
</Properties>
</file>