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ABBDE" w14:textId="04673DFF" w:rsidR="002E2ECF" w:rsidRDefault="000F24B1">
      <w:r>
        <w:t xml:space="preserve">LAVINIA BONFATTI SABBIONI </w:t>
      </w:r>
    </w:p>
    <w:p w14:paraId="07C21224" w14:textId="23F92CDF" w:rsidR="000F24B1" w:rsidRDefault="000F24B1">
      <w:pPr>
        <w:rPr>
          <w:b/>
          <w:bCs/>
        </w:rPr>
      </w:pPr>
      <w:r w:rsidRPr="000F24B1">
        <w:rPr>
          <w:b/>
          <w:bCs/>
        </w:rPr>
        <w:t xml:space="preserve">XENOPHON, </w:t>
      </w:r>
      <w:r w:rsidRPr="000F24B1">
        <w:rPr>
          <w:b/>
          <w:bCs/>
          <w:i/>
          <w:iCs/>
        </w:rPr>
        <w:t>HELLENICA</w:t>
      </w:r>
      <w:r w:rsidRPr="000F24B1">
        <w:rPr>
          <w:b/>
          <w:bCs/>
        </w:rPr>
        <w:t>, 1.1.23-26</w:t>
      </w:r>
    </w:p>
    <w:p w14:paraId="4C832B43" w14:textId="1BC7E9B9" w:rsidR="00D924C7" w:rsidRDefault="00D924C7">
      <w:pPr>
        <w:rPr>
          <w:lang w:val="en-US"/>
        </w:rPr>
      </w:pPr>
      <w:r>
        <w:rPr>
          <w:lang w:val="en-US"/>
        </w:rPr>
        <w:t xml:space="preserve">Xenophon’s </w:t>
      </w:r>
      <w:r w:rsidRPr="008A6E68">
        <w:rPr>
          <w:i/>
          <w:iCs/>
          <w:lang w:val="en-US"/>
        </w:rPr>
        <w:t>Hellenica</w:t>
      </w:r>
      <w:r>
        <w:rPr>
          <w:lang w:val="en-US"/>
        </w:rPr>
        <w:t xml:space="preserve"> </w:t>
      </w:r>
      <w:r w:rsidR="008A6E68">
        <w:rPr>
          <w:lang w:val="en-US"/>
        </w:rPr>
        <w:t>is a history of the events that took place between 411 BC and 362 BC, from when the Peloponnesian War was still raging, to the famous battle of Mantinea. The text that we have picks up that of Thucydides</w:t>
      </w:r>
      <w:r w:rsidR="00CC5762">
        <w:rPr>
          <w:lang w:val="en-US"/>
        </w:rPr>
        <w:t xml:space="preserve"> where he left it unfinished</w:t>
      </w:r>
      <w:r w:rsidR="008A6E68">
        <w:rPr>
          <w:lang w:val="en-US"/>
        </w:rPr>
        <w:t xml:space="preserve">, though not exactly at the same point. </w:t>
      </w:r>
      <w:r w:rsidR="00CC5762">
        <w:rPr>
          <w:lang w:val="en-US"/>
        </w:rPr>
        <w:t>Because of stylistic and formal reasons</w:t>
      </w:r>
      <w:r w:rsidR="00C11399">
        <w:rPr>
          <w:rStyle w:val="Rimandonotaapidipagina"/>
          <w:lang w:val="en-US"/>
        </w:rPr>
        <w:footnoteReference w:id="1"/>
      </w:r>
      <w:r w:rsidR="00CC5762">
        <w:rPr>
          <w:lang w:val="en-US"/>
        </w:rPr>
        <w:t xml:space="preserve">, most scholars agree that the work was written in </w:t>
      </w:r>
      <w:r w:rsidR="00206A8C">
        <w:rPr>
          <w:lang w:val="en-US"/>
        </w:rPr>
        <w:t xml:space="preserve">(at least two) </w:t>
      </w:r>
      <w:r w:rsidR="00CC5762">
        <w:rPr>
          <w:lang w:val="en-US"/>
        </w:rPr>
        <w:t xml:space="preserve">different periods: one </w:t>
      </w:r>
      <w:r w:rsidR="00C11399">
        <w:rPr>
          <w:lang w:val="en-US"/>
        </w:rPr>
        <w:t>(</w:t>
      </w:r>
      <w:r w:rsidR="00206A8C" w:rsidRPr="00206A8C">
        <w:rPr>
          <w:rFonts w:cstheme="minorHAnsi"/>
          <w:lang w:val="en-US"/>
        </w:rPr>
        <w:t>1.1.1-2.3.10</w:t>
      </w:r>
      <w:r w:rsidR="00C11399">
        <w:rPr>
          <w:lang w:val="en-US"/>
        </w:rPr>
        <w:t>)</w:t>
      </w:r>
      <w:r w:rsidR="00206A8C">
        <w:rPr>
          <w:lang w:val="en-US"/>
        </w:rPr>
        <w:t xml:space="preserve"> not long after the end of the Peloponnesian War, and the other (</w:t>
      </w:r>
      <w:r w:rsidR="00206A8C" w:rsidRPr="00206A8C">
        <w:rPr>
          <w:rFonts w:cstheme="minorHAnsi"/>
          <w:lang w:val="en-US"/>
        </w:rPr>
        <w:t>2.2.11-end</w:t>
      </w:r>
      <w:r w:rsidR="00206A8C">
        <w:rPr>
          <w:lang w:val="en-US"/>
        </w:rPr>
        <w:t>) an unknown number of years later</w:t>
      </w:r>
      <w:r w:rsidR="00206A8C">
        <w:rPr>
          <w:rStyle w:val="Rimandonotaapidipagina"/>
          <w:lang w:val="en-US"/>
        </w:rPr>
        <w:footnoteReference w:id="2"/>
      </w:r>
      <w:r w:rsidR="00206A8C">
        <w:rPr>
          <w:lang w:val="en-US"/>
        </w:rPr>
        <w:t>.</w:t>
      </w:r>
      <w:r w:rsidR="00F04744">
        <w:rPr>
          <w:lang w:val="en-US"/>
        </w:rPr>
        <w:t xml:space="preserve"> </w:t>
      </w:r>
      <w:r w:rsidR="00CA7946">
        <w:rPr>
          <w:lang w:val="en-US"/>
        </w:rPr>
        <w:t xml:space="preserve">A largely debated topic on Xenophon’s </w:t>
      </w:r>
      <w:r w:rsidR="00CA7946" w:rsidRPr="00CA7946">
        <w:rPr>
          <w:i/>
          <w:iCs/>
          <w:lang w:val="en-US"/>
        </w:rPr>
        <w:t>Hellenica</w:t>
      </w:r>
      <w:r w:rsidR="00CA7946">
        <w:rPr>
          <w:lang w:val="en-US"/>
        </w:rPr>
        <w:t xml:space="preserve"> is not only its nature of “continuous history</w:t>
      </w:r>
      <w:r w:rsidR="00CA7946">
        <w:rPr>
          <w:rStyle w:val="Rimandonotaapidipagina"/>
          <w:lang w:val="en-US"/>
        </w:rPr>
        <w:footnoteReference w:id="3"/>
      </w:r>
      <w:r w:rsidR="00CA7946">
        <w:rPr>
          <w:lang w:val="en-US"/>
        </w:rPr>
        <w:t>” and the dating of its writing, but also the truth of what is contained, and the aim of the work itself: the text has no preface, which leaves us empty-handed on Xenophon’s programmatic intentions. To find them, an analysis of the entire work is necessary. It has also been argued that the heavily moral</w:t>
      </w:r>
      <w:r w:rsidR="007960B7">
        <w:rPr>
          <w:lang w:val="en-US"/>
        </w:rPr>
        <w:t xml:space="preserve"> insertions make it hard to conceive this piece of prose as a historiography. </w:t>
      </w:r>
      <w:r w:rsidR="003368A0">
        <w:rPr>
          <w:lang w:val="en-US"/>
        </w:rPr>
        <w:t>According to Hau</w:t>
      </w:r>
      <w:r w:rsidR="003368A0">
        <w:rPr>
          <w:rStyle w:val="Rimandonotaapidipagina"/>
          <w:lang w:val="en-US"/>
        </w:rPr>
        <w:footnoteReference w:id="4"/>
      </w:r>
      <w:r w:rsidR="003368A0">
        <w:rPr>
          <w:lang w:val="en-US"/>
        </w:rPr>
        <w:t xml:space="preserve">, not only it is possible to view Xenophon’s work as both historiography and a moral treatise, but also that moral elements are often found in Greek historiography. </w:t>
      </w:r>
    </w:p>
    <w:p w14:paraId="3A117750" w14:textId="34411C1B" w:rsidR="00DC0591" w:rsidRDefault="00DD0237">
      <w:pPr>
        <w:rPr>
          <w:lang w:val="en-US"/>
        </w:rPr>
      </w:pPr>
      <w:r w:rsidRPr="00DD0237">
        <w:rPr>
          <w:lang w:val="en-US"/>
        </w:rPr>
        <w:t xml:space="preserve">At 1.1.23-26, Xenophon </w:t>
      </w:r>
      <w:r w:rsidR="00BC0ECA">
        <w:rPr>
          <w:lang w:val="en-US"/>
        </w:rPr>
        <w:t>spills the contents of</w:t>
      </w:r>
      <w:r>
        <w:rPr>
          <w:lang w:val="en-US"/>
        </w:rPr>
        <w:t xml:space="preserve"> a spartan letter that </w:t>
      </w:r>
      <w:r w:rsidR="00BC0ECA">
        <w:rPr>
          <w:lang w:val="en-US"/>
        </w:rPr>
        <w:t xml:space="preserve">was meant to be delivered to Lacedaemon but was </w:t>
      </w:r>
      <w:r w:rsidR="00524CBE">
        <w:rPr>
          <w:lang w:val="en-US"/>
        </w:rPr>
        <w:t xml:space="preserve">intercepted and </w:t>
      </w:r>
      <w:r w:rsidR="00BC0ECA">
        <w:rPr>
          <w:lang w:val="en-US"/>
        </w:rPr>
        <w:t xml:space="preserve">taken to Athens instead, and </w:t>
      </w:r>
      <w:r w:rsidR="00BC0ECA" w:rsidRPr="00DD0237">
        <w:rPr>
          <w:lang w:val="en-US"/>
        </w:rPr>
        <w:t>gives the account o</w:t>
      </w:r>
      <w:r w:rsidR="00BC0ECA">
        <w:rPr>
          <w:lang w:val="en-US"/>
        </w:rPr>
        <w:t>f</w:t>
      </w:r>
      <w:r w:rsidR="00BC0ECA">
        <w:rPr>
          <w:lang w:val="en-US"/>
        </w:rPr>
        <w:t xml:space="preserve"> Pharnabazus’ </w:t>
      </w:r>
      <w:r w:rsidR="009720FE">
        <w:rPr>
          <w:lang w:val="en-US"/>
        </w:rPr>
        <w:t>moves and the instructions he gives his Peloponnesian allies</w:t>
      </w:r>
      <w:r w:rsidR="00F541E8">
        <w:rPr>
          <w:lang w:val="en-US"/>
        </w:rPr>
        <w:t xml:space="preserve"> in order to </w:t>
      </w:r>
      <w:r w:rsidR="00507644">
        <w:rPr>
          <w:lang w:val="en-US"/>
        </w:rPr>
        <w:t>gather the timber necessary to reconstruct the ships,</w:t>
      </w:r>
      <w:r w:rsidR="00F541E8">
        <w:rPr>
          <w:lang w:val="en-US"/>
        </w:rPr>
        <w:t xml:space="preserve"> </w:t>
      </w:r>
      <w:r w:rsidR="00367464">
        <w:rPr>
          <w:lang w:val="en-US"/>
        </w:rPr>
        <w:t xml:space="preserve">after </w:t>
      </w:r>
      <w:r w:rsidR="00FE075B">
        <w:rPr>
          <w:lang w:val="en-US"/>
        </w:rPr>
        <w:t>they had been burned</w:t>
      </w:r>
      <w:r w:rsidR="00507644">
        <w:rPr>
          <w:lang w:val="en-US"/>
        </w:rPr>
        <w:t xml:space="preserve"> in the battle against Alcibiades and the Athenians.</w:t>
      </w:r>
      <w:r w:rsidR="00FE075B">
        <w:rPr>
          <w:rStyle w:val="Rimandonotaapidipagina"/>
          <w:lang w:val="en-US"/>
        </w:rPr>
        <w:footnoteReference w:id="5"/>
      </w:r>
      <w:r w:rsidR="00507644">
        <w:rPr>
          <w:lang w:val="en-US"/>
        </w:rPr>
        <w:t xml:space="preserve"> </w:t>
      </w:r>
      <w:r w:rsidR="00524CBE">
        <w:rPr>
          <w:lang w:val="en-US"/>
        </w:rPr>
        <w:t>A point has been made by Gray</w:t>
      </w:r>
      <w:r w:rsidR="00524CBE">
        <w:rPr>
          <w:rStyle w:val="Rimandonotaapidipagina"/>
          <w:lang w:val="en-US"/>
        </w:rPr>
        <w:footnoteReference w:id="6"/>
      </w:r>
      <w:r w:rsidR="00524CBE">
        <w:rPr>
          <w:lang w:val="en-US"/>
        </w:rPr>
        <w:t xml:space="preserve"> that Xenophon’s writing style – specifically his use of synonyms and particles – would be a piece of evidence in support of the idea of chronological breaks in composition. </w:t>
      </w:r>
      <w:r w:rsidR="003C479F">
        <w:rPr>
          <w:lang w:val="en-US"/>
        </w:rPr>
        <w:t>He</w:t>
      </w:r>
      <w:r w:rsidR="00C04DAB">
        <w:rPr>
          <w:lang w:val="en-US"/>
        </w:rPr>
        <w:t xml:space="preserve"> brings a series of examples</w:t>
      </w:r>
      <w:r w:rsidR="00C04DAB">
        <w:rPr>
          <w:rStyle w:val="Rimandonotaapidipagina"/>
          <w:lang w:val="en-US"/>
        </w:rPr>
        <w:footnoteReference w:id="7"/>
      </w:r>
      <w:r w:rsidR="00C04DAB">
        <w:rPr>
          <w:lang w:val="en-US"/>
        </w:rPr>
        <w:t xml:space="preserve"> but he</w:t>
      </w:r>
      <w:r w:rsidR="003C479F">
        <w:rPr>
          <w:lang w:val="en-US"/>
        </w:rPr>
        <w:t xml:space="preserve"> also points out that </w:t>
      </w:r>
      <w:r w:rsidR="00C04DAB">
        <w:rPr>
          <w:lang w:val="en-US"/>
        </w:rPr>
        <w:t xml:space="preserve">the collection of data on its own proves nothing, as stylistic variation could be explained with a deliberate stylistic choice, a simple desire for variety. This is shown very well in Xen. </w:t>
      </w:r>
      <w:r w:rsidR="00C04DAB" w:rsidRPr="00C04DAB">
        <w:rPr>
          <w:i/>
          <w:iCs/>
          <w:lang w:val="en-US"/>
        </w:rPr>
        <w:t>Hell</w:t>
      </w:r>
      <w:r w:rsidR="00C04DAB">
        <w:rPr>
          <w:lang w:val="en-US"/>
        </w:rPr>
        <w:t>. 1.1.1-26, where the order of subject and predicate in main clauses is broken</w:t>
      </w:r>
      <w:r w:rsidR="00E238E0">
        <w:rPr>
          <w:rStyle w:val="Rimandonotaapidipagina"/>
          <w:lang w:val="en-US"/>
        </w:rPr>
        <w:footnoteReference w:id="8"/>
      </w:r>
      <w:r w:rsidR="00C04DAB">
        <w:rPr>
          <w:lang w:val="en-US"/>
        </w:rPr>
        <w:t xml:space="preserve">. The most common order would be SP, but in those passages it is broken by PS. </w:t>
      </w:r>
      <w:r w:rsidR="00E238E0">
        <w:rPr>
          <w:lang w:val="en-US"/>
        </w:rPr>
        <w:t>The variety of word order can be both prescribed by content or employed for its own sake, but w</w:t>
      </w:r>
      <w:r w:rsidR="00E238E0">
        <w:rPr>
          <w:lang w:val="en-US"/>
        </w:rPr>
        <w:t xml:space="preserve">hat is </w:t>
      </w:r>
      <w:r w:rsidR="00E238E0">
        <w:rPr>
          <w:lang w:val="en-US"/>
        </w:rPr>
        <w:t xml:space="preserve">more </w:t>
      </w:r>
      <w:r w:rsidR="00E238E0">
        <w:rPr>
          <w:lang w:val="en-US"/>
        </w:rPr>
        <w:t>interesting about this is that it looks like</w:t>
      </w:r>
      <w:r w:rsidR="00E238E0">
        <w:rPr>
          <w:lang w:val="en-US"/>
        </w:rPr>
        <w:t xml:space="preserve"> PS order is frequently related to passages of significant content such as speeches or dramatic action. </w:t>
      </w:r>
      <w:r w:rsidR="0014251D">
        <w:rPr>
          <w:lang w:val="en-US"/>
        </w:rPr>
        <w:t xml:space="preserve">In Xen. </w:t>
      </w:r>
      <w:r w:rsidR="0014251D" w:rsidRPr="0014251D">
        <w:rPr>
          <w:i/>
          <w:iCs/>
          <w:lang w:val="en-US"/>
        </w:rPr>
        <w:t>Hell</w:t>
      </w:r>
      <w:r w:rsidR="0014251D">
        <w:rPr>
          <w:lang w:val="en-US"/>
        </w:rPr>
        <w:t xml:space="preserve">. 1.1.23 - the spartan letter, whose contents in the text we find written in direct speech –, in fact, there is a triple chiasmus. </w:t>
      </w:r>
      <w:r w:rsidR="00DC0591">
        <w:rPr>
          <w:lang w:val="en-US"/>
        </w:rPr>
        <w:t>Along with subject and predicate variation Gray signals the different use of particles. It seems to the author that they occur more frequently in speech than in narrative, but the passage taken into consideration here</w:t>
      </w:r>
      <w:r w:rsidR="00DC0591">
        <w:rPr>
          <w:rStyle w:val="Rimandonotaapidipagina"/>
          <w:lang w:val="en-US"/>
        </w:rPr>
        <w:footnoteReference w:id="9"/>
      </w:r>
      <w:r w:rsidR="00DC0591">
        <w:rPr>
          <w:lang w:val="en-US"/>
        </w:rPr>
        <w:t xml:space="preserve"> does not seem to contain any relevant information to the matter. </w:t>
      </w:r>
    </w:p>
    <w:p w14:paraId="2FDAB9EA" w14:textId="77777777" w:rsidR="0016480E" w:rsidRDefault="0016480E">
      <w:pPr>
        <w:rPr>
          <w:lang w:val="en-US"/>
        </w:rPr>
      </w:pPr>
    </w:p>
    <w:p w14:paraId="2C795B51" w14:textId="77777777" w:rsidR="0016480E" w:rsidRDefault="0016480E">
      <w:pPr>
        <w:rPr>
          <w:lang w:val="en-US"/>
        </w:rPr>
      </w:pPr>
    </w:p>
    <w:p w14:paraId="0E450001" w14:textId="77777777" w:rsidR="0016480E" w:rsidRDefault="0016480E">
      <w:pPr>
        <w:rPr>
          <w:lang w:val="en-US"/>
        </w:rPr>
      </w:pPr>
    </w:p>
    <w:p w14:paraId="7BC22435" w14:textId="77777777" w:rsidR="0016480E" w:rsidRDefault="0016480E">
      <w:pPr>
        <w:rPr>
          <w:lang w:val="en-US"/>
        </w:rPr>
      </w:pPr>
    </w:p>
    <w:p w14:paraId="66A24C5B" w14:textId="77777777" w:rsidR="0016480E" w:rsidRDefault="0016480E">
      <w:pPr>
        <w:rPr>
          <w:lang w:val="en-US"/>
        </w:rPr>
      </w:pPr>
    </w:p>
    <w:p w14:paraId="5E12F16A" w14:textId="77777777" w:rsidR="00AA4FF6" w:rsidRDefault="00AA4FF6" w:rsidP="0016480E">
      <w:pPr>
        <w:rPr>
          <w:lang w:val="en-US"/>
        </w:rPr>
      </w:pPr>
    </w:p>
    <w:p w14:paraId="2BEE713E" w14:textId="536829A8" w:rsidR="0016480E" w:rsidRPr="000411C6" w:rsidRDefault="0016480E" w:rsidP="0016480E">
      <w:pPr>
        <w:rPr>
          <w:rFonts w:cstheme="minorHAnsi"/>
          <w:b/>
          <w:bCs/>
          <w:lang w:val="en-US"/>
        </w:rPr>
      </w:pPr>
      <w:r w:rsidRPr="000411C6">
        <w:rPr>
          <w:rFonts w:cstheme="minorHAnsi"/>
          <w:b/>
          <w:bCs/>
          <w:lang w:val="en-US"/>
        </w:rPr>
        <w:t xml:space="preserve">ANCIENT SOURCES </w:t>
      </w:r>
    </w:p>
    <w:p w14:paraId="3F3D1876" w14:textId="77777777" w:rsidR="0016480E" w:rsidRPr="0016480E" w:rsidRDefault="0016480E" w:rsidP="0016480E">
      <w:pPr>
        <w:rPr>
          <w:rFonts w:cstheme="minorHAnsi"/>
          <w:lang w:val="en-US"/>
        </w:rPr>
      </w:pPr>
      <w:r w:rsidRPr="0016480E">
        <w:rPr>
          <w:rFonts w:cstheme="minorHAnsi"/>
          <w:lang w:val="en-US"/>
        </w:rPr>
        <w:t xml:space="preserve">Xenophon, </w:t>
      </w:r>
      <w:r w:rsidRPr="0016480E">
        <w:rPr>
          <w:rFonts w:cstheme="minorHAnsi"/>
          <w:i/>
          <w:iCs/>
          <w:lang w:val="en-US"/>
        </w:rPr>
        <w:t>Hellenica</w:t>
      </w:r>
      <w:r w:rsidRPr="0016480E">
        <w:rPr>
          <w:rFonts w:cstheme="minorHAnsi"/>
          <w:lang w:val="en-US"/>
        </w:rPr>
        <w:t>. Carleton L. Brownson (trans). 1918. Cambridge: Harvard University Press.</w:t>
      </w:r>
    </w:p>
    <w:p w14:paraId="7478D899" w14:textId="77777777" w:rsidR="0016480E" w:rsidRPr="000411C6" w:rsidRDefault="0016480E" w:rsidP="0016480E">
      <w:pPr>
        <w:rPr>
          <w:rFonts w:cstheme="minorHAnsi"/>
          <w:b/>
          <w:bCs/>
          <w:lang w:val="en-US"/>
        </w:rPr>
      </w:pPr>
      <w:r w:rsidRPr="000411C6">
        <w:rPr>
          <w:rFonts w:cstheme="minorHAnsi"/>
          <w:b/>
          <w:bCs/>
          <w:lang w:val="en-US"/>
        </w:rPr>
        <w:t xml:space="preserve">MODERN BIBLIOGRAPHY </w:t>
      </w:r>
    </w:p>
    <w:p w14:paraId="5B1A67CE" w14:textId="31EEBDA5" w:rsidR="0016480E" w:rsidRPr="0016480E" w:rsidRDefault="0016480E" w:rsidP="0016480E">
      <w:pPr>
        <w:rPr>
          <w:rFonts w:cstheme="minorHAnsi"/>
          <w:lang w:val="en-US"/>
        </w:rPr>
      </w:pPr>
      <w:proofErr w:type="gramStart"/>
      <w:r w:rsidRPr="0016480E">
        <w:rPr>
          <w:rFonts w:cstheme="minorHAnsi"/>
          <w:lang w:val="en-US"/>
        </w:rPr>
        <w:t>Hau</w:t>
      </w:r>
      <w:r w:rsidR="00E54959">
        <w:rPr>
          <w:rFonts w:cstheme="minorHAnsi"/>
          <w:lang w:val="en-US"/>
        </w:rPr>
        <w:t xml:space="preserve"> </w:t>
      </w:r>
      <w:r w:rsidRPr="0016480E">
        <w:rPr>
          <w:rFonts w:cstheme="minorHAnsi"/>
          <w:lang w:val="en-US"/>
        </w:rPr>
        <w:t xml:space="preserve"> 2016</w:t>
      </w:r>
      <w:proofErr w:type="gramEnd"/>
      <w:r w:rsidRPr="0016480E">
        <w:rPr>
          <w:rFonts w:cstheme="minorHAnsi"/>
          <w:lang w:val="en-US"/>
        </w:rPr>
        <w:t xml:space="preserve"> = Lisa Irene Hau, </w:t>
      </w:r>
      <w:r w:rsidRPr="0016480E">
        <w:rPr>
          <w:rFonts w:cstheme="minorHAnsi"/>
          <w:i/>
          <w:iCs/>
          <w:lang w:val="en-US"/>
        </w:rPr>
        <w:t>Xenophon, Hellenica</w:t>
      </w:r>
      <w:r w:rsidRPr="0016480E">
        <w:rPr>
          <w:rFonts w:cstheme="minorHAnsi"/>
          <w:lang w:val="en-US"/>
        </w:rPr>
        <w:t xml:space="preserve">, in </w:t>
      </w:r>
      <w:r w:rsidRPr="0016480E">
        <w:rPr>
          <w:rFonts w:cstheme="minorHAnsi"/>
          <w:i/>
          <w:iCs/>
          <w:lang w:val="en-US"/>
        </w:rPr>
        <w:t>Moral History from Herodotus to</w:t>
      </w:r>
      <w:r w:rsidRPr="0016480E">
        <w:rPr>
          <w:rFonts w:cstheme="minorHAnsi"/>
          <w:lang w:val="en-US"/>
        </w:rPr>
        <w:t xml:space="preserve"> </w:t>
      </w:r>
      <w:proofErr w:type="spellStart"/>
      <w:r w:rsidRPr="0016480E">
        <w:rPr>
          <w:rFonts w:cstheme="minorHAnsi"/>
          <w:i/>
          <w:iCs/>
          <w:lang w:val="en-US"/>
        </w:rPr>
        <w:t>Diodorus</w:t>
      </w:r>
      <w:proofErr w:type="spellEnd"/>
      <w:r w:rsidRPr="0016480E">
        <w:rPr>
          <w:rFonts w:cstheme="minorHAnsi"/>
          <w:i/>
          <w:iCs/>
          <w:lang w:val="en-US"/>
        </w:rPr>
        <w:t xml:space="preserve"> Siculus</w:t>
      </w:r>
      <w:r w:rsidRPr="0016480E">
        <w:rPr>
          <w:rFonts w:cstheme="minorHAnsi"/>
          <w:lang w:val="en-US"/>
        </w:rPr>
        <w:t xml:space="preserve">, 2016, Edinburgh University Press. </w:t>
      </w:r>
    </w:p>
    <w:p w14:paraId="1F0D3E5A" w14:textId="77777777" w:rsidR="0016480E" w:rsidRPr="0016480E" w:rsidRDefault="0016480E" w:rsidP="0016480E">
      <w:pPr>
        <w:rPr>
          <w:rFonts w:cstheme="minorHAnsi"/>
          <w:lang w:val="en-US"/>
        </w:rPr>
      </w:pPr>
      <w:r w:rsidRPr="0016480E">
        <w:rPr>
          <w:rFonts w:cstheme="minorHAnsi"/>
          <w:lang w:val="en-US"/>
        </w:rPr>
        <w:t xml:space="preserve">Moles 1992 = John Moles, </w:t>
      </w:r>
      <w:r w:rsidRPr="0016480E">
        <w:rPr>
          <w:rFonts w:cstheme="minorHAnsi"/>
          <w:i/>
          <w:iCs/>
          <w:lang w:val="en-US"/>
        </w:rPr>
        <w:t>Xenophon’s Hellenica</w:t>
      </w:r>
      <w:r w:rsidRPr="0016480E">
        <w:rPr>
          <w:rFonts w:cstheme="minorHAnsi"/>
          <w:lang w:val="en-US"/>
        </w:rPr>
        <w:t>, The Classical Review, 1992, New Series, Vol. 42, No. 2 (1992), Cambridge University Press, pp. 281-284.</w:t>
      </w:r>
    </w:p>
    <w:p w14:paraId="5A1DC77A" w14:textId="77777777" w:rsidR="0016480E" w:rsidRPr="0016480E" w:rsidRDefault="0016480E" w:rsidP="0016480E">
      <w:pPr>
        <w:rPr>
          <w:rFonts w:cstheme="minorHAnsi"/>
          <w:lang w:val="en-US"/>
        </w:rPr>
      </w:pPr>
      <w:r w:rsidRPr="0016480E">
        <w:rPr>
          <w:rFonts w:cstheme="minorHAnsi"/>
          <w:lang w:val="en-US"/>
        </w:rPr>
        <w:t xml:space="preserve">Gray 1991 = V. J. Gray, </w:t>
      </w:r>
      <w:r w:rsidRPr="0016480E">
        <w:rPr>
          <w:rFonts w:cstheme="minorHAnsi"/>
          <w:i/>
          <w:iCs/>
          <w:lang w:val="en-US"/>
        </w:rPr>
        <w:t>Continuous History and Xenophon, Hellenica 1-2.3.10</w:t>
      </w:r>
      <w:r w:rsidRPr="0016480E">
        <w:rPr>
          <w:rFonts w:cstheme="minorHAnsi"/>
          <w:lang w:val="en-US"/>
        </w:rPr>
        <w:t>, The American Journal of Philology, Summer, 1991, Vol. 112, No. 2 (Summer, 1991), The Johns Hopkins University Press, pp. 201-228.</w:t>
      </w:r>
    </w:p>
    <w:p w14:paraId="293B395C" w14:textId="3A973560" w:rsidR="000F24B1" w:rsidRPr="00DD0237" w:rsidRDefault="00BC0ECA">
      <w:pPr>
        <w:rPr>
          <w:lang w:val="en-US"/>
        </w:rPr>
      </w:pPr>
      <w:r>
        <w:rPr>
          <w:lang w:val="en-US"/>
        </w:rPr>
        <w:t xml:space="preserve"> </w:t>
      </w:r>
    </w:p>
    <w:sectPr w:rsidR="000F24B1" w:rsidRPr="00DD023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BE58B" w14:textId="77777777" w:rsidR="009900A3" w:rsidRDefault="009900A3" w:rsidP="00C11399">
      <w:pPr>
        <w:spacing w:after="0" w:line="240" w:lineRule="auto"/>
      </w:pPr>
      <w:r>
        <w:separator/>
      </w:r>
    </w:p>
  </w:endnote>
  <w:endnote w:type="continuationSeparator" w:id="0">
    <w:p w14:paraId="4302640E" w14:textId="77777777" w:rsidR="009900A3" w:rsidRDefault="009900A3" w:rsidP="00C11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3DAA7" w14:textId="77777777" w:rsidR="009900A3" w:rsidRDefault="009900A3" w:rsidP="00C11399">
      <w:pPr>
        <w:spacing w:after="0" w:line="240" w:lineRule="auto"/>
      </w:pPr>
      <w:r>
        <w:separator/>
      </w:r>
    </w:p>
  </w:footnote>
  <w:footnote w:type="continuationSeparator" w:id="0">
    <w:p w14:paraId="74ACE037" w14:textId="77777777" w:rsidR="009900A3" w:rsidRDefault="009900A3" w:rsidP="00C11399">
      <w:pPr>
        <w:spacing w:after="0" w:line="240" w:lineRule="auto"/>
      </w:pPr>
      <w:r>
        <w:continuationSeparator/>
      </w:r>
    </w:p>
  </w:footnote>
  <w:footnote w:id="1">
    <w:p w14:paraId="12254709" w14:textId="4BC38852" w:rsidR="00C11399" w:rsidRDefault="00C11399">
      <w:pPr>
        <w:pStyle w:val="Testonotaapidipagina"/>
      </w:pPr>
      <w:r>
        <w:rPr>
          <w:rStyle w:val="Rimandonotaapidipagina"/>
        </w:rPr>
        <w:footnoteRef/>
      </w:r>
      <w:r>
        <w:t xml:space="preserve"> Gray, 1991.</w:t>
      </w:r>
    </w:p>
  </w:footnote>
  <w:footnote w:id="2">
    <w:p w14:paraId="50A3C008" w14:textId="1D898A3F" w:rsidR="00483C35" w:rsidRPr="00483C35" w:rsidRDefault="00206A8C">
      <w:pPr>
        <w:pStyle w:val="Testonotaapidipagina"/>
        <w:rPr>
          <w:lang w:val="en-US"/>
        </w:rPr>
      </w:pPr>
      <w:r>
        <w:rPr>
          <w:rStyle w:val="Rimandonotaapidipagina"/>
        </w:rPr>
        <w:footnoteRef/>
      </w:r>
      <w:r w:rsidRPr="00483C35">
        <w:rPr>
          <w:lang w:val="en-US"/>
        </w:rPr>
        <w:t xml:space="preserve"> Hau, 2016. </w:t>
      </w:r>
      <w:r w:rsidR="00483C35" w:rsidRPr="00483C35">
        <w:rPr>
          <w:lang w:val="en-US"/>
        </w:rPr>
        <w:t>Gray, 1991: it seems reasonable t</w:t>
      </w:r>
      <w:r w:rsidR="00483C35">
        <w:rPr>
          <w:lang w:val="en-US"/>
        </w:rPr>
        <w:t xml:space="preserve">o date the writing of the sixth book to the 350s BC due to a reference to contemporary events. </w:t>
      </w:r>
    </w:p>
  </w:footnote>
  <w:footnote w:id="3">
    <w:p w14:paraId="3149B639" w14:textId="470D4832" w:rsidR="00CA7946" w:rsidRPr="007960B7" w:rsidRDefault="00CA7946">
      <w:pPr>
        <w:pStyle w:val="Testonotaapidipagina"/>
        <w:rPr>
          <w:lang w:val="en-US"/>
        </w:rPr>
      </w:pPr>
      <w:r>
        <w:rPr>
          <w:rStyle w:val="Rimandonotaapidipagina"/>
        </w:rPr>
        <w:footnoteRef/>
      </w:r>
      <w:r w:rsidRPr="007960B7">
        <w:rPr>
          <w:lang w:val="en-US"/>
        </w:rPr>
        <w:t xml:space="preserve"> Meaning </w:t>
      </w:r>
      <w:r w:rsidR="007960B7">
        <w:rPr>
          <w:lang w:val="en-US"/>
        </w:rPr>
        <w:t xml:space="preserve">that the </w:t>
      </w:r>
      <w:r w:rsidR="007960B7" w:rsidRPr="007960B7">
        <w:rPr>
          <w:i/>
          <w:iCs/>
          <w:lang w:val="en-US"/>
        </w:rPr>
        <w:t>Hell</w:t>
      </w:r>
      <w:r w:rsidR="007960B7">
        <w:rPr>
          <w:i/>
          <w:iCs/>
          <w:lang w:val="en-US"/>
        </w:rPr>
        <w:t>en</w:t>
      </w:r>
      <w:r w:rsidR="007960B7" w:rsidRPr="007960B7">
        <w:rPr>
          <w:i/>
          <w:iCs/>
          <w:lang w:val="en-US"/>
        </w:rPr>
        <w:t>ica</w:t>
      </w:r>
      <w:r w:rsidR="007960B7">
        <w:rPr>
          <w:lang w:val="en-US"/>
        </w:rPr>
        <w:t xml:space="preserve"> is </w:t>
      </w:r>
      <w:r w:rsidRPr="007960B7">
        <w:rPr>
          <w:lang w:val="en-US"/>
        </w:rPr>
        <w:t>the continuation of Thucydides</w:t>
      </w:r>
      <w:r w:rsidR="007960B7" w:rsidRPr="007960B7">
        <w:rPr>
          <w:lang w:val="en-US"/>
        </w:rPr>
        <w:t>’ a</w:t>
      </w:r>
      <w:r w:rsidR="007960B7">
        <w:rPr>
          <w:lang w:val="en-US"/>
        </w:rPr>
        <w:t xml:space="preserve">ccount. </w:t>
      </w:r>
      <w:r w:rsidR="004E20BA">
        <w:rPr>
          <w:lang w:val="en-US"/>
        </w:rPr>
        <w:t>At the very beginning of Xenophon’s summary we find the words “</w:t>
      </w:r>
      <w:r w:rsidR="00846C64" w:rsidRPr="00846C64">
        <w:rPr>
          <w:i/>
          <w:iCs/>
          <w:lang w:val="en-US"/>
        </w:rPr>
        <w:t>metà dè tauta</w:t>
      </w:r>
      <w:r w:rsidR="004E20BA">
        <w:rPr>
          <w:lang w:val="en-US"/>
        </w:rPr>
        <w:t>”</w:t>
      </w:r>
      <w:r w:rsidR="00846C64">
        <w:rPr>
          <w:lang w:val="en-US"/>
        </w:rPr>
        <w:t xml:space="preserve">, literally “after these things”, or “after which”. </w:t>
      </w:r>
    </w:p>
  </w:footnote>
  <w:footnote w:id="4">
    <w:p w14:paraId="292563FA" w14:textId="56FBFB60" w:rsidR="003368A0" w:rsidRDefault="003368A0">
      <w:pPr>
        <w:pStyle w:val="Testonotaapidipagina"/>
      </w:pPr>
      <w:r>
        <w:rPr>
          <w:rStyle w:val="Rimandonotaapidipagina"/>
        </w:rPr>
        <w:footnoteRef/>
      </w:r>
      <w:r>
        <w:t xml:space="preserve"> Hau, 2016.</w:t>
      </w:r>
    </w:p>
  </w:footnote>
  <w:footnote w:id="5">
    <w:p w14:paraId="002C2C46" w14:textId="50C46322" w:rsidR="00FE075B" w:rsidRPr="004E20BA" w:rsidRDefault="00FE075B">
      <w:pPr>
        <w:pStyle w:val="Testonotaapidipagina"/>
        <w:rPr>
          <w:lang w:val="en-US"/>
        </w:rPr>
      </w:pPr>
      <w:r>
        <w:rPr>
          <w:rStyle w:val="Rimandonotaapidipagina"/>
        </w:rPr>
        <w:footnoteRef/>
      </w:r>
      <w:r w:rsidRPr="004E20BA">
        <w:rPr>
          <w:lang w:val="en-US"/>
        </w:rPr>
        <w:t xml:space="preserve"> Xen. </w:t>
      </w:r>
      <w:r w:rsidRPr="004E20BA">
        <w:rPr>
          <w:i/>
          <w:iCs/>
          <w:lang w:val="en-US"/>
        </w:rPr>
        <w:t>Hell</w:t>
      </w:r>
      <w:r w:rsidRPr="004E20BA">
        <w:rPr>
          <w:lang w:val="en-US"/>
        </w:rPr>
        <w:t>. 1.1.18</w:t>
      </w:r>
      <w:r w:rsidR="005B27A0" w:rsidRPr="004E20BA">
        <w:rPr>
          <w:lang w:val="en-US"/>
        </w:rPr>
        <w:t>.</w:t>
      </w:r>
    </w:p>
  </w:footnote>
  <w:footnote w:id="6">
    <w:p w14:paraId="2CFACFBC" w14:textId="0646BE0D" w:rsidR="00524CBE" w:rsidRPr="004E20BA" w:rsidRDefault="00524CBE">
      <w:pPr>
        <w:pStyle w:val="Testonotaapidipagina"/>
        <w:rPr>
          <w:lang w:val="en-US"/>
        </w:rPr>
      </w:pPr>
      <w:r>
        <w:rPr>
          <w:rStyle w:val="Rimandonotaapidipagina"/>
        </w:rPr>
        <w:footnoteRef/>
      </w:r>
      <w:r w:rsidRPr="004E20BA">
        <w:rPr>
          <w:lang w:val="en-US"/>
        </w:rPr>
        <w:t xml:space="preserve"> Gray, 1991. </w:t>
      </w:r>
    </w:p>
  </w:footnote>
  <w:footnote w:id="7">
    <w:p w14:paraId="670A88CC" w14:textId="06D50ABD" w:rsidR="00C04DAB" w:rsidRPr="004E20BA" w:rsidRDefault="00C04DAB">
      <w:pPr>
        <w:pStyle w:val="Testonotaapidipagina"/>
        <w:rPr>
          <w:lang w:val="en-US"/>
        </w:rPr>
      </w:pPr>
      <w:r>
        <w:rPr>
          <w:rStyle w:val="Rimandonotaapidipagina"/>
        </w:rPr>
        <w:footnoteRef/>
      </w:r>
      <w:r w:rsidRPr="004E20BA">
        <w:rPr>
          <w:lang w:val="en-US"/>
        </w:rPr>
        <w:t xml:space="preserve"> See Gray, 1991, pp. 213-220. </w:t>
      </w:r>
    </w:p>
  </w:footnote>
  <w:footnote w:id="8">
    <w:p w14:paraId="07A97E2B" w14:textId="655F20CF" w:rsidR="00E238E0" w:rsidRPr="00E238E0" w:rsidRDefault="00E238E0">
      <w:pPr>
        <w:pStyle w:val="Testonotaapidipagina"/>
        <w:rPr>
          <w:lang w:val="en-US"/>
        </w:rPr>
      </w:pPr>
      <w:r>
        <w:rPr>
          <w:rStyle w:val="Rimandonotaapidipagina"/>
        </w:rPr>
        <w:footnoteRef/>
      </w:r>
      <w:r w:rsidRPr="00E238E0">
        <w:rPr>
          <w:lang w:val="en-US"/>
        </w:rPr>
        <w:t xml:space="preserve"> Gray counts each </w:t>
      </w:r>
      <w:r w:rsidR="00846C64" w:rsidRPr="00E238E0">
        <w:rPr>
          <w:lang w:val="en-US"/>
        </w:rPr>
        <w:t>occurrence</w:t>
      </w:r>
      <w:r w:rsidRPr="00E238E0">
        <w:rPr>
          <w:lang w:val="en-US"/>
        </w:rPr>
        <w:t xml:space="preserve"> in X</w:t>
      </w:r>
      <w:r>
        <w:rPr>
          <w:lang w:val="en-US"/>
        </w:rPr>
        <w:t xml:space="preserve">en </w:t>
      </w:r>
      <w:r w:rsidRPr="00E238E0">
        <w:rPr>
          <w:i/>
          <w:iCs/>
          <w:lang w:val="en-US"/>
        </w:rPr>
        <w:t>Hell</w:t>
      </w:r>
      <w:r>
        <w:rPr>
          <w:lang w:val="en-US"/>
        </w:rPr>
        <w:t xml:space="preserve">. 1.1.1-26: SP 22 PS 9. </w:t>
      </w:r>
    </w:p>
  </w:footnote>
  <w:footnote w:id="9">
    <w:p w14:paraId="03403466" w14:textId="23E8B7DE" w:rsidR="00DC0591" w:rsidRDefault="00DC0591">
      <w:pPr>
        <w:pStyle w:val="Testonotaapidipagina"/>
      </w:pPr>
      <w:r>
        <w:rPr>
          <w:rStyle w:val="Rimandonotaapidipagina"/>
        </w:rPr>
        <w:footnoteRef/>
      </w:r>
      <w:r>
        <w:t xml:space="preserve"> Again, Xen. </w:t>
      </w:r>
      <w:r w:rsidRPr="00DC0591">
        <w:rPr>
          <w:i/>
          <w:iCs/>
        </w:rPr>
        <w:t>Hell</w:t>
      </w:r>
      <w:r>
        <w:t>. 1.1.23-26.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8B5"/>
    <w:rsid w:val="000372B8"/>
    <w:rsid w:val="000411C6"/>
    <w:rsid w:val="000518B5"/>
    <w:rsid w:val="00096B69"/>
    <w:rsid w:val="000F24B1"/>
    <w:rsid w:val="0014251D"/>
    <w:rsid w:val="0016480E"/>
    <w:rsid w:val="00206A8C"/>
    <w:rsid w:val="003368A0"/>
    <w:rsid w:val="00367464"/>
    <w:rsid w:val="003C479F"/>
    <w:rsid w:val="00483C35"/>
    <w:rsid w:val="004E20BA"/>
    <w:rsid w:val="00507644"/>
    <w:rsid w:val="00524CBE"/>
    <w:rsid w:val="005B27A0"/>
    <w:rsid w:val="0068567F"/>
    <w:rsid w:val="00725DC1"/>
    <w:rsid w:val="007743A1"/>
    <w:rsid w:val="007960B7"/>
    <w:rsid w:val="00846C64"/>
    <w:rsid w:val="008A6E68"/>
    <w:rsid w:val="009720FE"/>
    <w:rsid w:val="009900A3"/>
    <w:rsid w:val="00AA4FF6"/>
    <w:rsid w:val="00BC0ECA"/>
    <w:rsid w:val="00BD57A1"/>
    <w:rsid w:val="00BF1B93"/>
    <w:rsid w:val="00C04DAB"/>
    <w:rsid w:val="00C11399"/>
    <w:rsid w:val="00CA7946"/>
    <w:rsid w:val="00CC5762"/>
    <w:rsid w:val="00D924C7"/>
    <w:rsid w:val="00DC0591"/>
    <w:rsid w:val="00DD0237"/>
    <w:rsid w:val="00E238E0"/>
    <w:rsid w:val="00E54959"/>
    <w:rsid w:val="00F04744"/>
    <w:rsid w:val="00F541E8"/>
    <w:rsid w:val="00FE075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DD118"/>
  <w15:chartTrackingRefBased/>
  <w15:docId w15:val="{716BD7D0-B54D-4B64-9E23-D4FDADB97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notaapidipagina">
    <w:name w:val="footnote text"/>
    <w:basedOn w:val="Normale"/>
    <w:link w:val="TestonotaapidipaginaCarattere"/>
    <w:uiPriority w:val="99"/>
    <w:semiHidden/>
    <w:unhideWhenUsed/>
    <w:rsid w:val="00C11399"/>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C11399"/>
    <w:rPr>
      <w:sz w:val="20"/>
      <w:szCs w:val="20"/>
    </w:rPr>
  </w:style>
  <w:style w:type="character" w:styleId="Rimandonotaapidipagina">
    <w:name w:val="footnote reference"/>
    <w:basedOn w:val="Carpredefinitoparagrafo"/>
    <w:uiPriority w:val="99"/>
    <w:semiHidden/>
    <w:unhideWhenUsed/>
    <w:rsid w:val="00C1139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FBCBF-EBBD-4162-88E4-445FD4E38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2</Pages>
  <Words>537</Words>
  <Characters>3062</Characters>
  <Application>Microsoft Office Word</Application>
  <DocSecurity>0</DocSecurity>
  <Lines>25</Lines>
  <Paragraphs>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Bonfatti Sabbioni - lavinia.bonfatti@studio.unibo.it</dc:creator>
  <cp:keywords/>
  <dc:description/>
  <cp:lastModifiedBy>Lavinia Bonfatti Sabbioni - lavinia.bonfatti@studio.unibo.it</cp:lastModifiedBy>
  <cp:revision>33</cp:revision>
  <dcterms:created xsi:type="dcterms:W3CDTF">2023-03-02T18:04:00Z</dcterms:created>
  <dcterms:modified xsi:type="dcterms:W3CDTF">2023-03-02T23:16:00Z</dcterms:modified>
</cp:coreProperties>
</file>