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8A4FE" w14:textId="77777777" w:rsidR="00EE20BE" w:rsidRDefault="00000000">
      <w:pPr>
        <w:pStyle w:val="Title"/>
      </w:pPr>
      <w:r>
        <w:t>FinSure Bank (FSB)</w:t>
      </w:r>
    </w:p>
    <w:p w14:paraId="7CCE8D78" w14:textId="77777777" w:rsidR="00EE20BE" w:rsidRDefault="00000000">
      <w:pPr>
        <w:pStyle w:val="Heading1"/>
      </w:pPr>
      <w:r>
        <w:t>Security Architecture Design Document</w:t>
      </w:r>
    </w:p>
    <w:p w14:paraId="1B1635B3" w14:textId="77777777" w:rsidR="00EE20BE" w:rsidRDefault="00000000">
      <w:r>
        <w:t>Version 1.0 | Classification: CONFIDENTIAL | April 2026</w:t>
      </w:r>
    </w:p>
    <w:p w14:paraId="3E16C64E" w14:textId="77777777" w:rsidR="00EE20BE" w:rsidRDefault="00EE20BE"/>
    <w:p w14:paraId="0AC2739C" w14:textId="77777777" w:rsidR="00EE20BE" w:rsidRDefault="00000000">
      <w:pPr>
        <w:pStyle w:val="Heading2"/>
      </w:pPr>
      <w:r>
        <w:t>1. Document Purpose</w:t>
      </w:r>
    </w:p>
    <w:p w14:paraId="60D9CFE8" w14:textId="77777777" w:rsidR="00EE20BE" w:rsidRDefault="00000000">
      <w:r>
        <w:t>This document provides a detailed technical design approach for the information systems security, governance, and compliance architecture proposed for FinSure Bank (FSB). It serves as the architectural blueprint that translates the strategic framework recommendations into actionable implementation specifications. This document should be read in conjunction with the main Strategic Architecture Report.</w:t>
      </w:r>
    </w:p>
    <w:p w14:paraId="1F09E5E1" w14:textId="77777777" w:rsidR="00EE20BE" w:rsidRDefault="00000000">
      <w:pPr>
        <w:pStyle w:val="Heading2"/>
      </w:pPr>
      <w:r>
        <w:t>2. Design Principles</w:t>
      </w:r>
    </w:p>
    <w:tbl>
      <w:tblPr>
        <w:tblStyle w:val="TableGrid"/>
        <w:tblW w:w="0" w:type="auto"/>
        <w:jc w:val="center"/>
        <w:tblLook w:val="04A0" w:firstRow="1" w:lastRow="0" w:firstColumn="1" w:lastColumn="0" w:noHBand="0" w:noVBand="1"/>
      </w:tblPr>
      <w:tblGrid>
        <w:gridCol w:w="4315"/>
        <w:gridCol w:w="4315"/>
      </w:tblGrid>
      <w:tr w:rsidR="00EE20BE" w14:paraId="7EDE515E" w14:textId="77777777">
        <w:trPr>
          <w:jc w:val="center"/>
        </w:trPr>
        <w:tc>
          <w:tcPr>
            <w:tcW w:w="4320" w:type="dxa"/>
            <w:shd w:val="clear" w:color="auto" w:fill="2E4057"/>
          </w:tcPr>
          <w:p w14:paraId="59C4A01C" w14:textId="77777777" w:rsidR="00EE20BE" w:rsidRDefault="00000000">
            <w:pPr>
              <w:jc w:val="center"/>
            </w:pPr>
            <w:r>
              <w:rPr>
                <w:b/>
                <w:color w:val="FFFFFF"/>
                <w:sz w:val="18"/>
              </w:rPr>
              <w:t>Principle</w:t>
            </w:r>
          </w:p>
        </w:tc>
        <w:tc>
          <w:tcPr>
            <w:tcW w:w="4320" w:type="dxa"/>
            <w:shd w:val="clear" w:color="auto" w:fill="2E4057"/>
          </w:tcPr>
          <w:p w14:paraId="673F34ED" w14:textId="77777777" w:rsidR="00EE20BE" w:rsidRDefault="00000000">
            <w:pPr>
              <w:jc w:val="center"/>
            </w:pPr>
            <w:r>
              <w:rPr>
                <w:b/>
                <w:color w:val="FFFFFF"/>
                <w:sz w:val="18"/>
              </w:rPr>
              <w:t>Description</w:t>
            </w:r>
          </w:p>
        </w:tc>
      </w:tr>
      <w:tr w:rsidR="00EE20BE" w14:paraId="34408F0F" w14:textId="77777777">
        <w:trPr>
          <w:jc w:val="center"/>
        </w:trPr>
        <w:tc>
          <w:tcPr>
            <w:tcW w:w="4320" w:type="dxa"/>
            <w:shd w:val="clear" w:color="auto" w:fill="F0F4F8"/>
          </w:tcPr>
          <w:p w14:paraId="31E48B38" w14:textId="77777777" w:rsidR="00EE20BE" w:rsidRDefault="00000000">
            <w:r>
              <w:rPr>
                <w:sz w:val="18"/>
              </w:rPr>
              <w:t>Zero Trust by Default</w:t>
            </w:r>
          </w:p>
        </w:tc>
        <w:tc>
          <w:tcPr>
            <w:tcW w:w="4320" w:type="dxa"/>
            <w:shd w:val="clear" w:color="auto" w:fill="F0F4F8"/>
          </w:tcPr>
          <w:p w14:paraId="27BDB7CA" w14:textId="77777777" w:rsidR="00EE20BE" w:rsidRDefault="00000000">
            <w:r>
              <w:rPr>
                <w:sz w:val="18"/>
              </w:rPr>
              <w:t>Every access request is treated as untrusted regardless of origin. Authentication, authorisation, and encryption are enforced at every layer.</w:t>
            </w:r>
          </w:p>
        </w:tc>
      </w:tr>
      <w:tr w:rsidR="00EE20BE" w14:paraId="317D1881" w14:textId="77777777">
        <w:trPr>
          <w:jc w:val="center"/>
        </w:trPr>
        <w:tc>
          <w:tcPr>
            <w:tcW w:w="4320" w:type="dxa"/>
          </w:tcPr>
          <w:p w14:paraId="2BBD01A6" w14:textId="77777777" w:rsidR="00EE20BE" w:rsidRDefault="00000000">
            <w:r>
              <w:rPr>
                <w:sz w:val="18"/>
              </w:rPr>
              <w:t>Defence in Depth</w:t>
            </w:r>
          </w:p>
        </w:tc>
        <w:tc>
          <w:tcPr>
            <w:tcW w:w="4320" w:type="dxa"/>
          </w:tcPr>
          <w:p w14:paraId="0CF516EC" w14:textId="77777777" w:rsidR="00EE20BE" w:rsidRDefault="00000000">
            <w:r>
              <w:rPr>
                <w:sz w:val="18"/>
              </w:rPr>
              <w:t>Multiple overlapping security controls ensure that failure of any single mechanism does not compromise the entire architecture.</w:t>
            </w:r>
          </w:p>
        </w:tc>
      </w:tr>
      <w:tr w:rsidR="00EE20BE" w14:paraId="2BF990CD" w14:textId="77777777">
        <w:trPr>
          <w:jc w:val="center"/>
        </w:trPr>
        <w:tc>
          <w:tcPr>
            <w:tcW w:w="4320" w:type="dxa"/>
            <w:shd w:val="clear" w:color="auto" w:fill="F0F4F8"/>
          </w:tcPr>
          <w:p w14:paraId="2721CC41" w14:textId="77777777" w:rsidR="00EE20BE" w:rsidRDefault="00000000">
            <w:r>
              <w:rPr>
                <w:sz w:val="18"/>
              </w:rPr>
              <w:t>Privacy by Design</w:t>
            </w:r>
          </w:p>
        </w:tc>
        <w:tc>
          <w:tcPr>
            <w:tcW w:w="4320" w:type="dxa"/>
            <w:shd w:val="clear" w:color="auto" w:fill="F0F4F8"/>
          </w:tcPr>
          <w:p w14:paraId="56A5A6B7" w14:textId="77777777" w:rsidR="00EE20BE" w:rsidRDefault="00000000">
            <w:r>
              <w:rPr>
                <w:sz w:val="18"/>
              </w:rPr>
              <w:t>GDPR Article 25 compliance is engineered into every data flow, storage mechanism, and processing operation from inception.</w:t>
            </w:r>
          </w:p>
        </w:tc>
      </w:tr>
      <w:tr w:rsidR="00EE20BE" w14:paraId="2A8077AC" w14:textId="77777777">
        <w:trPr>
          <w:jc w:val="center"/>
        </w:trPr>
        <w:tc>
          <w:tcPr>
            <w:tcW w:w="4320" w:type="dxa"/>
          </w:tcPr>
          <w:p w14:paraId="2034C58B" w14:textId="77777777" w:rsidR="00EE20BE" w:rsidRDefault="00000000">
            <w:r>
              <w:rPr>
                <w:sz w:val="18"/>
              </w:rPr>
              <w:t>Least Privilege</w:t>
            </w:r>
          </w:p>
        </w:tc>
        <w:tc>
          <w:tcPr>
            <w:tcW w:w="4320" w:type="dxa"/>
          </w:tcPr>
          <w:p w14:paraId="238B1A66" w14:textId="77777777" w:rsidR="00EE20BE" w:rsidRDefault="00000000">
            <w:r>
              <w:rPr>
                <w:sz w:val="18"/>
              </w:rPr>
              <w:t>Users, service accounts, and automated processes receive only the minimum permissions necessary for their designated function.</w:t>
            </w:r>
          </w:p>
        </w:tc>
      </w:tr>
      <w:tr w:rsidR="00EE20BE" w14:paraId="0D7FDCFF" w14:textId="77777777">
        <w:trPr>
          <w:jc w:val="center"/>
        </w:trPr>
        <w:tc>
          <w:tcPr>
            <w:tcW w:w="4320" w:type="dxa"/>
            <w:shd w:val="clear" w:color="auto" w:fill="F0F4F8"/>
          </w:tcPr>
          <w:p w14:paraId="1D7BD94E" w14:textId="77777777" w:rsidR="00EE20BE" w:rsidRDefault="00000000">
            <w:r>
              <w:rPr>
                <w:sz w:val="18"/>
              </w:rPr>
              <w:t>Assume Breach</w:t>
            </w:r>
          </w:p>
        </w:tc>
        <w:tc>
          <w:tcPr>
            <w:tcW w:w="4320" w:type="dxa"/>
            <w:shd w:val="clear" w:color="auto" w:fill="F0F4F8"/>
          </w:tcPr>
          <w:p w14:paraId="334C3451" w14:textId="77777777" w:rsidR="00EE20BE" w:rsidRDefault="00000000">
            <w:r>
              <w:rPr>
                <w:sz w:val="18"/>
              </w:rPr>
              <w:t>The architecture is designed with the assumption that perimeter defences will eventually be circumvented, ensuring rapid detection and containment.</w:t>
            </w:r>
          </w:p>
        </w:tc>
      </w:tr>
      <w:tr w:rsidR="00EE20BE" w14:paraId="20B7E65F" w14:textId="77777777">
        <w:trPr>
          <w:jc w:val="center"/>
        </w:trPr>
        <w:tc>
          <w:tcPr>
            <w:tcW w:w="4320" w:type="dxa"/>
          </w:tcPr>
          <w:p w14:paraId="7D4DE6BE" w14:textId="77777777" w:rsidR="00EE20BE" w:rsidRDefault="00000000">
            <w:r>
              <w:rPr>
                <w:sz w:val="18"/>
              </w:rPr>
              <w:t>Regulatory Alignment</w:t>
            </w:r>
          </w:p>
        </w:tc>
        <w:tc>
          <w:tcPr>
            <w:tcW w:w="4320" w:type="dxa"/>
          </w:tcPr>
          <w:p w14:paraId="309A0B7F" w14:textId="77777777" w:rsidR="00EE20BE" w:rsidRDefault="00000000">
            <w:r>
              <w:rPr>
                <w:sz w:val="18"/>
              </w:rPr>
              <w:t>Every technical control traces directly to a regulatory mandate (GDPR, PSD2, DORA, FCA SYSC 8) or framework requirement (ISO 27001, NIST CSF).</w:t>
            </w:r>
          </w:p>
        </w:tc>
      </w:tr>
    </w:tbl>
    <w:p w14:paraId="4A0D9F2E" w14:textId="77777777" w:rsidR="00EE20BE" w:rsidRDefault="00EE20BE"/>
    <w:p w14:paraId="07A08B4B" w14:textId="77777777" w:rsidR="00EE20BE" w:rsidRDefault="00000000">
      <w:pPr>
        <w:pStyle w:val="Heading2"/>
      </w:pPr>
      <w:r>
        <w:lastRenderedPageBreak/>
        <w:t>3. Layered Architecture Model</w:t>
      </w:r>
    </w:p>
    <w:p w14:paraId="350C7F15" w14:textId="77777777" w:rsidR="00EE20BE" w:rsidRDefault="00000000">
      <w:r>
        <w:t>The FSB security architecture follows a structured top-down methodology aligned with the SABSA six-layer model, ensuring business requirements cascade through governance, management, and technical implementation layers.</w:t>
      </w:r>
    </w:p>
    <w:tbl>
      <w:tblPr>
        <w:tblStyle w:val="TableGrid"/>
        <w:tblW w:w="0" w:type="auto"/>
        <w:jc w:val="center"/>
        <w:tblLook w:val="04A0" w:firstRow="1" w:lastRow="0" w:firstColumn="1" w:lastColumn="0" w:noHBand="0" w:noVBand="1"/>
      </w:tblPr>
      <w:tblGrid>
        <w:gridCol w:w="2157"/>
        <w:gridCol w:w="2158"/>
        <w:gridCol w:w="2158"/>
        <w:gridCol w:w="2157"/>
      </w:tblGrid>
      <w:tr w:rsidR="00EE20BE" w14:paraId="7E8FB309" w14:textId="77777777">
        <w:trPr>
          <w:jc w:val="center"/>
        </w:trPr>
        <w:tc>
          <w:tcPr>
            <w:tcW w:w="2160" w:type="dxa"/>
            <w:shd w:val="clear" w:color="auto" w:fill="2E4057"/>
          </w:tcPr>
          <w:p w14:paraId="3B74235E" w14:textId="77777777" w:rsidR="00EE20BE" w:rsidRDefault="00000000">
            <w:pPr>
              <w:jc w:val="center"/>
            </w:pPr>
            <w:r>
              <w:rPr>
                <w:b/>
                <w:color w:val="FFFFFF"/>
                <w:sz w:val="18"/>
              </w:rPr>
              <w:t>Architecture Layer</w:t>
            </w:r>
          </w:p>
        </w:tc>
        <w:tc>
          <w:tcPr>
            <w:tcW w:w="2160" w:type="dxa"/>
            <w:shd w:val="clear" w:color="auto" w:fill="2E4057"/>
          </w:tcPr>
          <w:p w14:paraId="717DA5B6" w14:textId="77777777" w:rsidR="00EE20BE" w:rsidRDefault="00000000">
            <w:pPr>
              <w:jc w:val="center"/>
            </w:pPr>
            <w:r>
              <w:rPr>
                <w:b/>
                <w:color w:val="FFFFFF"/>
                <w:sz w:val="18"/>
              </w:rPr>
              <w:t>Responsible Team</w:t>
            </w:r>
          </w:p>
        </w:tc>
        <w:tc>
          <w:tcPr>
            <w:tcW w:w="2160" w:type="dxa"/>
            <w:shd w:val="clear" w:color="auto" w:fill="2E4057"/>
          </w:tcPr>
          <w:p w14:paraId="7C4B2BC7" w14:textId="77777777" w:rsidR="00EE20BE" w:rsidRDefault="00000000">
            <w:pPr>
              <w:jc w:val="center"/>
            </w:pPr>
            <w:r>
              <w:rPr>
                <w:b/>
                <w:color w:val="FFFFFF"/>
                <w:sz w:val="18"/>
              </w:rPr>
              <w:t>Key Activities</w:t>
            </w:r>
          </w:p>
        </w:tc>
        <w:tc>
          <w:tcPr>
            <w:tcW w:w="2160" w:type="dxa"/>
            <w:shd w:val="clear" w:color="auto" w:fill="2E4057"/>
          </w:tcPr>
          <w:p w14:paraId="6ADB6A73" w14:textId="77777777" w:rsidR="00EE20BE" w:rsidRDefault="00000000">
            <w:pPr>
              <w:jc w:val="center"/>
            </w:pPr>
            <w:r>
              <w:rPr>
                <w:b/>
                <w:color w:val="FFFFFF"/>
                <w:sz w:val="18"/>
              </w:rPr>
              <w:t>Framework Mapping</w:t>
            </w:r>
          </w:p>
        </w:tc>
      </w:tr>
      <w:tr w:rsidR="00EE20BE" w14:paraId="3328299C" w14:textId="77777777">
        <w:trPr>
          <w:jc w:val="center"/>
        </w:trPr>
        <w:tc>
          <w:tcPr>
            <w:tcW w:w="2160" w:type="dxa"/>
            <w:shd w:val="clear" w:color="auto" w:fill="F0F4F8"/>
          </w:tcPr>
          <w:p w14:paraId="69D46ACF" w14:textId="77777777" w:rsidR="00EE20BE" w:rsidRDefault="00000000">
            <w:r>
              <w:rPr>
                <w:sz w:val="18"/>
              </w:rPr>
              <w:t>Layer 1: Contextual (Business)</w:t>
            </w:r>
          </w:p>
        </w:tc>
        <w:tc>
          <w:tcPr>
            <w:tcW w:w="2160" w:type="dxa"/>
            <w:shd w:val="clear" w:color="auto" w:fill="F0F4F8"/>
          </w:tcPr>
          <w:p w14:paraId="151281DC" w14:textId="77777777" w:rsidR="00EE20BE" w:rsidRDefault="00000000">
            <w:r>
              <w:rPr>
                <w:sz w:val="18"/>
              </w:rPr>
              <w:t>FSB Board / ISSC</w:t>
            </w:r>
          </w:p>
        </w:tc>
        <w:tc>
          <w:tcPr>
            <w:tcW w:w="2160" w:type="dxa"/>
            <w:shd w:val="clear" w:color="auto" w:fill="F0F4F8"/>
          </w:tcPr>
          <w:p w14:paraId="020C95AA" w14:textId="77777777" w:rsidR="00EE20BE" w:rsidRDefault="00000000">
            <w:r>
              <w:rPr>
                <w:sz w:val="18"/>
              </w:rPr>
              <w:t>Business risk appetite, regulatory obligations, competitive strategy</w:t>
            </w:r>
          </w:p>
        </w:tc>
        <w:tc>
          <w:tcPr>
            <w:tcW w:w="2160" w:type="dxa"/>
            <w:shd w:val="clear" w:color="auto" w:fill="F0F4F8"/>
          </w:tcPr>
          <w:p w14:paraId="37D64BD6" w14:textId="77777777" w:rsidR="00EE20BE" w:rsidRDefault="00000000">
            <w:r>
              <w:rPr>
                <w:sz w:val="18"/>
              </w:rPr>
              <w:t>SABSA Contextual</w:t>
            </w:r>
          </w:p>
        </w:tc>
      </w:tr>
      <w:tr w:rsidR="00EE20BE" w14:paraId="44C7AD72" w14:textId="77777777">
        <w:trPr>
          <w:jc w:val="center"/>
        </w:trPr>
        <w:tc>
          <w:tcPr>
            <w:tcW w:w="2160" w:type="dxa"/>
          </w:tcPr>
          <w:p w14:paraId="26D1207D" w14:textId="77777777" w:rsidR="00EE20BE" w:rsidRDefault="00000000">
            <w:r>
              <w:rPr>
                <w:sz w:val="18"/>
              </w:rPr>
              <w:t>Layer 2: Conceptual (Architect)</w:t>
            </w:r>
          </w:p>
        </w:tc>
        <w:tc>
          <w:tcPr>
            <w:tcW w:w="2160" w:type="dxa"/>
          </w:tcPr>
          <w:p w14:paraId="3FD81495" w14:textId="77777777" w:rsidR="00EE20BE" w:rsidRDefault="00000000">
            <w:r>
              <w:rPr>
                <w:sz w:val="18"/>
              </w:rPr>
              <w:t>CISO / Security Architecture</w:t>
            </w:r>
          </w:p>
        </w:tc>
        <w:tc>
          <w:tcPr>
            <w:tcW w:w="2160" w:type="dxa"/>
          </w:tcPr>
          <w:p w14:paraId="5F9A624E" w14:textId="77777777" w:rsidR="00EE20BE" w:rsidRDefault="00000000">
            <w:r>
              <w:rPr>
                <w:sz w:val="18"/>
              </w:rPr>
              <w:t>Security principles, trust relationships, governance model</w:t>
            </w:r>
          </w:p>
        </w:tc>
        <w:tc>
          <w:tcPr>
            <w:tcW w:w="2160" w:type="dxa"/>
          </w:tcPr>
          <w:p w14:paraId="40BA43CC" w14:textId="77777777" w:rsidR="00EE20BE" w:rsidRDefault="00000000">
            <w:r>
              <w:rPr>
                <w:sz w:val="18"/>
              </w:rPr>
              <w:t>SABSA Conceptual</w:t>
            </w:r>
          </w:p>
        </w:tc>
      </w:tr>
      <w:tr w:rsidR="00EE20BE" w14:paraId="46FAE1D2" w14:textId="77777777">
        <w:trPr>
          <w:jc w:val="center"/>
        </w:trPr>
        <w:tc>
          <w:tcPr>
            <w:tcW w:w="2160" w:type="dxa"/>
            <w:shd w:val="clear" w:color="auto" w:fill="F0F4F8"/>
          </w:tcPr>
          <w:p w14:paraId="3B55BB11" w14:textId="77777777" w:rsidR="00EE20BE" w:rsidRDefault="00000000">
            <w:r>
              <w:rPr>
                <w:sz w:val="18"/>
              </w:rPr>
              <w:t>Layer 3: Logical (Design)</w:t>
            </w:r>
          </w:p>
        </w:tc>
        <w:tc>
          <w:tcPr>
            <w:tcW w:w="2160" w:type="dxa"/>
            <w:shd w:val="clear" w:color="auto" w:fill="F0F4F8"/>
          </w:tcPr>
          <w:p w14:paraId="62F64E0B" w14:textId="77777777" w:rsidR="00EE20BE" w:rsidRDefault="00000000">
            <w:r>
              <w:rPr>
                <w:sz w:val="18"/>
              </w:rPr>
              <w:t>Security Engineering</w:t>
            </w:r>
          </w:p>
        </w:tc>
        <w:tc>
          <w:tcPr>
            <w:tcW w:w="2160" w:type="dxa"/>
            <w:shd w:val="clear" w:color="auto" w:fill="F0F4F8"/>
          </w:tcPr>
          <w:p w14:paraId="1E1CF828" w14:textId="77777777" w:rsidR="00EE20BE" w:rsidRDefault="00000000">
            <w:r>
              <w:rPr>
                <w:sz w:val="18"/>
              </w:rPr>
              <w:t>Policy definitions, access control models, data classification</w:t>
            </w:r>
          </w:p>
        </w:tc>
        <w:tc>
          <w:tcPr>
            <w:tcW w:w="2160" w:type="dxa"/>
            <w:shd w:val="clear" w:color="auto" w:fill="F0F4F8"/>
          </w:tcPr>
          <w:p w14:paraId="5868C92E" w14:textId="77777777" w:rsidR="00EE20BE" w:rsidRDefault="00000000">
            <w:r>
              <w:rPr>
                <w:sz w:val="18"/>
              </w:rPr>
              <w:t>ISO 27001, COBIT 2019</w:t>
            </w:r>
          </w:p>
        </w:tc>
      </w:tr>
      <w:tr w:rsidR="00EE20BE" w14:paraId="335620BE" w14:textId="77777777">
        <w:trPr>
          <w:jc w:val="center"/>
        </w:trPr>
        <w:tc>
          <w:tcPr>
            <w:tcW w:w="2160" w:type="dxa"/>
          </w:tcPr>
          <w:p w14:paraId="21B615A6" w14:textId="77777777" w:rsidR="00EE20BE" w:rsidRDefault="00000000">
            <w:r>
              <w:rPr>
                <w:sz w:val="18"/>
              </w:rPr>
              <w:t>Layer 4: Physical (Build)</w:t>
            </w:r>
          </w:p>
        </w:tc>
        <w:tc>
          <w:tcPr>
            <w:tcW w:w="2160" w:type="dxa"/>
          </w:tcPr>
          <w:p w14:paraId="61694B68" w14:textId="77777777" w:rsidR="00EE20BE" w:rsidRDefault="00000000">
            <w:r>
              <w:rPr>
                <w:sz w:val="18"/>
              </w:rPr>
              <w:t>Cloud/Platform Engineering</w:t>
            </w:r>
          </w:p>
        </w:tc>
        <w:tc>
          <w:tcPr>
            <w:tcW w:w="2160" w:type="dxa"/>
          </w:tcPr>
          <w:p w14:paraId="1F7EC746" w14:textId="77777777" w:rsidR="00EE20BE" w:rsidRDefault="00000000">
            <w:r>
              <w:rPr>
                <w:sz w:val="18"/>
              </w:rPr>
              <w:t>CNAPP, CASB, DLP, PAM, MFA, encryption deployment</w:t>
            </w:r>
          </w:p>
        </w:tc>
        <w:tc>
          <w:tcPr>
            <w:tcW w:w="2160" w:type="dxa"/>
          </w:tcPr>
          <w:p w14:paraId="5DAF90E2" w14:textId="77777777" w:rsidR="00EE20BE" w:rsidRDefault="00000000">
            <w:r>
              <w:rPr>
                <w:sz w:val="18"/>
              </w:rPr>
              <w:t>NIST CSF, CSA STAR</w:t>
            </w:r>
          </w:p>
        </w:tc>
      </w:tr>
      <w:tr w:rsidR="00EE20BE" w14:paraId="44DCCD26" w14:textId="77777777">
        <w:trPr>
          <w:jc w:val="center"/>
        </w:trPr>
        <w:tc>
          <w:tcPr>
            <w:tcW w:w="2160" w:type="dxa"/>
            <w:shd w:val="clear" w:color="auto" w:fill="F0F4F8"/>
          </w:tcPr>
          <w:p w14:paraId="0A32EF6B" w14:textId="77777777" w:rsidR="00EE20BE" w:rsidRDefault="00000000">
            <w:r>
              <w:rPr>
                <w:sz w:val="18"/>
              </w:rPr>
              <w:t>Layer 5: Component (Configure)</w:t>
            </w:r>
          </w:p>
        </w:tc>
        <w:tc>
          <w:tcPr>
            <w:tcW w:w="2160" w:type="dxa"/>
            <w:shd w:val="clear" w:color="auto" w:fill="F0F4F8"/>
          </w:tcPr>
          <w:p w14:paraId="5F179FE8" w14:textId="77777777" w:rsidR="00EE20BE" w:rsidRDefault="00000000">
            <w:r>
              <w:rPr>
                <w:sz w:val="18"/>
              </w:rPr>
              <w:t>DevSecOps / SRE</w:t>
            </w:r>
          </w:p>
        </w:tc>
        <w:tc>
          <w:tcPr>
            <w:tcW w:w="2160" w:type="dxa"/>
            <w:shd w:val="clear" w:color="auto" w:fill="F0F4F8"/>
          </w:tcPr>
          <w:p w14:paraId="285E5E6D" w14:textId="77777777" w:rsidR="00EE20BE" w:rsidRDefault="00000000">
            <w:r>
              <w:rPr>
                <w:sz w:val="18"/>
              </w:rPr>
              <w:t>Cloud configurations, API gateways, SIEM rules, DLP policies</w:t>
            </w:r>
          </w:p>
        </w:tc>
        <w:tc>
          <w:tcPr>
            <w:tcW w:w="2160" w:type="dxa"/>
            <w:shd w:val="clear" w:color="auto" w:fill="F0F4F8"/>
          </w:tcPr>
          <w:p w14:paraId="47593897" w14:textId="77777777" w:rsidR="00EE20BE" w:rsidRDefault="00000000">
            <w:r>
              <w:rPr>
                <w:sz w:val="18"/>
              </w:rPr>
              <w:t>CSA CCM, ISO 27017</w:t>
            </w:r>
          </w:p>
        </w:tc>
      </w:tr>
      <w:tr w:rsidR="00EE20BE" w14:paraId="41F264B8" w14:textId="77777777">
        <w:trPr>
          <w:jc w:val="center"/>
        </w:trPr>
        <w:tc>
          <w:tcPr>
            <w:tcW w:w="2160" w:type="dxa"/>
          </w:tcPr>
          <w:p w14:paraId="65B711E7" w14:textId="77777777" w:rsidR="00EE20BE" w:rsidRDefault="00000000">
            <w:r>
              <w:rPr>
                <w:sz w:val="18"/>
              </w:rPr>
              <w:t>Layer 6: Operational (Run)</w:t>
            </w:r>
          </w:p>
        </w:tc>
        <w:tc>
          <w:tcPr>
            <w:tcW w:w="2160" w:type="dxa"/>
          </w:tcPr>
          <w:p w14:paraId="3B36C8B9" w14:textId="77777777" w:rsidR="00EE20BE" w:rsidRDefault="00000000">
            <w:r>
              <w:rPr>
                <w:sz w:val="18"/>
              </w:rPr>
              <w:t>SOC / IT Operations</w:t>
            </w:r>
          </w:p>
        </w:tc>
        <w:tc>
          <w:tcPr>
            <w:tcW w:w="2160" w:type="dxa"/>
          </w:tcPr>
          <w:p w14:paraId="3FBF3A13" w14:textId="77777777" w:rsidR="00EE20BE" w:rsidRDefault="00000000">
            <w:r>
              <w:rPr>
                <w:sz w:val="18"/>
              </w:rPr>
              <w:t>Monitoring, incident response, continuous compliance auditing</w:t>
            </w:r>
          </w:p>
        </w:tc>
        <w:tc>
          <w:tcPr>
            <w:tcW w:w="2160" w:type="dxa"/>
          </w:tcPr>
          <w:p w14:paraId="2623AEB7" w14:textId="77777777" w:rsidR="00EE20BE" w:rsidRDefault="00000000">
            <w:r>
              <w:rPr>
                <w:sz w:val="18"/>
              </w:rPr>
              <w:t>ITIL 4 SVS, NIST RS/RC</w:t>
            </w:r>
          </w:p>
        </w:tc>
      </w:tr>
    </w:tbl>
    <w:p w14:paraId="0B0EB034" w14:textId="77777777" w:rsidR="00EE20BE" w:rsidRDefault="00EE20BE"/>
    <w:p w14:paraId="4D8A67B2" w14:textId="77777777" w:rsidR="00EE20BE" w:rsidRDefault="00000000">
      <w:pPr>
        <w:pStyle w:val="Heading2"/>
      </w:pPr>
      <w:r>
        <w:t>4. Data Flow Architecture</w:t>
      </w:r>
    </w:p>
    <w:p w14:paraId="51B90954" w14:textId="77777777" w:rsidR="00EE20BE" w:rsidRDefault="00000000">
      <w:r>
        <w:t>All data flows within the FSB architecture are categorised, classified, and protected according to the following data classification schema:</w:t>
      </w:r>
    </w:p>
    <w:tbl>
      <w:tblPr>
        <w:tblStyle w:val="TableGrid"/>
        <w:tblW w:w="0" w:type="auto"/>
        <w:jc w:val="center"/>
        <w:tblLook w:val="04A0" w:firstRow="1" w:lastRow="0" w:firstColumn="1" w:lastColumn="0" w:noHBand="0" w:noVBand="1"/>
      </w:tblPr>
      <w:tblGrid>
        <w:gridCol w:w="2877"/>
        <w:gridCol w:w="2877"/>
        <w:gridCol w:w="2876"/>
      </w:tblGrid>
      <w:tr w:rsidR="00EE20BE" w14:paraId="05E7E75C" w14:textId="77777777">
        <w:trPr>
          <w:jc w:val="center"/>
        </w:trPr>
        <w:tc>
          <w:tcPr>
            <w:tcW w:w="2880" w:type="dxa"/>
            <w:shd w:val="clear" w:color="auto" w:fill="2E4057"/>
          </w:tcPr>
          <w:p w14:paraId="42A7CA69" w14:textId="77777777" w:rsidR="00EE20BE" w:rsidRDefault="00000000">
            <w:pPr>
              <w:jc w:val="center"/>
            </w:pPr>
            <w:r>
              <w:rPr>
                <w:b/>
                <w:color w:val="FFFFFF"/>
                <w:sz w:val="18"/>
              </w:rPr>
              <w:t>Classification</w:t>
            </w:r>
          </w:p>
        </w:tc>
        <w:tc>
          <w:tcPr>
            <w:tcW w:w="2880" w:type="dxa"/>
            <w:shd w:val="clear" w:color="auto" w:fill="2E4057"/>
          </w:tcPr>
          <w:p w14:paraId="3A0CF164" w14:textId="77777777" w:rsidR="00EE20BE" w:rsidRDefault="00000000">
            <w:pPr>
              <w:jc w:val="center"/>
            </w:pPr>
            <w:r>
              <w:rPr>
                <w:b/>
                <w:color w:val="FFFFFF"/>
                <w:sz w:val="18"/>
              </w:rPr>
              <w:t>Examples</w:t>
            </w:r>
          </w:p>
        </w:tc>
        <w:tc>
          <w:tcPr>
            <w:tcW w:w="2880" w:type="dxa"/>
            <w:shd w:val="clear" w:color="auto" w:fill="2E4057"/>
          </w:tcPr>
          <w:p w14:paraId="1D955B9A" w14:textId="77777777" w:rsidR="00EE20BE" w:rsidRDefault="00000000">
            <w:pPr>
              <w:jc w:val="center"/>
            </w:pPr>
            <w:r>
              <w:rPr>
                <w:b/>
                <w:color w:val="FFFFFF"/>
                <w:sz w:val="18"/>
              </w:rPr>
              <w:t>Required Controls</w:t>
            </w:r>
          </w:p>
        </w:tc>
      </w:tr>
      <w:tr w:rsidR="00EE20BE" w14:paraId="375DF243" w14:textId="77777777">
        <w:trPr>
          <w:jc w:val="center"/>
        </w:trPr>
        <w:tc>
          <w:tcPr>
            <w:tcW w:w="2880" w:type="dxa"/>
            <w:shd w:val="clear" w:color="auto" w:fill="F0F4F8"/>
          </w:tcPr>
          <w:p w14:paraId="2CA361AE" w14:textId="77777777" w:rsidR="00EE20BE" w:rsidRDefault="00000000">
            <w:r>
              <w:rPr>
                <w:sz w:val="18"/>
              </w:rPr>
              <w:t>RESTRICTED</w:t>
            </w:r>
          </w:p>
        </w:tc>
        <w:tc>
          <w:tcPr>
            <w:tcW w:w="2880" w:type="dxa"/>
            <w:shd w:val="clear" w:color="auto" w:fill="F0F4F8"/>
          </w:tcPr>
          <w:p w14:paraId="12E71EF7" w14:textId="77777777" w:rsidR="00EE20BE" w:rsidRDefault="00000000">
            <w:r>
              <w:rPr>
                <w:sz w:val="18"/>
              </w:rPr>
              <w:t>Customer PII, financial records, authentication credentials</w:t>
            </w:r>
          </w:p>
        </w:tc>
        <w:tc>
          <w:tcPr>
            <w:tcW w:w="2880" w:type="dxa"/>
            <w:shd w:val="clear" w:color="auto" w:fill="F0F4F8"/>
          </w:tcPr>
          <w:p w14:paraId="479B9989" w14:textId="77777777" w:rsidR="00EE20BE" w:rsidRDefault="00000000">
            <w:r>
              <w:rPr>
                <w:sz w:val="18"/>
              </w:rPr>
              <w:t>AES-256 encryption at rest and in transit; DLP monitoring; access restricted to named individuals with PAM approval</w:t>
            </w:r>
          </w:p>
        </w:tc>
      </w:tr>
      <w:tr w:rsidR="00EE20BE" w14:paraId="63529CA7" w14:textId="77777777">
        <w:trPr>
          <w:jc w:val="center"/>
        </w:trPr>
        <w:tc>
          <w:tcPr>
            <w:tcW w:w="2880" w:type="dxa"/>
          </w:tcPr>
          <w:p w14:paraId="2A23D7D9" w14:textId="77777777" w:rsidR="00EE20BE" w:rsidRDefault="00000000">
            <w:r>
              <w:rPr>
                <w:sz w:val="18"/>
              </w:rPr>
              <w:t>CONFIDENTIAL</w:t>
            </w:r>
          </w:p>
        </w:tc>
        <w:tc>
          <w:tcPr>
            <w:tcW w:w="2880" w:type="dxa"/>
          </w:tcPr>
          <w:p w14:paraId="3C1C5BB3" w14:textId="77777777" w:rsidR="00EE20BE" w:rsidRDefault="00000000">
            <w:r>
              <w:rPr>
                <w:sz w:val="18"/>
              </w:rPr>
              <w:t>Internal financial reports, strategic documents, HR data</w:t>
            </w:r>
          </w:p>
        </w:tc>
        <w:tc>
          <w:tcPr>
            <w:tcW w:w="2880" w:type="dxa"/>
          </w:tcPr>
          <w:p w14:paraId="26F6C0E3" w14:textId="77777777" w:rsidR="00EE20BE" w:rsidRDefault="00000000">
            <w:r>
              <w:rPr>
                <w:sz w:val="18"/>
              </w:rPr>
              <w:t>AES-256 encryption; DLP classification; role-based access control (RBAC)</w:t>
            </w:r>
          </w:p>
        </w:tc>
      </w:tr>
      <w:tr w:rsidR="00EE20BE" w14:paraId="23694C35" w14:textId="77777777">
        <w:trPr>
          <w:jc w:val="center"/>
        </w:trPr>
        <w:tc>
          <w:tcPr>
            <w:tcW w:w="2880" w:type="dxa"/>
            <w:shd w:val="clear" w:color="auto" w:fill="F0F4F8"/>
          </w:tcPr>
          <w:p w14:paraId="7350AADA" w14:textId="77777777" w:rsidR="00EE20BE" w:rsidRDefault="00000000">
            <w:r>
              <w:rPr>
                <w:sz w:val="18"/>
              </w:rPr>
              <w:lastRenderedPageBreak/>
              <w:t>INTERNAL</w:t>
            </w:r>
          </w:p>
        </w:tc>
        <w:tc>
          <w:tcPr>
            <w:tcW w:w="2880" w:type="dxa"/>
            <w:shd w:val="clear" w:color="auto" w:fill="F0F4F8"/>
          </w:tcPr>
          <w:p w14:paraId="78B75485" w14:textId="77777777" w:rsidR="00EE20BE" w:rsidRDefault="00000000">
            <w:r>
              <w:rPr>
                <w:sz w:val="18"/>
              </w:rPr>
              <w:t>Operational procedures, meeting notes, internal communications</w:t>
            </w:r>
          </w:p>
        </w:tc>
        <w:tc>
          <w:tcPr>
            <w:tcW w:w="2880" w:type="dxa"/>
            <w:shd w:val="clear" w:color="auto" w:fill="F0F4F8"/>
          </w:tcPr>
          <w:p w14:paraId="2C325EBD" w14:textId="77777777" w:rsidR="00EE20BE" w:rsidRDefault="00000000">
            <w:r>
              <w:rPr>
                <w:sz w:val="18"/>
              </w:rPr>
              <w:t>TLS 1.3 in transit; standard RBAC; no external sharing without approval</w:t>
            </w:r>
          </w:p>
        </w:tc>
      </w:tr>
      <w:tr w:rsidR="00EE20BE" w14:paraId="4CBB7E34" w14:textId="77777777">
        <w:trPr>
          <w:jc w:val="center"/>
        </w:trPr>
        <w:tc>
          <w:tcPr>
            <w:tcW w:w="2880" w:type="dxa"/>
          </w:tcPr>
          <w:p w14:paraId="199D550A" w14:textId="77777777" w:rsidR="00EE20BE" w:rsidRDefault="00000000">
            <w:r>
              <w:rPr>
                <w:sz w:val="18"/>
              </w:rPr>
              <w:t>PUBLIC</w:t>
            </w:r>
          </w:p>
        </w:tc>
        <w:tc>
          <w:tcPr>
            <w:tcW w:w="2880" w:type="dxa"/>
          </w:tcPr>
          <w:p w14:paraId="43D4148F" w14:textId="77777777" w:rsidR="00EE20BE" w:rsidRDefault="00000000">
            <w:r>
              <w:rPr>
                <w:sz w:val="18"/>
              </w:rPr>
              <w:t>Marketing materials, published reports, open API documentation</w:t>
            </w:r>
          </w:p>
        </w:tc>
        <w:tc>
          <w:tcPr>
            <w:tcW w:w="2880" w:type="dxa"/>
          </w:tcPr>
          <w:p w14:paraId="3A258712" w14:textId="77777777" w:rsidR="00EE20BE" w:rsidRDefault="00000000">
            <w:r>
              <w:rPr>
                <w:sz w:val="18"/>
              </w:rPr>
              <w:t>Integrity controls only; no confidentiality requirements</w:t>
            </w:r>
          </w:p>
        </w:tc>
      </w:tr>
    </w:tbl>
    <w:p w14:paraId="4FE5615D" w14:textId="77777777" w:rsidR="00EE20BE" w:rsidRDefault="00EE20BE"/>
    <w:p w14:paraId="2DD509C6" w14:textId="77777777" w:rsidR="00EE20BE" w:rsidRDefault="00000000">
      <w:pPr>
        <w:pStyle w:val="Heading2"/>
      </w:pPr>
      <w:r>
        <w:t>5. Identity and Access Management Architecture</w:t>
      </w:r>
    </w:p>
    <w:p w14:paraId="60E4B45D" w14:textId="77777777" w:rsidR="00EE20BE" w:rsidRDefault="00000000">
      <w:r>
        <w:t>The IAM architecture implements a Zero Trust model with the following components:</w:t>
      </w:r>
    </w:p>
    <w:tbl>
      <w:tblPr>
        <w:tblStyle w:val="TableGrid"/>
        <w:tblW w:w="0" w:type="auto"/>
        <w:jc w:val="center"/>
        <w:tblLook w:val="04A0" w:firstRow="1" w:lastRow="0" w:firstColumn="1" w:lastColumn="0" w:noHBand="0" w:noVBand="1"/>
      </w:tblPr>
      <w:tblGrid>
        <w:gridCol w:w="2877"/>
        <w:gridCol w:w="2877"/>
        <w:gridCol w:w="2876"/>
      </w:tblGrid>
      <w:tr w:rsidR="00EE20BE" w14:paraId="3DF79133" w14:textId="77777777">
        <w:trPr>
          <w:jc w:val="center"/>
        </w:trPr>
        <w:tc>
          <w:tcPr>
            <w:tcW w:w="2880" w:type="dxa"/>
            <w:shd w:val="clear" w:color="auto" w:fill="2E4057"/>
          </w:tcPr>
          <w:p w14:paraId="40E83FE8" w14:textId="77777777" w:rsidR="00EE20BE" w:rsidRDefault="00000000">
            <w:pPr>
              <w:jc w:val="center"/>
            </w:pPr>
            <w:r>
              <w:rPr>
                <w:b/>
                <w:color w:val="FFFFFF"/>
                <w:sz w:val="18"/>
              </w:rPr>
              <w:t>Component</w:t>
            </w:r>
          </w:p>
        </w:tc>
        <w:tc>
          <w:tcPr>
            <w:tcW w:w="2880" w:type="dxa"/>
            <w:shd w:val="clear" w:color="auto" w:fill="2E4057"/>
          </w:tcPr>
          <w:p w14:paraId="28E8853E" w14:textId="77777777" w:rsidR="00EE20BE" w:rsidRDefault="00000000">
            <w:pPr>
              <w:jc w:val="center"/>
            </w:pPr>
            <w:r>
              <w:rPr>
                <w:b/>
                <w:color w:val="FFFFFF"/>
                <w:sz w:val="18"/>
              </w:rPr>
              <w:t>Implementation</w:t>
            </w:r>
          </w:p>
        </w:tc>
        <w:tc>
          <w:tcPr>
            <w:tcW w:w="2880" w:type="dxa"/>
            <w:shd w:val="clear" w:color="auto" w:fill="2E4057"/>
          </w:tcPr>
          <w:p w14:paraId="7B4C6CD1" w14:textId="77777777" w:rsidR="00EE20BE" w:rsidRDefault="00000000">
            <w:pPr>
              <w:jc w:val="center"/>
            </w:pPr>
            <w:r>
              <w:rPr>
                <w:b/>
                <w:color w:val="FFFFFF"/>
                <w:sz w:val="18"/>
              </w:rPr>
              <w:t>Security Benefit</w:t>
            </w:r>
          </w:p>
        </w:tc>
      </w:tr>
      <w:tr w:rsidR="00EE20BE" w14:paraId="4E011CC4" w14:textId="77777777">
        <w:trPr>
          <w:jc w:val="center"/>
        </w:trPr>
        <w:tc>
          <w:tcPr>
            <w:tcW w:w="2880" w:type="dxa"/>
            <w:shd w:val="clear" w:color="auto" w:fill="F0F4F8"/>
          </w:tcPr>
          <w:p w14:paraId="5D8A345B" w14:textId="77777777" w:rsidR="00EE20BE" w:rsidRDefault="00000000">
            <w:r>
              <w:rPr>
                <w:sz w:val="18"/>
              </w:rPr>
              <w:t>Identity Provider (IdP)</w:t>
            </w:r>
          </w:p>
        </w:tc>
        <w:tc>
          <w:tcPr>
            <w:tcW w:w="2880" w:type="dxa"/>
            <w:shd w:val="clear" w:color="auto" w:fill="F0F4F8"/>
          </w:tcPr>
          <w:p w14:paraId="1A07774E" w14:textId="77777777" w:rsidR="00EE20BE" w:rsidRDefault="00000000">
            <w:r>
              <w:rPr>
                <w:sz w:val="18"/>
              </w:rPr>
              <w:t>Centralised identity store (Azure AD / Okta) with federation for all cloud platforms</w:t>
            </w:r>
          </w:p>
        </w:tc>
        <w:tc>
          <w:tcPr>
            <w:tcW w:w="2880" w:type="dxa"/>
            <w:shd w:val="clear" w:color="auto" w:fill="F0F4F8"/>
          </w:tcPr>
          <w:p w14:paraId="2B78A28F" w14:textId="77777777" w:rsidR="00EE20BE" w:rsidRDefault="00000000">
            <w:r>
              <w:rPr>
                <w:sz w:val="18"/>
              </w:rPr>
              <w:t>Single source of truth for all user identities</w:t>
            </w:r>
          </w:p>
        </w:tc>
      </w:tr>
      <w:tr w:rsidR="00EE20BE" w14:paraId="1600CCE4" w14:textId="77777777">
        <w:trPr>
          <w:jc w:val="center"/>
        </w:trPr>
        <w:tc>
          <w:tcPr>
            <w:tcW w:w="2880" w:type="dxa"/>
          </w:tcPr>
          <w:p w14:paraId="1BB97CB9" w14:textId="77777777" w:rsidR="00EE20BE" w:rsidRDefault="00000000">
            <w:r>
              <w:rPr>
                <w:sz w:val="18"/>
              </w:rPr>
              <w:t>Multi-Factor Authentication</w:t>
            </w:r>
          </w:p>
        </w:tc>
        <w:tc>
          <w:tcPr>
            <w:tcW w:w="2880" w:type="dxa"/>
          </w:tcPr>
          <w:p w14:paraId="35F27FCD" w14:textId="77777777" w:rsidR="00EE20BE" w:rsidRDefault="00000000">
            <w:r>
              <w:rPr>
                <w:sz w:val="18"/>
              </w:rPr>
              <w:t>FIDO2 hardware keys for privileged access; TOTP authenticator apps for standard users</w:t>
            </w:r>
          </w:p>
        </w:tc>
        <w:tc>
          <w:tcPr>
            <w:tcW w:w="2880" w:type="dxa"/>
          </w:tcPr>
          <w:p w14:paraId="331DB6F6" w14:textId="77777777" w:rsidR="00EE20BE" w:rsidRDefault="00000000">
            <w:r>
              <w:rPr>
                <w:sz w:val="18"/>
              </w:rPr>
              <w:t>Neutralises credential-based attacks</w:t>
            </w:r>
          </w:p>
        </w:tc>
      </w:tr>
      <w:tr w:rsidR="00EE20BE" w14:paraId="462D5002" w14:textId="77777777">
        <w:trPr>
          <w:jc w:val="center"/>
        </w:trPr>
        <w:tc>
          <w:tcPr>
            <w:tcW w:w="2880" w:type="dxa"/>
            <w:shd w:val="clear" w:color="auto" w:fill="F0F4F8"/>
          </w:tcPr>
          <w:p w14:paraId="37C11248" w14:textId="77777777" w:rsidR="00EE20BE" w:rsidRDefault="00000000">
            <w:r>
              <w:rPr>
                <w:sz w:val="18"/>
              </w:rPr>
              <w:t>Privileged Access Management</w:t>
            </w:r>
          </w:p>
        </w:tc>
        <w:tc>
          <w:tcPr>
            <w:tcW w:w="2880" w:type="dxa"/>
            <w:shd w:val="clear" w:color="auto" w:fill="F0F4F8"/>
          </w:tcPr>
          <w:p w14:paraId="04E72AA1" w14:textId="77777777" w:rsidR="00EE20BE" w:rsidRDefault="00000000">
            <w:r>
              <w:rPr>
                <w:sz w:val="18"/>
              </w:rPr>
              <w:t>Just-In-Time elevation with time-bound sessions; all sessions recorded</w:t>
            </w:r>
          </w:p>
        </w:tc>
        <w:tc>
          <w:tcPr>
            <w:tcW w:w="2880" w:type="dxa"/>
            <w:shd w:val="clear" w:color="auto" w:fill="F0F4F8"/>
          </w:tcPr>
          <w:p w14:paraId="335B0721" w14:textId="77777777" w:rsidR="00EE20BE" w:rsidRDefault="00000000">
            <w:r>
              <w:rPr>
                <w:sz w:val="18"/>
              </w:rPr>
              <w:t>Eliminates standing privileges; full audit trail</w:t>
            </w:r>
          </w:p>
        </w:tc>
      </w:tr>
      <w:tr w:rsidR="00EE20BE" w14:paraId="729AEF32" w14:textId="77777777">
        <w:trPr>
          <w:jc w:val="center"/>
        </w:trPr>
        <w:tc>
          <w:tcPr>
            <w:tcW w:w="2880" w:type="dxa"/>
          </w:tcPr>
          <w:p w14:paraId="53634075" w14:textId="77777777" w:rsidR="00EE20BE" w:rsidRDefault="00000000">
            <w:r>
              <w:rPr>
                <w:sz w:val="18"/>
              </w:rPr>
              <w:t>Continuous Access Evaluation</w:t>
            </w:r>
          </w:p>
        </w:tc>
        <w:tc>
          <w:tcPr>
            <w:tcW w:w="2880" w:type="dxa"/>
          </w:tcPr>
          <w:p w14:paraId="21AC9947" w14:textId="77777777" w:rsidR="00EE20BE" w:rsidRDefault="00000000">
            <w:r>
              <w:rPr>
                <w:sz w:val="18"/>
              </w:rPr>
              <w:t>Real-time risk scoring based on device health, location, behaviour analytics</w:t>
            </w:r>
          </w:p>
        </w:tc>
        <w:tc>
          <w:tcPr>
            <w:tcW w:w="2880" w:type="dxa"/>
          </w:tcPr>
          <w:p w14:paraId="75810B49" w14:textId="77777777" w:rsidR="00EE20BE" w:rsidRDefault="00000000">
            <w:r>
              <w:rPr>
                <w:sz w:val="18"/>
              </w:rPr>
              <w:t>Dynamic access decisions; immediate revocation on anomaly</w:t>
            </w:r>
          </w:p>
        </w:tc>
      </w:tr>
      <w:tr w:rsidR="00EE20BE" w14:paraId="72C5FA0A" w14:textId="77777777">
        <w:trPr>
          <w:jc w:val="center"/>
        </w:trPr>
        <w:tc>
          <w:tcPr>
            <w:tcW w:w="2880" w:type="dxa"/>
            <w:shd w:val="clear" w:color="auto" w:fill="F0F4F8"/>
          </w:tcPr>
          <w:p w14:paraId="3CD73EC9" w14:textId="77777777" w:rsidR="00EE20BE" w:rsidRDefault="00000000">
            <w:r>
              <w:rPr>
                <w:sz w:val="18"/>
              </w:rPr>
              <w:t>Service Account Governance</w:t>
            </w:r>
          </w:p>
        </w:tc>
        <w:tc>
          <w:tcPr>
            <w:tcW w:w="2880" w:type="dxa"/>
            <w:shd w:val="clear" w:color="auto" w:fill="F0F4F8"/>
          </w:tcPr>
          <w:p w14:paraId="289074F8" w14:textId="77777777" w:rsidR="00EE20BE" w:rsidRDefault="00000000">
            <w:r>
              <w:rPr>
                <w:sz w:val="18"/>
              </w:rPr>
              <w:t>Automated credential rotation; certificate-based authentication for APIs</w:t>
            </w:r>
          </w:p>
        </w:tc>
        <w:tc>
          <w:tcPr>
            <w:tcW w:w="2880" w:type="dxa"/>
            <w:shd w:val="clear" w:color="auto" w:fill="F0F4F8"/>
          </w:tcPr>
          <w:p w14:paraId="48E420AA" w14:textId="77777777" w:rsidR="00EE20BE" w:rsidRDefault="00000000">
            <w:r>
              <w:rPr>
                <w:sz w:val="18"/>
              </w:rPr>
              <w:t>Prevents credential sprawl and lateral movement</w:t>
            </w:r>
          </w:p>
        </w:tc>
      </w:tr>
    </w:tbl>
    <w:p w14:paraId="30163B22" w14:textId="77777777" w:rsidR="00EE20BE" w:rsidRDefault="00EE20BE"/>
    <w:p w14:paraId="5FE75799" w14:textId="77777777" w:rsidR="00EE20BE" w:rsidRDefault="00000000">
      <w:pPr>
        <w:pStyle w:val="Heading2"/>
      </w:pPr>
      <w:r>
        <w:t>6. Cloud Security Architecture (CNAPP)</w:t>
      </w:r>
    </w:p>
    <w:p w14:paraId="49187707" w14:textId="77777777" w:rsidR="00EE20BE" w:rsidRDefault="00000000">
      <w:r>
        <w:t>The Cloud-Native Application Protection Platform integrates three complementary pillars:</w:t>
      </w:r>
    </w:p>
    <w:tbl>
      <w:tblPr>
        <w:tblStyle w:val="TableGrid"/>
        <w:tblW w:w="0" w:type="auto"/>
        <w:jc w:val="center"/>
        <w:tblLook w:val="04A0" w:firstRow="1" w:lastRow="0" w:firstColumn="1" w:lastColumn="0" w:noHBand="0" w:noVBand="1"/>
      </w:tblPr>
      <w:tblGrid>
        <w:gridCol w:w="2158"/>
        <w:gridCol w:w="2157"/>
        <w:gridCol w:w="2159"/>
        <w:gridCol w:w="2156"/>
      </w:tblGrid>
      <w:tr w:rsidR="00EE20BE" w14:paraId="08784244" w14:textId="77777777">
        <w:trPr>
          <w:jc w:val="center"/>
        </w:trPr>
        <w:tc>
          <w:tcPr>
            <w:tcW w:w="2160" w:type="dxa"/>
            <w:shd w:val="clear" w:color="auto" w:fill="2E4057"/>
          </w:tcPr>
          <w:p w14:paraId="4A9B1757" w14:textId="77777777" w:rsidR="00EE20BE" w:rsidRDefault="00000000">
            <w:pPr>
              <w:jc w:val="center"/>
            </w:pPr>
            <w:r>
              <w:rPr>
                <w:b/>
                <w:color w:val="FFFFFF"/>
                <w:sz w:val="18"/>
              </w:rPr>
              <w:t>Pillar</w:t>
            </w:r>
          </w:p>
        </w:tc>
        <w:tc>
          <w:tcPr>
            <w:tcW w:w="2160" w:type="dxa"/>
            <w:shd w:val="clear" w:color="auto" w:fill="2E4057"/>
          </w:tcPr>
          <w:p w14:paraId="3ADB4F9B" w14:textId="77777777" w:rsidR="00EE20BE" w:rsidRDefault="00000000">
            <w:pPr>
              <w:jc w:val="center"/>
            </w:pPr>
            <w:r>
              <w:rPr>
                <w:b/>
                <w:color w:val="FFFFFF"/>
                <w:sz w:val="18"/>
              </w:rPr>
              <w:t>Deployment Model</w:t>
            </w:r>
          </w:p>
        </w:tc>
        <w:tc>
          <w:tcPr>
            <w:tcW w:w="2160" w:type="dxa"/>
            <w:shd w:val="clear" w:color="auto" w:fill="2E4057"/>
          </w:tcPr>
          <w:p w14:paraId="0A89AF79" w14:textId="77777777" w:rsidR="00EE20BE" w:rsidRDefault="00000000">
            <w:pPr>
              <w:jc w:val="center"/>
            </w:pPr>
            <w:r>
              <w:rPr>
                <w:b/>
                <w:color w:val="FFFFFF"/>
                <w:sz w:val="18"/>
              </w:rPr>
              <w:t>Capabilities</w:t>
            </w:r>
          </w:p>
        </w:tc>
        <w:tc>
          <w:tcPr>
            <w:tcW w:w="2160" w:type="dxa"/>
            <w:shd w:val="clear" w:color="auto" w:fill="2E4057"/>
          </w:tcPr>
          <w:p w14:paraId="5F1D7758" w14:textId="77777777" w:rsidR="00EE20BE" w:rsidRDefault="00000000">
            <w:pPr>
              <w:jc w:val="center"/>
            </w:pPr>
            <w:r>
              <w:rPr>
                <w:b/>
                <w:color w:val="FFFFFF"/>
                <w:sz w:val="18"/>
              </w:rPr>
              <w:t>Phase</w:t>
            </w:r>
          </w:p>
        </w:tc>
      </w:tr>
      <w:tr w:rsidR="00EE20BE" w14:paraId="3D58E0D3" w14:textId="77777777">
        <w:trPr>
          <w:jc w:val="center"/>
        </w:trPr>
        <w:tc>
          <w:tcPr>
            <w:tcW w:w="2160" w:type="dxa"/>
            <w:shd w:val="clear" w:color="auto" w:fill="F0F4F8"/>
          </w:tcPr>
          <w:p w14:paraId="0892CF46" w14:textId="77777777" w:rsidR="00EE20BE" w:rsidRDefault="00000000">
            <w:r>
              <w:rPr>
                <w:sz w:val="18"/>
              </w:rPr>
              <w:t>CSPM (Cloud Security Posture Mgmt)</w:t>
            </w:r>
          </w:p>
        </w:tc>
        <w:tc>
          <w:tcPr>
            <w:tcW w:w="2160" w:type="dxa"/>
            <w:shd w:val="clear" w:color="auto" w:fill="F0F4F8"/>
          </w:tcPr>
          <w:p w14:paraId="0326561F" w14:textId="77777777" w:rsidR="00EE20BE" w:rsidRDefault="00000000">
            <w:r>
              <w:rPr>
                <w:sz w:val="18"/>
              </w:rPr>
              <w:t>Agentless</w:t>
            </w:r>
          </w:p>
        </w:tc>
        <w:tc>
          <w:tcPr>
            <w:tcW w:w="2160" w:type="dxa"/>
            <w:shd w:val="clear" w:color="auto" w:fill="F0F4F8"/>
          </w:tcPr>
          <w:p w14:paraId="70C2A4BF" w14:textId="77777777" w:rsidR="00EE20BE" w:rsidRDefault="00000000">
            <w:r>
              <w:rPr>
                <w:sz w:val="18"/>
              </w:rPr>
              <w:t>Continuous configuration monitoring; CIS benchmark compliance scanning; misconfiguration alerts</w:t>
            </w:r>
          </w:p>
        </w:tc>
        <w:tc>
          <w:tcPr>
            <w:tcW w:w="2160" w:type="dxa"/>
            <w:shd w:val="clear" w:color="auto" w:fill="F0F4F8"/>
          </w:tcPr>
          <w:p w14:paraId="76372A26" w14:textId="77777777" w:rsidR="00EE20BE" w:rsidRDefault="00000000">
            <w:r>
              <w:rPr>
                <w:sz w:val="18"/>
              </w:rPr>
              <w:t>Phase 1</w:t>
            </w:r>
          </w:p>
        </w:tc>
      </w:tr>
      <w:tr w:rsidR="00EE20BE" w14:paraId="77A4220B" w14:textId="77777777">
        <w:trPr>
          <w:jc w:val="center"/>
        </w:trPr>
        <w:tc>
          <w:tcPr>
            <w:tcW w:w="2160" w:type="dxa"/>
          </w:tcPr>
          <w:p w14:paraId="15B5E395" w14:textId="77777777" w:rsidR="00EE20BE" w:rsidRDefault="00000000">
            <w:r>
              <w:rPr>
                <w:sz w:val="18"/>
              </w:rPr>
              <w:lastRenderedPageBreak/>
              <w:t>CWPP (Cloud Workload Protection)</w:t>
            </w:r>
          </w:p>
        </w:tc>
        <w:tc>
          <w:tcPr>
            <w:tcW w:w="2160" w:type="dxa"/>
          </w:tcPr>
          <w:p w14:paraId="7DE8984D" w14:textId="77777777" w:rsidR="00EE20BE" w:rsidRDefault="00000000">
            <w:r>
              <w:rPr>
                <w:sz w:val="18"/>
              </w:rPr>
              <w:t>Agent-based</w:t>
            </w:r>
          </w:p>
        </w:tc>
        <w:tc>
          <w:tcPr>
            <w:tcW w:w="2160" w:type="dxa"/>
          </w:tcPr>
          <w:p w14:paraId="5F27C59F" w14:textId="77777777" w:rsidR="00EE20BE" w:rsidRDefault="00000000">
            <w:r>
              <w:rPr>
                <w:sz w:val="18"/>
              </w:rPr>
              <w:t>Runtime threat detection; vulnerability scanning; container/serverless protection</w:t>
            </w:r>
          </w:p>
        </w:tc>
        <w:tc>
          <w:tcPr>
            <w:tcW w:w="2160" w:type="dxa"/>
          </w:tcPr>
          <w:p w14:paraId="13D54426" w14:textId="77777777" w:rsidR="00EE20BE" w:rsidRDefault="00000000">
            <w:r>
              <w:rPr>
                <w:sz w:val="18"/>
              </w:rPr>
              <w:t>Phase 2</w:t>
            </w:r>
          </w:p>
        </w:tc>
      </w:tr>
      <w:tr w:rsidR="00EE20BE" w14:paraId="22178ACF" w14:textId="77777777">
        <w:trPr>
          <w:jc w:val="center"/>
        </w:trPr>
        <w:tc>
          <w:tcPr>
            <w:tcW w:w="2160" w:type="dxa"/>
            <w:shd w:val="clear" w:color="auto" w:fill="F0F4F8"/>
          </w:tcPr>
          <w:p w14:paraId="6EBB01B2" w14:textId="77777777" w:rsidR="00EE20BE" w:rsidRDefault="00000000">
            <w:r>
              <w:rPr>
                <w:sz w:val="18"/>
              </w:rPr>
              <w:t>CIEM (Cloud Infrastructure Entitlement Mgmt)</w:t>
            </w:r>
          </w:p>
        </w:tc>
        <w:tc>
          <w:tcPr>
            <w:tcW w:w="2160" w:type="dxa"/>
            <w:shd w:val="clear" w:color="auto" w:fill="F0F4F8"/>
          </w:tcPr>
          <w:p w14:paraId="173CF3B1" w14:textId="77777777" w:rsidR="00EE20BE" w:rsidRDefault="00000000">
            <w:r>
              <w:rPr>
                <w:sz w:val="18"/>
              </w:rPr>
              <w:t>API-integrated</w:t>
            </w:r>
          </w:p>
        </w:tc>
        <w:tc>
          <w:tcPr>
            <w:tcW w:w="2160" w:type="dxa"/>
            <w:shd w:val="clear" w:color="auto" w:fill="F0F4F8"/>
          </w:tcPr>
          <w:p w14:paraId="185D81AE" w14:textId="77777777" w:rsidR="00EE20BE" w:rsidRDefault="00000000">
            <w:r>
              <w:rPr>
                <w:sz w:val="18"/>
              </w:rPr>
              <w:t>Least-privilege enforcement; unused permission detection; cross-cloud identity mapping</w:t>
            </w:r>
          </w:p>
        </w:tc>
        <w:tc>
          <w:tcPr>
            <w:tcW w:w="2160" w:type="dxa"/>
            <w:shd w:val="clear" w:color="auto" w:fill="F0F4F8"/>
          </w:tcPr>
          <w:p w14:paraId="5644A269" w14:textId="77777777" w:rsidR="00EE20BE" w:rsidRDefault="00000000">
            <w:r>
              <w:rPr>
                <w:sz w:val="18"/>
              </w:rPr>
              <w:t>Phase 2</w:t>
            </w:r>
          </w:p>
        </w:tc>
      </w:tr>
    </w:tbl>
    <w:p w14:paraId="7C34F9EB" w14:textId="77777777" w:rsidR="00EE20BE" w:rsidRDefault="00EE20BE"/>
    <w:p w14:paraId="17649A98" w14:textId="77777777" w:rsidR="00EE20BE" w:rsidRDefault="00000000">
      <w:pPr>
        <w:pStyle w:val="Heading2"/>
      </w:pPr>
      <w:r>
        <w:t>7. Network Security Zones</w:t>
      </w:r>
    </w:p>
    <w:tbl>
      <w:tblPr>
        <w:tblStyle w:val="TableGrid"/>
        <w:tblW w:w="0" w:type="auto"/>
        <w:jc w:val="center"/>
        <w:tblLook w:val="04A0" w:firstRow="1" w:lastRow="0" w:firstColumn="1" w:lastColumn="0" w:noHBand="0" w:noVBand="1"/>
      </w:tblPr>
      <w:tblGrid>
        <w:gridCol w:w="2876"/>
        <w:gridCol w:w="2877"/>
        <w:gridCol w:w="2877"/>
      </w:tblGrid>
      <w:tr w:rsidR="00EE20BE" w14:paraId="2B56BF5B" w14:textId="77777777">
        <w:trPr>
          <w:jc w:val="center"/>
        </w:trPr>
        <w:tc>
          <w:tcPr>
            <w:tcW w:w="2880" w:type="dxa"/>
            <w:shd w:val="clear" w:color="auto" w:fill="2E4057"/>
          </w:tcPr>
          <w:p w14:paraId="098B7431" w14:textId="77777777" w:rsidR="00EE20BE" w:rsidRDefault="00000000">
            <w:pPr>
              <w:jc w:val="center"/>
            </w:pPr>
            <w:r>
              <w:rPr>
                <w:b/>
                <w:color w:val="FFFFFF"/>
                <w:sz w:val="18"/>
              </w:rPr>
              <w:t>Security Zone</w:t>
            </w:r>
          </w:p>
        </w:tc>
        <w:tc>
          <w:tcPr>
            <w:tcW w:w="2880" w:type="dxa"/>
            <w:shd w:val="clear" w:color="auto" w:fill="2E4057"/>
          </w:tcPr>
          <w:p w14:paraId="45F52D67" w14:textId="77777777" w:rsidR="00EE20BE" w:rsidRDefault="00000000">
            <w:pPr>
              <w:jc w:val="center"/>
            </w:pPr>
            <w:r>
              <w:rPr>
                <w:b/>
                <w:color w:val="FFFFFF"/>
                <w:sz w:val="18"/>
              </w:rPr>
              <w:t>Key Controls</w:t>
            </w:r>
          </w:p>
        </w:tc>
        <w:tc>
          <w:tcPr>
            <w:tcW w:w="2880" w:type="dxa"/>
            <w:shd w:val="clear" w:color="auto" w:fill="2E4057"/>
          </w:tcPr>
          <w:p w14:paraId="69DBABB2" w14:textId="77777777" w:rsidR="00EE20BE" w:rsidRDefault="00000000">
            <w:pPr>
              <w:jc w:val="center"/>
            </w:pPr>
            <w:r>
              <w:rPr>
                <w:b/>
                <w:color w:val="FFFFFF"/>
                <w:sz w:val="18"/>
              </w:rPr>
              <w:t>Purpose</w:t>
            </w:r>
          </w:p>
        </w:tc>
      </w:tr>
      <w:tr w:rsidR="00EE20BE" w14:paraId="560A9264" w14:textId="77777777">
        <w:trPr>
          <w:jc w:val="center"/>
        </w:trPr>
        <w:tc>
          <w:tcPr>
            <w:tcW w:w="2880" w:type="dxa"/>
            <w:shd w:val="clear" w:color="auto" w:fill="F0F4F8"/>
          </w:tcPr>
          <w:p w14:paraId="39F7CAEB" w14:textId="77777777" w:rsidR="00EE20BE" w:rsidRDefault="00000000">
            <w:r>
              <w:rPr>
                <w:sz w:val="18"/>
              </w:rPr>
              <w:t>DMZ / Edge</w:t>
            </w:r>
          </w:p>
        </w:tc>
        <w:tc>
          <w:tcPr>
            <w:tcW w:w="2880" w:type="dxa"/>
            <w:shd w:val="clear" w:color="auto" w:fill="F0F4F8"/>
          </w:tcPr>
          <w:p w14:paraId="7230706F" w14:textId="77777777" w:rsidR="00EE20BE" w:rsidRDefault="00000000">
            <w:r>
              <w:rPr>
                <w:sz w:val="18"/>
              </w:rPr>
              <w:t>WAF, API Gateway, CDN</w:t>
            </w:r>
          </w:p>
        </w:tc>
        <w:tc>
          <w:tcPr>
            <w:tcW w:w="2880" w:type="dxa"/>
            <w:shd w:val="clear" w:color="auto" w:fill="F0F4F8"/>
          </w:tcPr>
          <w:p w14:paraId="47565513" w14:textId="77777777" w:rsidR="00EE20BE" w:rsidRDefault="00000000">
            <w:r>
              <w:rPr>
                <w:sz w:val="18"/>
              </w:rPr>
              <w:t>Internet-facing services; DDoS protection; rate limiting</w:t>
            </w:r>
          </w:p>
        </w:tc>
      </w:tr>
      <w:tr w:rsidR="00EE20BE" w14:paraId="4FDC1A0B" w14:textId="77777777">
        <w:trPr>
          <w:jc w:val="center"/>
        </w:trPr>
        <w:tc>
          <w:tcPr>
            <w:tcW w:w="2880" w:type="dxa"/>
          </w:tcPr>
          <w:p w14:paraId="6E9EF405" w14:textId="77777777" w:rsidR="00EE20BE" w:rsidRDefault="00000000">
            <w:r>
              <w:rPr>
                <w:sz w:val="18"/>
              </w:rPr>
              <w:t>Application Tier</w:t>
            </w:r>
          </w:p>
        </w:tc>
        <w:tc>
          <w:tcPr>
            <w:tcW w:w="2880" w:type="dxa"/>
          </w:tcPr>
          <w:p w14:paraId="63046105" w14:textId="77777777" w:rsidR="00EE20BE" w:rsidRDefault="00000000">
            <w:r>
              <w:rPr>
                <w:sz w:val="18"/>
              </w:rPr>
              <w:t>Microsegmented VPCs</w:t>
            </w:r>
          </w:p>
        </w:tc>
        <w:tc>
          <w:tcPr>
            <w:tcW w:w="2880" w:type="dxa"/>
          </w:tcPr>
          <w:p w14:paraId="3A0AEABD" w14:textId="77777777" w:rsidR="00EE20BE" w:rsidRDefault="00000000">
            <w:r>
              <w:rPr>
                <w:sz w:val="18"/>
              </w:rPr>
              <w:t>Banking application workloads; east-west traffic inspection</w:t>
            </w:r>
          </w:p>
        </w:tc>
      </w:tr>
      <w:tr w:rsidR="00EE20BE" w14:paraId="68461976" w14:textId="77777777">
        <w:trPr>
          <w:jc w:val="center"/>
        </w:trPr>
        <w:tc>
          <w:tcPr>
            <w:tcW w:w="2880" w:type="dxa"/>
            <w:shd w:val="clear" w:color="auto" w:fill="F0F4F8"/>
          </w:tcPr>
          <w:p w14:paraId="49DFF97A" w14:textId="77777777" w:rsidR="00EE20BE" w:rsidRDefault="00000000">
            <w:r>
              <w:rPr>
                <w:sz w:val="18"/>
              </w:rPr>
              <w:t>Data Tier</w:t>
            </w:r>
          </w:p>
        </w:tc>
        <w:tc>
          <w:tcPr>
            <w:tcW w:w="2880" w:type="dxa"/>
            <w:shd w:val="clear" w:color="auto" w:fill="F0F4F8"/>
          </w:tcPr>
          <w:p w14:paraId="3072A339" w14:textId="77777777" w:rsidR="00EE20BE" w:rsidRDefault="00000000">
            <w:r>
              <w:rPr>
                <w:sz w:val="18"/>
              </w:rPr>
              <w:t>Encrypted storage; HSM-backed key management</w:t>
            </w:r>
          </w:p>
        </w:tc>
        <w:tc>
          <w:tcPr>
            <w:tcW w:w="2880" w:type="dxa"/>
            <w:shd w:val="clear" w:color="auto" w:fill="F0F4F8"/>
          </w:tcPr>
          <w:p w14:paraId="38EC9CBF" w14:textId="77777777" w:rsidR="00EE20BE" w:rsidRDefault="00000000">
            <w:r>
              <w:rPr>
                <w:sz w:val="18"/>
              </w:rPr>
              <w:t>Customer databases; PII repositories; backup vaults</w:t>
            </w:r>
          </w:p>
        </w:tc>
      </w:tr>
      <w:tr w:rsidR="00EE20BE" w14:paraId="1E2EF41F" w14:textId="77777777">
        <w:trPr>
          <w:jc w:val="center"/>
        </w:trPr>
        <w:tc>
          <w:tcPr>
            <w:tcW w:w="2880" w:type="dxa"/>
          </w:tcPr>
          <w:p w14:paraId="644BA80B" w14:textId="77777777" w:rsidR="00EE20BE" w:rsidRDefault="00000000">
            <w:r>
              <w:rPr>
                <w:sz w:val="18"/>
              </w:rPr>
              <w:t>Management Plane</w:t>
            </w:r>
          </w:p>
        </w:tc>
        <w:tc>
          <w:tcPr>
            <w:tcW w:w="2880" w:type="dxa"/>
          </w:tcPr>
          <w:p w14:paraId="457AA894" w14:textId="77777777" w:rsidR="00EE20BE" w:rsidRDefault="00000000">
            <w:r>
              <w:rPr>
                <w:sz w:val="18"/>
              </w:rPr>
              <w:t>Bastion hosts; PAM-controlled access</w:t>
            </w:r>
          </w:p>
        </w:tc>
        <w:tc>
          <w:tcPr>
            <w:tcW w:w="2880" w:type="dxa"/>
          </w:tcPr>
          <w:p w14:paraId="0DA215E7" w14:textId="77777777" w:rsidR="00EE20BE" w:rsidRDefault="00000000">
            <w:r>
              <w:rPr>
                <w:sz w:val="18"/>
              </w:rPr>
              <w:t>Infrastructure administration; CI/CD pipelines; SIEM</w:t>
            </w:r>
          </w:p>
        </w:tc>
      </w:tr>
      <w:tr w:rsidR="00EE20BE" w14:paraId="37C22FB8" w14:textId="77777777">
        <w:trPr>
          <w:jc w:val="center"/>
        </w:trPr>
        <w:tc>
          <w:tcPr>
            <w:tcW w:w="2880" w:type="dxa"/>
            <w:shd w:val="clear" w:color="auto" w:fill="F0F4F8"/>
          </w:tcPr>
          <w:p w14:paraId="0A57FB64" w14:textId="77777777" w:rsidR="00EE20BE" w:rsidRDefault="00000000">
            <w:r>
              <w:rPr>
                <w:sz w:val="18"/>
              </w:rPr>
              <w:t>SOC / Monitoring</w:t>
            </w:r>
          </w:p>
        </w:tc>
        <w:tc>
          <w:tcPr>
            <w:tcW w:w="2880" w:type="dxa"/>
            <w:shd w:val="clear" w:color="auto" w:fill="F0F4F8"/>
          </w:tcPr>
          <w:p w14:paraId="6C53F2A8" w14:textId="77777777" w:rsidR="00EE20BE" w:rsidRDefault="00000000">
            <w:r>
              <w:rPr>
                <w:sz w:val="18"/>
              </w:rPr>
              <w:t>Isolated SIEM cluster; threat intelligence feeds</w:t>
            </w:r>
          </w:p>
        </w:tc>
        <w:tc>
          <w:tcPr>
            <w:tcW w:w="2880" w:type="dxa"/>
            <w:shd w:val="clear" w:color="auto" w:fill="F0F4F8"/>
          </w:tcPr>
          <w:p w14:paraId="6B91143C" w14:textId="77777777" w:rsidR="00EE20BE" w:rsidRDefault="00000000">
            <w:r>
              <w:rPr>
                <w:sz w:val="18"/>
              </w:rPr>
              <w:t>Security operations; log aggregation; incident response</w:t>
            </w:r>
          </w:p>
        </w:tc>
      </w:tr>
    </w:tbl>
    <w:p w14:paraId="2FAD6B4E" w14:textId="77777777" w:rsidR="00EE20BE" w:rsidRDefault="00EE20BE"/>
    <w:p w14:paraId="2AFA516D" w14:textId="77777777" w:rsidR="00EE20BE" w:rsidRDefault="00000000">
      <w:pPr>
        <w:pStyle w:val="Heading2"/>
      </w:pPr>
      <w:r>
        <w:t>8. Incident Response Integration</w:t>
      </w:r>
    </w:p>
    <w:p w14:paraId="60127E04" w14:textId="77777777" w:rsidR="00EE20BE" w:rsidRDefault="00000000">
      <w:r>
        <w:t>The incident response architecture maps directly to NIST CSF functions and DORA incident reporting requirements:</w:t>
      </w:r>
    </w:p>
    <w:tbl>
      <w:tblPr>
        <w:tblStyle w:val="TableGrid"/>
        <w:tblW w:w="0" w:type="auto"/>
        <w:jc w:val="center"/>
        <w:tblLook w:val="04A0" w:firstRow="1" w:lastRow="0" w:firstColumn="1" w:lastColumn="0" w:noHBand="0" w:noVBand="1"/>
      </w:tblPr>
      <w:tblGrid>
        <w:gridCol w:w="2876"/>
        <w:gridCol w:w="2877"/>
        <w:gridCol w:w="2877"/>
      </w:tblGrid>
      <w:tr w:rsidR="00EE20BE" w14:paraId="4F618653" w14:textId="77777777">
        <w:trPr>
          <w:jc w:val="center"/>
        </w:trPr>
        <w:tc>
          <w:tcPr>
            <w:tcW w:w="2880" w:type="dxa"/>
            <w:shd w:val="clear" w:color="auto" w:fill="2E4057"/>
          </w:tcPr>
          <w:p w14:paraId="40793ADE" w14:textId="77777777" w:rsidR="00EE20BE" w:rsidRDefault="00000000">
            <w:pPr>
              <w:jc w:val="center"/>
            </w:pPr>
            <w:r>
              <w:rPr>
                <w:b/>
                <w:color w:val="FFFFFF"/>
                <w:sz w:val="18"/>
              </w:rPr>
              <w:t>Phase (Framework Mapping)</w:t>
            </w:r>
          </w:p>
        </w:tc>
        <w:tc>
          <w:tcPr>
            <w:tcW w:w="2880" w:type="dxa"/>
            <w:shd w:val="clear" w:color="auto" w:fill="2E4057"/>
          </w:tcPr>
          <w:p w14:paraId="05D42135" w14:textId="77777777" w:rsidR="00EE20BE" w:rsidRDefault="00000000">
            <w:pPr>
              <w:jc w:val="center"/>
            </w:pPr>
            <w:r>
              <w:rPr>
                <w:b/>
                <w:color w:val="FFFFFF"/>
                <w:sz w:val="18"/>
              </w:rPr>
              <w:t>Key Activities</w:t>
            </w:r>
          </w:p>
        </w:tc>
        <w:tc>
          <w:tcPr>
            <w:tcW w:w="2880" w:type="dxa"/>
            <w:shd w:val="clear" w:color="auto" w:fill="2E4057"/>
          </w:tcPr>
          <w:p w14:paraId="360A9777" w14:textId="77777777" w:rsidR="00EE20BE" w:rsidRDefault="00000000">
            <w:pPr>
              <w:jc w:val="center"/>
            </w:pPr>
            <w:r>
              <w:rPr>
                <w:b/>
                <w:color w:val="FFFFFF"/>
                <w:sz w:val="18"/>
              </w:rPr>
              <w:t>Target Metrics</w:t>
            </w:r>
          </w:p>
        </w:tc>
      </w:tr>
      <w:tr w:rsidR="00EE20BE" w14:paraId="5D5C14D0" w14:textId="77777777">
        <w:trPr>
          <w:jc w:val="center"/>
        </w:trPr>
        <w:tc>
          <w:tcPr>
            <w:tcW w:w="2880" w:type="dxa"/>
            <w:shd w:val="clear" w:color="auto" w:fill="F0F4F8"/>
          </w:tcPr>
          <w:p w14:paraId="6B6AECAD" w14:textId="77777777" w:rsidR="00EE20BE" w:rsidRDefault="00000000">
            <w:r>
              <w:rPr>
                <w:sz w:val="18"/>
              </w:rPr>
              <w:t>Detect (NIST DE)</w:t>
            </w:r>
          </w:p>
        </w:tc>
        <w:tc>
          <w:tcPr>
            <w:tcW w:w="2880" w:type="dxa"/>
            <w:shd w:val="clear" w:color="auto" w:fill="F0F4F8"/>
          </w:tcPr>
          <w:p w14:paraId="0006907A" w14:textId="77777777" w:rsidR="00EE20BE" w:rsidRDefault="00000000">
            <w:r>
              <w:rPr>
                <w:sz w:val="18"/>
              </w:rPr>
              <w:t>SIEM correlation rules; UEBA behavioural analytics; CASB anomaly detection</w:t>
            </w:r>
          </w:p>
        </w:tc>
        <w:tc>
          <w:tcPr>
            <w:tcW w:w="2880" w:type="dxa"/>
            <w:shd w:val="clear" w:color="auto" w:fill="F0F4F8"/>
          </w:tcPr>
          <w:p w14:paraId="16E153E4" w14:textId="77777777" w:rsidR="00EE20BE" w:rsidRDefault="00000000">
            <w:r>
              <w:rPr>
                <w:sz w:val="18"/>
              </w:rPr>
              <w:t>&lt; 15 minutes mean time to detect (MTTD)</w:t>
            </w:r>
          </w:p>
        </w:tc>
      </w:tr>
      <w:tr w:rsidR="00EE20BE" w14:paraId="38E7A93E" w14:textId="77777777">
        <w:trPr>
          <w:jc w:val="center"/>
        </w:trPr>
        <w:tc>
          <w:tcPr>
            <w:tcW w:w="2880" w:type="dxa"/>
          </w:tcPr>
          <w:p w14:paraId="309765E5" w14:textId="77777777" w:rsidR="00EE20BE" w:rsidRDefault="00000000">
            <w:r>
              <w:rPr>
                <w:sz w:val="18"/>
              </w:rPr>
              <w:t>Analyse (NIST RS.AN)</w:t>
            </w:r>
          </w:p>
        </w:tc>
        <w:tc>
          <w:tcPr>
            <w:tcW w:w="2880" w:type="dxa"/>
          </w:tcPr>
          <w:p w14:paraId="3B2CCCE5" w14:textId="77777777" w:rsidR="00EE20BE" w:rsidRDefault="00000000">
            <w:r>
              <w:rPr>
                <w:sz w:val="18"/>
              </w:rPr>
              <w:t>Automated triage; threat intelligence enrichment; forensic data capture</w:t>
            </w:r>
          </w:p>
        </w:tc>
        <w:tc>
          <w:tcPr>
            <w:tcW w:w="2880" w:type="dxa"/>
          </w:tcPr>
          <w:p w14:paraId="40BD4AB4" w14:textId="77777777" w:rsidR="00EE20BE" w:rsidRDefault="00000000">
            <w:r>
              <w:rPr>
                <w:sz w:val="18"/>
              </w:rPr>
              <w:t>&lt; 30 minutes initial assessment</w:t>
            </w:r>
          </w:p>
        </w:tc>
      </w:tr>
      <w:tr w:rsidR="00EE20BE" w14:paraId="77C365D3" w14:textId="77777777">
        <w:trPr>
          <w:jc w:val="center"/>
        </w:trPr>
        <w:tc>
          <w:tcPr>
            <w:tcW w:w="2880" w:type="dxa"/>
            <w:shd w:val="clear" w:color="auto" w:fill="F0F4F8"/>
          </w:tcPr>
          <w:p w14:paraId="2A547ECD" w14:textId="77777777" w:rsidR="00EE20BE" w:rsidRDefault="00000000">
            <w:r>
              <w:rPr>
                <w:sz w:val="18"/>
              </w:rPr>
              <w:lastRenderedPageBreak/>
              <w:t>Contain (NIST RS.MI)</w:t>
            </w:r>
          </w:p>
        </w:tc>
        <w:tc>
          <w:tcPr>
            <w:tcW w:w="2880" w:type="dxa"/>
            <w:shd w:val="clear" w:color="auto" w:fill="F0F4F8"/>
          </w:tcPr>
          <w:p w14:paraId="069138B2" w14:textId="77777777" w:rsidR="00EE20BE" w:rsidRDefault="00000000">
            <w:r>
              <w:rPr>
                <w:sz w:val="18"/>
              </w:rPr>
              <w:t>Automated network isolation; credential revocation; endpoint quarantine</w:t>
            </w:r>
          </w:p>
        </w:tc>
        <w:tc>
          <w:tcPr>
            <w:tcW w:w="2880" w:type="dxa"/>
            <w:shd w:val="clear" w:color="auto" w:fill="F0F4F8"/>
          </w:tcPr>
          <w:p w14:paraId="0C38BD50" w14:textId="77777777" w:rsidR="00EE20BE" w:rsidRDefault="00000000">
            <w:r>
              <w:rPr>
                <w:sz w:val="18"/>
              </w:rPr>
              <w:t>&lt; 1 hour containment for critical incidents</w:t>
            </w:r>
          </w:p>
        </w:tc>
      </w:tr>
      <w:tr w:rsidR="00EE20BE" w14:paraId="2520E6E1" w14:textId="77777777">
        <w:trPr>
          <w:jc w:val="center"/>
        </w:trPr>
        <w:tc>
          <w:tcPr>
            <w:tcW w:w="2880" w:type="dxa"/>
          </w:tcPr>
          <w:p w14:paraId="1E263F99" w14:textId="77777777" w:rsidR="00EE20BE" w:rsidRDefault="00000000">
            <w:r>
              <w:rPr>
                <w:sz w:val="18"/>
              </w:rPr>
              <w:t>Report (DORA Art. 19)</w:t>
            </w:r>
          </w:p>
        </w:tc>
        <w:tc>
          <w:tcPr>
            <w:tcW w:w="2880" w:type="dxa"/>
          </w:tcPr>
          <w:p w14:paraId="3C62924B" w14:textId="77777777" w:rsidR="00EE20BE" w:rsidRDefault="00000000">
            <w:r>
              <w:rPr>
                <w:sz w:val="18"/>
              </w:rPr>
              <w:t>Automated regulatory notification workflow; FCA/ECB template generation</w:t>
            </w:r>
          </w:p>
        </w:tc>
        <w:tc>
          <w:tcPr>
            <w:tcW w:w="2880" w:type="dxa"/>
          </w:tcPr>
          <w:p w14:paraId="2C932C8D" w14:textId="77777777" w:rsidR="00EE20BE" w:rsidRDefault="00000000">
            <w:r>
              <w:rPr>
                <w:sz w:val="18"/>
              </w:rPr>
              <w:t>72-hour GDPR notification; DORA major incident report</w:t>
            </w:r>
          </w:p>
        </w:tc>
      </w:tr>
      <w:tr w:rsidR="00EE20BE" w14:paraId="05F29B02" w14:textId="77777777">
        <w:trPr>
          <w:jc w:val="center"/>
        </w:trPr>
        <w:tc>
          <w:tcPr>
            <w:tcW w:w="2880" w:type="dxa"/>
            <w:shd w:val="clear" w:color="auto" w:fill="F0F4F8"/>
          </w:tcPr>
          <w:p w14:paraId="7A460E6A" w14:textId="77777777" w:rsidR="00EE20BE" w:rsidRDefault="00000000">
            <w:r>
              <w:rPr>
                <w:sz w:val="18"/>
              </w:rPr>
              <w:t>Recover (NIST RC)</w:t>
            </w:r>
          </w:p>
        </w:tc>
        <w:tc>
          <w:tcPr>
            <w:tcW w:w="2880" w:type="dxa"/>
            <w:shd w:val="clear" w:color="auto" w:fill="F0F4F8"/>
          </w:tcPr>
          <w:p w14:paraId="6CA4000D" w14:textId="77777777" w:rsidR="00EE20BE" w:rsidRDefault="00000000">
            <w:r>
              <w:rPr>
                <w:sz w:val="18"/>
              </w:rPr>
              <w:t>BCP/DRP activation; failover to secondary region; data restoration from backup</w:t>
            </w:r>
          </w:p>
        </w:tc>
        <w:tc>
          <w:tcPr>
            <w:tcW w:w="2880" w:type="dxa"/>
            <w:shd w:val="clear" w:color="auto" w:fill="F0F4F8"/>
          </w:tcPr>
          <w:p w14:paraId="6AA2E330" w14:textId="77777777" w:rsidR="00EE20BE" w:rsidRDefault="00000000">
            <w:r>
              <w:rPr>
                <w:sz w:val="18"/>
              </w:rPr>
              <w:t>Per RTO/RPO targets in Table 3 of main report</w:t>
            </w:r>
          </w:p>
        </w:tc>
      </w:tr>
      <w:tr w:rsidR="00EE20BE" w14:paraId="2D70DB6F" w14:textId="77777777">
        <w:trPr>
          <w:jc w:val="center"/>
        </w:trPr>
        <w:tc>
          <w:tcPr>
            <w:tcW w:w="2880" w:type="dxa"/>
          </w:tcPr>
          <w:p w14:paraId="473144CA" w14:textId="77777777" w:rsidR="00EE20BE" w:rsidRDefault="00000000">
            <w:r>
              <w:rPr>
                <w:sz w:val="18"/>
              </w:rPr>
              <w:t>Learn (NIST RS.IM)</w:t>
            </w:r>
          </w:p>
        </w:tc>
        <w:tc>
          <w:tcPr>
            <w:tcW w:w="2880" w:type="dxa"/>
          </w:tcPr>
          <w:p w14:paraId="4828C18A" w14:textId="77777777" w:rsidR="00EE20BE" w:rsidRDefault="00000000">
            <w:r>
              <w:rPr>
                <w:sz w:val="18"/>
              </w:rPr>
              <w:t>Post-incident review; control gap analysis; framework update</w:t>
            </w:r>
          </w:p>
        </w:tc>
        <w:tc>
          <w:tcPr>
            <w:tcW w:w="2880" w:type="dxa"/>
          </w:tcPr>
          <w:p w14:paraId="5E95A1E6" w14:textId="77777777" w:rsidR="00EE20BE" w:rsidRDefault="00000000">
            <w:r>
              <w:rPr>
                <w:sz w:val="18"/>
              </w:rPr>
              <w:t>Continuous improvement cycle</w:t>
            </w:r>
          </w:p>
        </w:tc>
      </w:tr>
    </w:tbl>
    <w:p w14:paraId="5D9EF3DC" w14:textId="77777777" w:rsidR="00BB4D31" w:rsidRDefault="00BB4D31"/>
    <w:sectPr w:rsidR="00BB4D31"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65483" w14:textId="77777777" w:rsidR="00722CBB" w:rsidRDefault="00722CBB" w:rsidP="0020184F">
      <w:pPr>
        <w:spacing w:before="0" w:after="0" w:line="240" w:lineRule="auto"/>
      </w:pPr>
      <w:r>
        <w:separator/>
      </w:r>
    </w:p>
  </w:endnote>
  <w:endnote w:type="continuationSeparator" w:id="0">
    <w:p w14:paraId="3A3967AB" w14:textId="77777777" w:rsidR="00722CBB" w:rsidRDefault="00722CBB" w:rsidP="0020184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Courier">
    <w:panose1 w:val="02070309020205020404"/>
    <w:charset w:val="00"/>
    <w:family w:val="auto"/>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351"/>
      <w:gridCol w:w="4289"/>
    </w:tblGrid>
    <w:tr w:rsidR="0020184F" w14:paraId="45261FF5" w14:textId="77777777">
      <w:trPr>
        <w:trHeight w:hRule="exact" w:val="115"/>
        <w:jc w:val="center"/>
      </w:trPr>
      <w:tc>
        <w:tcPr>
          <w:tcW w:w="4686" w:type="dxa"/>
          <w:shd w:val="clear" w:color="auto" w:fill="156082" w:themeFill="accent1"/>
          <w:tcMar>
            <w:top w:w="0" w:type="dxa"/>
            <w:bottom w:w="0" w:type="dxa"/>
          </w:tcMar>
        </w:tcPr>
        <w:p w14:paraId="5F9C6466" w14:textId="77777777" w:rsidR="0020184F" w:rsidRDefault="0020184F">
          <w:pPr>
            <w:pStyle w:val="Header"/>
            <w:tabs>
              <w:tab w:val="clear" w:pos="4680"/>
              <w:tab w:val="clear" w:pos="9360"/>
            </w:tabs>
            <w:rPr>
              <w:caps/>
              <w:sz w:val="18"/>
            </w:rPr>
          </w:pPr>
        </w:p>
      </w:tc>
      <w:tc>
        <w:tcPr>
          <w:tcW w:w="4674" w:type="dxa"/>
          <w:shd w:val="clear" w:color="auto" w:fill="156082" w:themeFill="accent1"/>
          <w:tcMar>
            <w:top w:w="0" w:type="dxa"/>
            <w:bottom w:w="0" w:type="dxa"/>
          </w:tcMar>
        </w:tcPr>
        <w:p w14:paraId="0DC4776C" w14:textId="77777777" w:rsidR="0020184F" w:rsidRDefault="0020184F">
          <w:pPr>
            <w:pStyle w:val="Header"/>
            <w:tabs>
              <w:tab w:val="clear" w:pos="4680"/>
              <w:tab w:val="clear" w:pos="9360"/>
            </w:tabs>
            <w:jc w:val="right"/>
            <w:rPr>
              <w:caps/>
              <w:sz w:val="18"/>
            </w:rPr>
          </w:pPr>
        </w:p>
      </w:tc>
    </w:tr>
    <w:tr w:rsidR="0020184F" w14:paraId="5F15663C" w14:textId="77777777">
      <w:trPr>
        <w:jc w:val="center"/>
      </w:trPr>
      <w:sdt>
        <w:sdtPr>
          <w:rPr>
            <w:caps/>
            <w:color w:val="808080" w:themeColor="background1" w:themeShade="80"/>
            <w:sz w:val="18"/>
            <w:szCs w:val="18"/>
          </w:rPr>
          <w:alias w:val="Author"/>
          <w:tag w:val=""/>
          <w:id w:val="1534151868"/>
          <w:placeholder>
            <w:docPart w:val="4F8C47111EFFCB4092F153653B3C8895"/>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vAlign w:val="center"/>
            </w:tcPr>
            <w:p w14:paraId="62A4DCE8" w14:textId="2005E7AD" w:rsidR="0020184F" w:rsidRDefault="0020184F">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t>Daniel Hriscu 2127929</w:t>
              </w:r>
            </w:p>
          </w:tc>
        </w:sdtContent>
      </w:sdt>
      <w:tc>
        <w:tcPr>
          <w:tcW w:w="4674" w:type="dxa"/>
          <w:vAlign w:val="center"/>
        </w:tcPr>
        <w:p w14:paraId="69BBA77D" w14:textId="77777777" w:rsidR="0020184F" w:rsidRDefault="0020184F">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0D3833B3" w14:textId="77777777" w:rsidR="0020184F" w:rsidRDefault="002018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2C36D" w14:textId="77777777" w:rsidR="00722CBB" w:rsidRDefault="00722CBB" w:rsidP="0020184F">
      <w:pPr>
        <w:spacing w:before="0" w:after="0" w:line="240" w:lineRule="auto"/>
      </w:pPr>
      <w:r>
        <w:separator/>
      </w:r>
    </w:p>
  </w:footnote>
  <w:footnote w:type="continuationSeparator" w:id="0">
    <w:p w14:paraId="124F62CD" w14:textId="77777777" w:rsidR="00722CBB" w:rsidRDefault="00722CBB" w:rsidP="0020184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8BAF9" w14:textId="51D0156C" w:rsidR="00B56DF4" w:rsidRPr="00B56DF4" w:rsidRDefault="00B56DF4" w:rsidP="00B56DF4">
    <w:pPr>
      <w:jc w:val="right"/>
    </w:pPr>
    <w:r w:rsidRPr="00B56DF4">
      <w:rPr>
        <w:i/>
        <w:iCs/>
        <w:color w:val="888888"/>
        <w:sz w:val="18"/>
        <w:szCs w:val="18"/>
      </w:rPr>
      <w:t>Security Architecture Design Document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62657021">
    <w:abstractNumId w:val="8"/>
  </w:num>
  <w:num w:numId="2" w16cid:durableId="1739087755">
    <w:abstractNumId w:val="6"/>
  </w:num>
  <w:num w:numId="3" w16cid:durableId="1966547601">
    <w:abstractNumId w:val="5"/>
  </w:num>
  <w:num w:numId="4" w16cid:durableId="297296533">
    <w:abstractNumId w:val="4"/>
  </w:num>
  <w:num w:numId="5" w16cid:durableId="1937134878">
    <w:abstractNumId w:val="7"/>
  </w:num>
  <w:num w:numId="6" w16cid:durableId="1347248763">
    <w:abstractNumId w:val="3"/>
  </w:num>
  <w:num w:numId="7" w16cid:durableId="1031152835">
    <w:abstractNumId w:val="2"/>
  </w:num>
  <w:num w:numId="8" w16cid:durableId="1664777377">
    <w:abstractNumId w:val="1"/>
  </w:num>
  <w:num w:numId="9" w16cid:durableId="449054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0184F"/>
    <w:rsid w:val="0029639D"/>
    <w:rsid w:val="00326F90"/>
    <w:rsid w:val="003339E7"/>
    <w:rsid w:val="00377416"/>
    <w:rsid w:val="00722CBB"/>
    <w:rsid w:val="00795BA4"/>
    <w:rsid w:val="00854C32"/>
    <w:rsid w:val="00AA1D8D"/>
    <w:rsid w:val="00B47730"/>
    <w:rsid w:val="00B56DF4"/>
    <w:rsid w:val="00BB4D31"/>
    <w:rsid w:val="00CB0664"/>
    <w:rsid w:val="00D07939"/>
    <w:rsid w:val="00EE20B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84AE4D"/>
  <w14:defaultImageDpi w14:val="300"/>
  <w15:docId w15:val="{EE8A8E9B-B53F-0148-B236-CC291F67B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C32"/>
    <w:rPr>
      <w:sz w:val="20"/>
      <w:szCs w:val="20"/>
    </w:rPr>
  </w:style>
  <w:style w:type="paragraph" w:styleId="Heading1">
    <w:name w:val="heading 1"/>
    <w:basedOn w:val="Normal"/>
    <w:next w:val="Normal"/>
    <w:link w:val="Heading1Char"/>
    <w:uiPriority w:val="9"/>
    <w:qFormat/>
    <w:rsid w:val="00854C32"/>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854C32"/>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854C32"/>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854C32"/>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854C32"/>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854C32"/>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854C32"/>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854C32"/>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54C32"/>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basedOn w:val="Normal"/>
    <w:link w:val="NoSpacingChar"/>
    <w:uiPriority w:val="1"/>
    <w:qFormat/>
    <w:rsid w:val="00854C32"/>
    <w:pPr>
      <w:spacing w:before="0" w:after="0" w:line="240" w:lineRule="auto"/>
    </w:pPr>
  </w:style>
  <w:style w:type="character" w:customStyle="1" w:styleId="Heading1Char">
    <w:name w:val="Heading 1 Char"/>
    <w:basedOn w:val="DefaultParagraphFont"/>
    <w:link w:val="Heading1"/>
    <w:uiPriority w:val="9"/>
    <w:rsid w:val="00854C32"/>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rsid w:val="00854C32"/>
    <w:rPr>
      <w:caps/>
      <w:spacing w:val="15"/>
      <w:shd w:val="clear" w:color="auto" w:fill="C1E4F5" w:themeFill="accent1" w:themeFillTint="33"/>
    </w:rPr>
  </w:style>
  <w:style w:type="character" w:customStyle="1" w:styleId="Heading3Char">
    <w:name w:val="Heading 3 Char"/>
    <w:basedOn w:val="DefaultParagraphFont"/>
    <w:link w:val="Heading3"/>
    <w:uiPriority w:val="9"/>
    <w:rsid w:val="00854C32"/>
    <w:rPr>
      <w:caps/>
      <w:color w:val="0A2F40" w:themeColor="accent1" w:themeShade="7F"/>
      <w:spacing w:val="15"/>
    </w:rPr>
  </w:style>
  <w:style w:type="paragraph" w:styleId="Title">
    <w:name w:val="Title"/>
    <w:basedOn w:val="Normal"/>
    <w:next w:val="Normal"/>
    <w:link w:val="TitleChar"/>
    <w:uiPriority w:val="10"/>
    <w:qFormat/>
    <w:rsid w:val="00854C32"/>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854C32"/>
    <w:rPr>
      <w:caps/>
      <w:color w:val="156082" w:themeColor="accent1"/>
      <w:spacing w:val="10"/>
      <w:kern w:val="28"/>
      <w:sz w:val="52"/>
      <w:szCs w:val="52"/>
    </w:rPr>
  </w:style>
  <w:style w:type="paragraph" w:styleId="Subtitle">
    <w:name w:val="Subtitle"/>
    <w:basedOn w:val="Normal"/>
    <w:next w:val="Normal"/>
    <w:link w:val="SubtitleChar"/>
    <w:uiPriority w:val="11"/>
    <w:qFormat/>
    <w:rsid w:val="00854C32"/>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854C32"/>
    <w:rPr>
      <w:caps/>
      <w:color w:val="595959" w:themeColor="text1" w:themeTint="A6"/>
      <w:spacing w:val="10"/>
      <w:sz w:val="24"/>
      <w:szCs w:val="24"/>
    </w:rPr>
  </w:style>
  <w:style w:type="paragraph" w:styleId="ListParagraph">
    <w:name w:val="List Paragraph"/>
    <w:basedOn w:val="Normal"/>
    <w:uiPriority w:val="34"/>
    <w:qFormat/>
    <w:rsid w:val="00854C32"/>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854C32"/>
    <w:rPr>
      <w:i/>
      <w:iCs/>
    </w:rPr>
  </w:style>
  <w:style w:type="character" w:customStyle="1" w:styleId="QuoteChar">
    <w:name w:val="Quote Char"/>
    <w:basedOn w:val="DefaultParagraphFont"/>
    <w:link w:val="Quote"/>
    <w:uiPriority w:val="29"/>
    <w:rsid w:val="00854C32"/>
    <w:rPr>
      <w:i/>
      <w:iCs/>
      <w:sz w:val="20"/>
      <w:szCs w:val="20"/>
    </w:rPr>
  </w:style>
  <w:style w:type="character" w:customStyle="1" w:styleId="Heading4Char">
    <w:name w:val="Heading 4 Char"/>
    <w:basedOn w:val="DefaultParagraphFont"/>
    <w:link w:val="Heading4"/>
    <w:uiPriority w:val="9"/>
    <w:semiHidden/>
    <w:rsid w:val="00854C32"/>
    <w:rPr>
      <w:caps/>
      <w:color w:val="0F4761" w:themeColor="accent1" w:themeShade="BF"/>
      <w:spacing w:val="10"/>
    </w:rPr>
  </w:style>
  <w:style w:type="character" w:customStyle="1" w:styleId="Heading5Char">
    <w:name w:val="Heading 5 Char"/>
    <w:basedOn w:val="DefaultParagraphFont"/>
    <w:link w:val="Heading5"/>
    <w:uiPriority w:val="9"/>
    <w:semiHidden/>
    <w:rsid w:val="00854C32"/>
    <w:rPr>
      <w:caps/>
      <w:color w:val="0F4761" w:themeColor="accent1" w:themeShade="BF"/>
      <w:spacing w:val="10"/>
    </w:rPr>
  </w:style>
  <w:style w:type="character" w:customStyle="1" w:styleId="Heading6Char">
    <w:name w:val="Heading 6 Char"/>
    <w:basedOn w:val="DefaultParagraphFont"/>
    <w:link w:val="Heading6"/>
    <w:uiPriority w:val="9"/>
    <w:semiHidden/>
    <w:rsid w:val="00854C32"/>
    <w:rPr>
      <w:caps/>
      <w:color w:val="0F4761" w:themeColor="accent1" w:themeShade="BF"/>
      <w:spacing w:val="10"/>
    </w:rPr>
  </w:style>
  <w:style w:type="character" w:customStyle="1" w:styleId="Heading7Char">
    <w:name w:val="Heading 7 Char"/>
    <w:basedOn w:val="DefaultParagraphFont"/>
    <w:link w:val="Heading7"/>
    <w:uiPriority w:val="9"/>
    <w:semiHidden/>
    <w:rsid w:val="00854C32"/>
    <w:rPr>
      <w:caps/>
      <w:color w:val="0F4761" w:themeColor="accent1" w:themeShade="BF"/>
      <w:spacing w:val="10"/>
    </w:rPr>
  </w:style>
  <w:style w:type="character" w:customStyle="1" w:styleId="Heading8Char">
    <w:name w:val="Heading 8 Char"/>
    <w:basedOn w:val="DefaultParagraphFont"/>
    <w:link w:val="Heading8"/>
    <w:uiPriority w:val="9"/>
    <w:semiHidden/>
    <w:rsid w:val="00854C32"/>
    <w:rPr>
      <w:caps/>
      <w:spacing w:val="10"/>
      <w:sz w:val="18"/>
      <w:szCs w:val="18"/>
    </w:rPr>
  </w:style>
  <w:style w:type="character" w:customStyle="1" w:styleId="Heading9Char">
    <w:name w:val="Heading 9 Char"/>
    <w:basedOn w:val="DefaultParagraphFont"/>
    <w:link w:val="Heading9"/>
    <w:uiPriority w:val="9"/>
    <w:semiHidden/>
    <w:rsid w:val="00854C32"/>
    <w:rPr>
      <w:i/>
      <w:caps/>
      <w:spacing w:val="10"/>
      <w:sz w:val="18"/>
      <w:szCs w:val="18"/>
    </w:rPr>
  </w:style>
  <w:style w:type="paragraph" w:styleId="Caption">
    <w:name w:val="caption"/>
    <w:basedOn w:val="Normal"/>
    <w:next w:val="Normal"/>
    <w:uiPriority w:val="35"/>
    <w:semiHidden/>
    <w:unhideWhenUsed/>
    <w:qFormat/>
    <w:rsid w:val="00854C32"/>
    <w:rPr>
      <w:b/>
      <w:bCs/>
      <w:color w:val="0F4761" w:themeColor="accent1" w:themeShade="BF"/>
      <w:sz w:val="16"/>
      <w:szCs w:val="16"/>
    </w:rPr>
  </w:style>
  <w:style w:type="character" w:styleId="Strong">
    <w:name w:val="Strong"/>
    <w:uiPriority w:val="22"/>
    <w:qFormat/>
    <w:rsid w:val="00854C32"/>
    <w:rPr>
      <w:b/>
      <w:bCs/>
    </w:rPr>
  </w:style>
  <w:style w:type="character" w:styleId="Emphasis">
    <w:name w:val="Emphasis"/>
    <w:uiPriority w:val="20"/>
    <w:qFormat/>
    <w:rsid w:val="00854C32"/>
    <w:rPr>
      <w:caps/>
      <w:color w:val="0A2F40" w:themeColor="accent1" w:themeShade="7F"/>
      <w:spacing w:val="5"/>
    </w:rPr>
  </w:style>
  <w:style w:type="paragraph" w:styleId="IntenseQuote">
    <w:name w:val="Intense Quote"/>
    <w:basedOn w:val="Normal"/>
    <w:next w:val="Normal"/>
    <w:link w:val="IntenseQuoteChar"/>
    <w:uiPriority w:val="30"/>
    <w:qFormat/>
    <w:rsid w:val="00854C32"/>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854C32"/>
    <w:rPr>
      <w:i/>
      <w:iCs/>
      <w:color w:val="156082" w:themeColor="accent1"/>
      <w:sz w:val="20"/>
      <w:szCs w:val="20"/>
    </w:rPr>
  </w:style>
  <w:style w:type="character" w:styleId="SubtleEmphasis">
    <w:name w:val="Subtle Emphasis"/>
    <w:uiPriority w:val="19"/>
    <w:qFormat/>
    <w:rsid w:val="00854C32"/>
    <w:rPr>
      <w:i/>
      <w:iCs/>
      <w:color w:val="0A2F40" w:themeColor="accent1" w:themeShade="7F"/>
    </w:rPr>
  </w:style>
  <w:style w:type="character" w:styleId="IntenseEmphasis">
    <w:name w:val="Intense Emphasis"/>
    <w:uiPriority w:val="21"/>
    <w:qFormat/>
    <w:rsid w:val="00854C32"/>
    <w:rPr>
      <w:b/>
      <w:bCs/>
      <w:caps/>
      <w:color w:val="0A2F40" w:themeColor="accent1" w:themeShade="7F"/>
      <w:spacing w:val="10"/>
    </w:rPr>
  </w:style>
  <w:style w:type="character" w:styleId="SubtleReference">
    <w:name w:val="Subtle Reference"/>
    <w:uiPriority w:val="31"/>
    <w:qFormat/>
    <w:rsid w:val="00854C32"/>
    <w:rPr>
      <w:b/>
      <w:bCs/>
      <w:color w:val="156082" w:themeColor="accent1"/>
    </w:rPr>
  </w:style>
  <w:style w:type="character" w:styleId="IntenseReference">
    <w:name w:val="Intense Reference"/>
    <w:uiPriority w:val="32"/>
    <w:qFormat/>
    <w:rsid w:val="00854C32"/>
    <w:rPr>
      <w:b/>
      <w:bCs/>
      <w:i/>
      <w:iCs/>
      <w:caps/>
      <w:color w:val="156082" w:themeColor="accent1"/>
    </w:rPr>
  </w:style>
  <w:style w:type="character" w:styleId="BookTitle">
    <w:name w:val="Book Title"/>
    <w:uiPriority w:val="33"/>
    <w:qFormat/>
    <w:rsid w:val="00854C32"/>
    <w:rPr>
      <w:b/>
      <w:bCs/>
      <w:i/>
      <w:iCs/>
      <w:spacing w:val="9"/>
    </w:rPr>
  </w:style>
  <w:style w:type="paragraph" w:styleId="TOCHeading">
    <w:name w:val="TOC Heading"/>
    <w:basedOn w:val="Heading1"/>
    <w:next w:val="Normal"/>
    <w:uiPriority w:val="39"/>
    <w:semiHidden/>
    <w:unhideWhenUsed/>
    <w:qFormat/>
    <w:rsid w:val="00854C32"/>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854C3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F8C47111EFFCB4092F153653B3C8895"/>
        <w:category>
          <w:name w:val="General"/>
          <w:gallery w:val="placeholder"/>
        </w:category>
        <w:types>
          <w:type w:val="bbPlcHdr"/>
        </w:types>
        <w:behaviors>
          <w:behavior w:val="content"/>
        </w:behaviors>
        <w:guid w:val="{A4C96EAC-30B2-2D48-B41C-C15CEE64BB74}"/>
      </w:docPartPr>
      <w:docPartBody>
        <w:p w:rsidR="00564B59" w:rsidRDefault="00401664" w:rsidP="00401664">
          <w:pPr>
            <w:pStyle w:val="4F8C47111EFFCB4092F153653B3C8895"/>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Courier">
    <w:panose1 w:val="02070309020205020404"/>
    <w:charset w:val="00"/>
    <w:family w:val="auto"/>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664"/>
    <w:rsid w:val="003339E7"/>
    <w:rsid w:val="00401664"/>
    <w:rsid w:val="00564B59"/>
    <w:rsid w:val="007E6171"/>
    <w:rsid w:val="008F6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1664"/>
    <w:rPr>
      <w:color w:val="808080"/>
    </w:rPr>
  </w:style>
  <w:style w:type="paragraph" w:customStyle="1" w:styleId="4F8C47111EFFCB4092F153653B3C8895">
    <w:name w:val="4F8C47111EFFCB4092F153653B3C8895"/>
    <w:rsid w:val="004016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834</Words>
  <Characters>5757</Characters>
  <Application>Microsoft Office Word</Application>
  <DocSecurity>0</DocSecurity>
  <Lines>274</Lines>
  <Paragraphs>168</Paragraphs>
  <ScaleCrop>false</ScaleCrop>
  <HeadingPairs>
    <vt:vector size="2" baseType="variant">
      <vt:variant>
        <vt:lpstr>Title</vt:lpstr>
      </vt:variant>
      <vt:variant>
        <vt:i4>1</vt:i4>
      </vt:variant>
    </vt:vector>
  </HeadingPairs>
  <TitlesOfParts>
    <vt:vector size="1" baseType="lpstr">
      <vt:lpstr>SECURITY ARCHITECTURE DESIGN </vt:lpstr>
    </vt:vector>
  </TitlesOfParts>
  <Manager/>
  <Company/>
  <LinksUpToDate>false</LinksUpToDate>
  <CharactersWithSpaces>6423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ARCHITECTURE DESIGN </dc:title>
  <dc:subject/>
  <dc:creator>Daniel Hriscu 2127929</dc:creator>
  <cp:keywords/>
  <dc:description/>
  <cp:lastModifiedBy>Daniel Hriscu</cp:lastModifiedBy>
  <cp:revision>5</cp:revision>
  <dcterms:created xsi:type="dcterms:W3CDTF">2026-03-31T12:23:00Z</dcterms:created>
  <dcterms:modified xsi:type="dcterms:W3CDTF">2026-03-31T12:41:00Z</dcterms:modified>
  <cp:category/>
</cp:coreProperties>
</file>