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3A3A9DD" w:rsidR="00A930CB" w:rsidRPr="00D14017" w:rsidRDefault="00F43F8A" w:rsidP="00A930CB">
                <w:pPr>
                  <w:spacing w:before="120" w:after="120" w:line="360" w:lineRule="auto"/>
                  <w:rPr>
                    <w:rFonts w:ascii="Tahoma" w:hAnsi="Tahoma" w:cs="Tahoma"/>
                    <w:sz w:val="28"/>
                    <w:szCs w:val="28"/>
                  </w:rPr>
                </w:pPr>
                <w:r>
                  <w:rPr>
                    <w:rFonts w:ascii="Tahoma" w:hAnsi="Tahoma" w:cs="Tahoma"/>
                    <w:sz w:val="28"/>
                    <w:szCs w:val="28"/>
                  </w:rPr>
                  <w:t>Crina Flavia Razoare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F12A536" w:rsidR="00A930CB" w:rsidRPr="00D14017" w:rsidRDefault="00F43F8A" w:rsidP="00A930CB">
                <w:pPr>
                  <w:spacing w:before="120" w:after="120" w:line="360" w:lineRule="auto"/>
                  <w:rPr>
                    <w:rFonts w:ascii="Tahoma" w:hAnsi="Tahoma" w:cs="Tahoma"/>
                    <w:sz w:val="28"/>
                    <w:szCs w:val="28"/>
                  </w:rPr>
                </w:pPr>
                <w:r>
                  <w:rPr>
                    <w:rFonts w:ascii="Tahoma" w:hAnsi="Tahoma" w:cs="Tahoma"/>
                    <w:sz w:val="28"/>
                    <w:szCs w:val="28"/>
                  </w:rPr>
                  <w:t>1811696</w:t>
                </w:r>
              </w:p>
            </w:tc>
          </w:tr>
          <w:tr w:rsidR="00A930CB" w:rsidRPr="00D14017" w14:paraId="349EAAAF" w14:textId="77777777" w:rsidTr="0030173B">
            <w:tc>
              <w:tcPr>
                <w:tcW w:w="3438" w:type="dxa"/>
                <w:shd w:val="clear" w:color="auto" w:fill="D9D9D9"/>
              </w:tcPr>
              <w:p w14:paraId="79CF9844" w14:textId="77777777" w:rsidR="00A930CB" w:rsidRPr="00F43F8A" w:rsidRDefault="00A930CB" w:rsidP="00A930CB">
                <w:pPr>
                  <w:spacing w:before="120" w:after="120" w:line="360" w:lineRule="auto"/>
                  <w:rPr>
                    <w:rFonts w:ascii="Tahoma" w:hAnsi="Tahoma" w:cs="Tahoma"/>
                    <w:sz w:val="28"/>
                    <w:szCs w:val="28"/>
                  </w:rPr>
                </w:pPr>
                <w:r w:rsidRPr="00F43F8A">
                  <w:rPr>
                    <w:rFonts w:ascii="Tahoma" w:hAnsi="Tahoma" w:cs="Tahoma"/>
                    <w:sz w:val="28"/>
                    <w:szCs w:val="28"/>
                  </w:rPr>
                  <w:t>Module No:</w:t>
                </w:r>
              </w:p>
            </w:tc>
            <w:tc>
              <w:tcPr>
                <w:tcW w:w="6055" w:type="dxa"/>
              </w:tcPr>
              <w:p w14:paraId="2C117412" w14:textId="2FA1FAB8" w:rsidR="00A930CB" w:rsidRPr="00F43F8A" w:rsidRDefault="007A7DB8" w:rsidP="00A930CB">
                <w:pPr>
                  <w:spacing w:before="120" w:after="120" w:line="360" w:lineRule="auto"/>
                  <w:rPr>
                    <w:rFonts w:ascii="Tahoma" w:hAnsi="Tahoma" w:cs="Tahoma"/>
                    <w:sz w:val="28"/>
                    <w:szCs w:val="28"/>
                  </w:rPr>
                </w:pPr>
                <w:r w:rsidRPr="00F43F8A">
                  <w:rPr>
                    <w:rFonts w:ascii="Tahoma" w:hAnsi="Tahoma" w:cs="Tahoma"/>
                    <w:sz w:val="28"/>
                    <w:szCs w:val="28"/>
                  </w:rPr>
                  <w:t>BMSK</w:t>
                </w:r>
                <w:r w:rsidR="00B8055D">
                  <w:rPr>
                    <w:rFonts w:ascii="Tahoma" w:hAnsi="Tahoma" w:cs="Tahoma"/>
                    <w:sz w:val="28"/>
                    <w:szCs w:val="28"/>
                  </w:rPr>
                  <w:t>6</w:t>
                </w:r>
                <w:r w:rsidR="002154CB" w:rsidRPr="00F43F8A">
                  <w:rPr>
                    <w:rFonts w:ascii="Tahoma" w:hAnsi="Tahoma" w:cs="Tahoma"/>
                    <w:sz w:val="28"/>
                    <w:szCs w:val="28"/>
                  </w:rPr>
                  <w:t>004</w:t>
                </w:r>
              </w:p>
            </w:tc>
          </w:tr>
          <w:tr w:rsidR="00A930CB" w:rsidRPr="00D14017" w14:paraId="485DA616" w14:textId="77777777" w:rsidTr="0030173B">
            <w:trPr>
              <w:trHeight w:val="413"/>
            </w:trPr>
            <w:tc>
              <w:tcPr>
                <w:tcW w:w="3438" w:type="dxa"/>
                <w:shd w:val="clear" w:color="auto" w:fill="D9D9D9"/>
              </w:tcPr>
              <w:p w14:paraId="4606D4BD" w14:textId="77777777" w:rsidR="00A930CB" w:rsidRPr="00F43F8A" w:rsidRDefault="00A930CB" w:rsidP="00A930CB">
                <w:pPr>
                  <w:spacing w:before="120" w:after="120" w:line="360" w:lineRule="auto"/>
                  <w:rPr>
                    <w:rFonts w:ascii="Tahoma" w:hAnsi="Tahoma" w:cs="Tahoma"/>
                    <w:sz w:val="28"/>
                    <w:szCs w:val="28"/>
                  </w:rPr>
                </w:pPr>
                <w:r w:rsidRPr="00F43F8A">
                  <w:rPr>
                    <w:rFonts w:ascii="Tahoma" w:hAnsi="Tahoma" w:cs="Tahoma"/>
                    <w:sz w:val="28"/>
                    <w:szCs w:val="28"/>
                  </w:rPr>
                  <w:t>Module Title:</w:t>
                </w:r>
              </w:p>
            </w:tc>
            <w:tc>
              <w:tcPr>
                <w:tcW w:w="6055" w:type="dxa"/>
              </w:tcPr>
              <w:p w14:paraId="0F1C3659" w14:textId="5DD85C0A" w:rsidR="00A930CB" w:rsidRPr="00B8055D" w:rsidRDefault="00E10448" w:rsidP="00B8055D">
                <w:pPr>
                  <w:rPr>
                    <w:rFonts w:ascii="Tahoma" w:hAnsi="Tahoma" w:cs="Tahoma"/>
                    <w:b/>
                    <w:bCs/>
                    <w:sz w:val="28"/>
                    <w:szCs w:val="28"/>
                  </w:rPr>
                </w:pPr>
                <w:hyperlink r:id="rId10" w:history="1">
                  <w:r w:rsidR="00B8055D" w:rsidRPr="00B8055D">
                    <w:rPr>
                      <w:rFonts w:ascii="Tahoma" w:hAnsi="Tahoma" w:cs="Tahoma"/>
                      <w:color w:val="212529"/>
                      <w:sz w:val="28"/>
                      <w:szCs w:val="28"/>
                    </w:rPr>
                    <w:t>Strategic Management of SMEs</w:t>
                  </w:r>
                </w:hyperlink>
              </w:p>
            </w:tc>
          </w:tr>
        </w:tbl>
        <w:p w14:paraId="4BB964D8" w14:textId="6C50560B" w:rsidR="00A930CB" w:rsidRDefault="00A930CB" w:rsidP="00A930CB">
          <w:pPr>
            <w:spacing w:before="120" w:after="120" w:line="360" w:lineRule="auto"/>
            <w:rPr>
              <w:rFonts w:ascii="Calibri" w:hAnsi="Calibri"/>
              <w:color w:val="FF0000"/>
              <w:sz w:val="24"/>
              <w:szCs w:val="24"/>
            </w:rPr>
          </w:pPr>
        </w:p>
        <w:tbl>
          <w:tblPr>
            <w:tblW w:w="9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97"/>
            <w:gridCol w:w="6122"/>
          </w:tblGrid>
          <w:tr w:rsidR="00F43F8A" w:rsidRPr="008B29CE" w14:paraId="605912F4" w14:textId="77777777" w:rsidTr="00B02AC9">
            <w:trPr>
              <w:trHeight w:val="674"/>
            </w:trPr>
            <w:tc>
              <w:tcPr>
                <w:tcW w:w="3397" w:type="dxa"/>
                <w:shd w:val="clear" w:color="auto" w:fill="BFBFBF" w:themeFill="background1" w:themeFillShade="BF"/>
              </w:tcPr>
              <w:p w14:paraId="26B66C81" w14:textId="77777777" w:rsidR="00F43F8A" w:rsidRPr="00E23B42" w:rsidRDefault="00F43F8A" w:rsidP="00B02AC9">
                <w:pPr>
                  <w:spacing w:before="120" w:after="120"/>
                  <w:rPr>
                    <w:rFonts w:ascii="Tahoma" w:hAnsi="Tahoma" w:cs="Tahoma"/>
                    <w:sz w:val="28"/>
                    <w:szCs w:val="28"/>
                  </w:rPr>
                </w:pPr>
                <w:r w:rsidRPr="00E23B42">
                  <w:rPr>
                    <w:rFonts w:ascii="Tahoma" w:hAnsi="Tahoma" w:cs="Tahoma"/>
                    <w:sz w:val="28"/>
                    <w:szCs w:val="28"/>
                  </w:rPr>
                  <w:t>Date submitted:</w:t>
                </w:r>
              </w:p>
            </w:tc>
            <w:tc>
              <w:tcPr>
                <w:tcW w:w="6122" w:type="dxa"/>
              </w:tcPr>
              <w:p w14:paraId="3F6D54C0" w14:textId="4065CC24" w:rsidR="00F43F8A" w:rsidRPr="00E23B42" w:rsidRDefault="00891D67" w:rsidP="00B02AC9">
                <w:pPr>
                  <w:spacing w:before="120" w:after="120"/>
                  <w:jc w:val="center"/>
                  <w:rPr>
                    <w:rFonts w:ascii="Tahoma" w:hAnsi="Tahoma" w:cs="Tahoma"/>
                    <w:sz w:val="28"/>
                    <w:szCs w:val="28"/>
                  </w:rPr>
                </w:pPr>
                <w:r>
                  <w:rPr>
                    <w:rFonts w:ascii="Tahoma" w:hAnsi="Tahoma" w:cs="Tahoma"/>
                    <w:sz w:val="28"/>
                    <w:szCs w:val="28"/>
                  </w:rPr>
                  <w:t>14</w:t>
                </w:r>
                <w:r w:rsidRPr="00891D67">
                  <w:rPr>
                    <w:rFonts w:ascii="Tahoma" w:hAnsi="Tahoma" w:cs="Tahoma"/>
                    <w:sz w:val="28"/>
                    <w:szCs w:val="28"/>
                    <w:vertAlign w:val="superscript"/>
                  </w:rPr>
                  <w:t>th</w:t>
                </w:r>
                <w:r>
                  <w:rPr>
                    <w:rFonts w:ascii="Tahoma" w:hAnsi="Tahoma" w:cs="Tahoma"/>
                    <w:sz w:val="28"/>
                    <w:szCs w:val="28"/>
                  </w:rPr>
                  <w:t xml:space="preserve"> November 2021</w:t>
                </w:r>
              </w:p>
            </w:tc>
          </w:tr>
          <w:tr w:rsidR="00F43F8A" w:rsidRPr="008B29CE" w14:paraId="69005888" w14:textId="77777777" w:rsidTr="00B02AC9">
            <w:trPr>
              <w:trHeight w:val="664"/>
            </w:trPr>
            <w:tc>
              <w:tcPr>
                <w:tcW w:w="3397" w:type="dxa"/>
                <w:shd w:val="clear" w:color="auto" w:fill="BFBFBF" w:themeFill="background1" w:themeFillShade="BF"/>
              </w:tcPr>
              <w:p w14:paraId="5439063D" w14:textId="77777777" w:rsidR="00F43F8A" w:rsidRPr="00E23B42" w:rsidRDefault="00F43F8A" w:rsidP="00B02AC9">
                <w:pPr>
                  <w:spacing w:before="120" w:after="120"/>
                  <w:rPr>
                    <w:rFonts w:ascii="Tahoma" w:hAnsi="Tahoma" w:cs="Tahoma"/>
                    <w:sz w:val="28"/>
                    <w:szCs w:val="28"/>
                  </w:rPr>
                </w:pPr>
                <w:r w:rsidRPr="00E23B42">
                  <w:rPr>
                    <w:rFonts w:ascii="Tahoma" w:hAnsi="Tahoma" w:cs="Tahoma"/>
                    <w:sz w:val="28"/>
                    <w:szCs w:val="28"/>
                  </w:rPr>
                  <w:t>Time submitted:</w:t>
                </w:r>
              </w:p>
            </w:tc>
            <w:tc>
              <w:tcPr>
                <w:tcW w:w="6122" w:type="dxa"/>
              </w:tcPr>
              <w:p w14:paraId="2AB125B5" w14:textId="2D3F9FD4" w:rsidR="00F43F8A" w:rsidRPr="00E23B42" w:rsidRDefault="00E10448" w:rsidP="00B02AC9">
                <w:pPr>
                  <w:spacing w:before="120" w:after="120"/>
                  <w:jc w:val="center"/>
                  <w:rPr>
                    <w:rFonts w:ascii="Tahoma" w:hAnsi="Tahoma" w:cs="Tahoma"/>
                    <w:sz w:val="28"/>
                    <w:szCs w:val="28"/>
                  </w:rPr>
                </w:pPr>
                <w:r>
                  <w:rPr>
                    <w:rFonts w:ascii="Tahoma" w:hAnsi="Tahoma" w:cs="Tahoma"/>
                    <w:sz w:val="28"/>
                    <w:szCs w:val="28"/>
                  </w:rPr>
                  <w:t>17</w:t>
                </w:r>
                <w:r w:rsidR="00891D67">
                  <w:rPr>
                    <w:rFonts w:ascii="Tahoma" w:hAnsi="Tahoma" w:cs="Tahoma"/>
                    <w:sz w:val="28"/>
                    <w:szCs w:val="28"/>
                  </w:rPr>
                  <w:t>.</w:t>
                </w:r>
                <w:r>
                  <w:rPr>
                    <w:rFonts w:ascii="Tahoma" w:hAnsi="Tahoma" w:cs="Tahoma"/>
                    <w:sz w:val="28"/>
                    <w:szCs w:val="28"/>
                  </w:rPr>
                  <w:t>00</w:t>
                </w:r>
                <w:r w:rsidR="00891D67">
                  <w:rPr>
                    <w:rFonts w:ascii="Tahoma" w:hAnsi="Tahoma" w:cs="Tahoma"/>
                    <w:sz w:val="28"/>
                    <w:szCs w:val="28"/>
                  </w:rPr>
                  <w:t>pm</w:t>
                </w:r>
              </w:p>
            </w:tc>
          </w:tr>
        </w:tbl>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083424">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083424">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D0FD334" w14:textId="3738A317" w:rsidR="00CF716E"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87799048" w:history="1">
                <w:r w:rsidR="00CF716E" w:rsidRPr="00EC1BF9">
                  <w:rPr>
                    <w:rStyle w:val="Hyperlink"/>
                    <w:noProof/>
                  </w:rPr>
                  <w:t>Introduction</w:t>
                </w:r>
                <w:r w:rsidR="00CF716E">
                  <w:rPr>
                    <w:noProof/>
                    <w:webHidden/>
                  </w:rPr>
                  <w:tab/>
                </w:r>
                <w:r w:rsidR="00CF716E">
                  <w:rPr>
                    <w:noProof/>
                    <w:webHidden/>
                  </w:rPr>
                  <w:fldChar w:fldCharType="begin"/>
                </w:r>
                <w:r w:rsidR="00CF716E">
                  <w:rPr>
                    <w:noProof/>
                    <w:webHidden/>
                  </w:rPr>
                  <w:instrText xml:space="preserve"> PAGEREF _Toc87799048 \h </w:instrText>
                </w:r>
                <w:r w:rsidR="00CF716E">
                  <w:rPr>
                    <w:noProof/>
                    <w:webHidden/>
                  </w:rPr>
                </w:r>
                <w:r w:rsidR="00CF716E">
                  <w:rPr>
                    <w:noProof/>
                    <w:webHidden/>
                  </w:rPr>
                  <w:fldChar w:fldCharType="separate"/>
                </w:r>
                <w:r w:rsidR="00CF716E">
                  <w:rPr>
                    <w:noProof/>
                    <w:webHidden/>
                  </w:rPr>
                  <w:t>3</w:t>
                </w:r>
                <w:r w:rsidR="00CF716E">
                  <w:rPr>
                    <w:noProof/>
                    <w:webHidden/>
                  </w:rPr>
                  <w:fldChar w:fldCharType="end"/>
                </w:r>
              </w:hyperlink>
            </w:p>
            <w:p w14:paraId="43264908" w14:textId="436EA7B1" w:rsidR="00CF716E" w:rsidRDefault="00CF716E">
              <w:pPr>
                <w:pStyle w:val="TOC2"/>
                <w:tabs>
                  <w:tab w:val="right" w:leader="dot" w:pos="9350"/>
                </w:tabs>
                <w:rPr>
                  <w:rFonts w:eastAsiaTheme="minorEastAsia"/>
                  <w:noProof/>
                  <w:lang w:eastAsia="en-GB"/>
                </w:rPr>
              </w:pPr>
              <w:hyperlink w:anchor="_Toc87799049" w:history="1">
                <w:r w:rsidRPr="00EC1BF9">
                  <w:rPr>
                    <w:rStyle w:val="Hyperlink"/>
                    <w:noProof/>
                  </w:rPr>
                  <w:t>Management synopsis</w:t>
                </w:r>
                <w:r>
                  <w:rPr>
                    <w:noProof/>
                    <w:webHidden/>
                  </w:rPr>
                  <w:tab/>
                </w:r>
                <w:r>
                  <w:rPr>
                    <w:noProof/>
                    <w:webHidden/>
                  </w:rPr>
                  <w:fldChar w:fldCharType="begin"/>
                </w:r>
                <w:r>
                  <w:rPr>
                    <w:noProof/>
                    <w:webHidden/>
                  </w:rPr>
                  <w:instrText xml:space="preserve"> PAGEREF _Toc87799049 \h </w:instrText>
                </w:r>
                <w:r>
                  <w:rPr>
                    <w:noProof/>
                    <w:webHidden/>
                  </w:rPr>
                </w:r>
                <w:r>
                  <w:rPr>
                    <w:noProof/>
                    <w:webHidden/>
                  </w:rPr>
                  <w:fldChar w:fldCharType="separate"/>
                </w:r>
                <w:r>
                  <w:rPr>
                    <w:noProof/>
                    <w:webHidden/>
                  </w:rPr>
                  <w:t>3</w:t>
                </w:r>
                <w:r>
                  <w:rPr>
                    <w:noProof/>
                    <w:webHidden/>
                  </w:rPr>
                  <w:fldChar w:fldCharType="end"/>
                </w:r>
              </w:hyperlink>
            </w:p>
            <w:p w14:paraId="2ECC9B43" w14:textId="0D23B5FA" w:rsidR="00CF716E" w:rsidRDefault="00CF716E">
              <w:pPr>
                <w:pStyle w:val="TOC2"/>
                <w:tabs>
                  <w:tab w:val="right" w:leader="dot" w:pos="9350"/>
                </w:tabs>
                <w:rPr>
                  <w:rFonts w:eastAsiaTheme="minorEastAsia"/>
                  <w:noProof/>
                  <w:lang w:eastAsia="en-GB"/>
                </w:rPr>
              </w:pPr>
              <w:hyperlink w:anchor="_Toc87799050" w:history="1">
                <w:r w:rsidRPr="00EC1BF9">
                  <w:rPr>
                    <w:rStyle w:val="Hyperlink"/>
                    <w:noProof/>
                  </w:rPr>
                  <w:t>Depth of critical analysis of your chosen organisation’s internal and external environment</w:t>
                </w:r>
                <w:r>
                  <w:rPr>
                    <w:noProof/>
                    <w:webHidden/>
                  </w:rPr>
                  <w:tab/>
                </w:r>
                <w:r>
                  <w:rPr>
                    <w:noProof/>
                    <w:webHidden/>
                  </w:rPr>
                  <w:fldChar w:fldCharType="begin"/>
                </w:r>
                <w:r>
                  <w:rPr>
                    <w:noProof/>
                    <w:webHidden/>
                  </w:rPr>
                  <w:instrText xml:space="preserve"> PAGEREF _Toc87799050 \h </w:instrText>
                </w:r>
                <w:r>
                  <w:rPr>
                    <w:noProof/>
                    <w:webHidden/>
                  </w:rPr>
                </w:r>
                <w:r>
                  <w:rPr>
                    <w:noProof/>
                    <w:webHidden/>
                  </w:rPr>
                  <w:fldChar w:fldCharType="separate"/>
                </w:r>
                <w:r>
                  <w:rPr>
                    <w:noProof/>
                    <w:webHidden/>
                  </w:rPr>
                  <w:t>3</w:t>
                </w:r>
                <w:r>
                  <w:rPr>
                    <w:noProof/>
                    <w:webHidden/>
                  </w:rPr>
                  <w:fldChar w:fldCharType="end"/>
                </w:r>
              </w:hyperlink>
            </w:p>
            <w:p w14:paraId="7A6D2DA2" w14:textId="11DE7ADD" w:rsidR="00CF716E" w:rsidRDefault="00CF716E">
              <w:pPr>
                <w:pStyle w:val="TOC2"/>
                <w:tabs>
                  <w:tab w:val="right" w:leader="dot" w:pos="9350"/>
                </w:tabs>
                <w:rPr>
                  <w:rFonts w:eastAsiaTheme="minorEastAsia"/>
                  <w:noProof/>
                  <w:lang w:eastAsia="en-GB"/>
                </w:rPr>
              </w:pPr>
              <w:hyperlink w:anchor="_Toc87799051" w:history="1">
                <w:r w:rsidRPr="00EC1BF9">
                  <w:rPr>
                    <w:rStyle w:val="Hyperlink"/>
                    <w:noProof/>
                  </w:rPr>
                  <w:t>Conduct a stakeholder analysis and an evaluation of stakeholder expectations</w:t>
                </w:r>
                <w:r>
                  <w:rPr>
                    <w:noProof/>
                    <w:webHidden/>
                  </w:rPr>
                  <w:tab/>
                </w:r>
                <w:r>
                  <w:rPr>
                    <w:noProof/>
                    <w:webHidden/>
                  </w:rPr>
                  <w:fldChar w:fldCharType="begin"/>
                </w:r>
                <w:r>
                  <w:rPr>
                    <w:noProof/>
                    <w:webHidden/>
                  </w:rPr>
                  <w:instrText xml:space="preserve"> PAGEREF _Toc87799051 \h </w:instrText>
                </w:r>
                <w:r>
                  <w:rPr>
                    <w:noProof/>
                    <w:webHidden/>
                  </w:rPr>
                </w:r>
                <w:r>
                  <w:rPr>
                    <w:noProof/>
                    <w:webHidden/>
                  </w:rPr>
                  <w:fldChar w:fldCharType="separate"/>
                </w:r>
                <w:r>
                  <w:rPr>
                    <w:noProof/>
                    <w:webHidden/>
                  </w:rPr>
                  <w:t>7</w:t>
                </w:r>
                <w:r>
                  <w:rPr>
                    <w:noProof/>
                    <w:webHidden/>
                  </w:rPr>
                  <w:fldChar w:fldCharType="end"/>
                </w:r>
              </w:hyperlink>
            </w:p>
            <w:p w14:paraId="497C86F4" w14:textId="00036016" w:rsidR="00CF716E" w:rsidRDefault="00CF716E">
              <w:pPr>
                <w:pStyle w:val="TOC2"/>
                <w:tabs>
                  <w:tab w:val="right" w:leader="dot" w:pos="9350"/>
                </w:tabs>
                <w:rPr>
                  <w:rFonts w:eastAsiaTheme="minorEastAsia"/>
                  <w:noProof/>
                  <w:lang w:eastAsia="en-GB"/>
                </w:rPr>
              </w:pPr>
              <w:hyperlink w:anchor="_Toc87799052" w:history="1">
                <w:r w:rsidRPr="00EC1BF9">
                  <w:rPr>
                    <w:rStyle w:val="Hyperlink"/>
                    <w:noProof/>
                  </w:rPr>
                  <w:t>Application of a range of relevant academic theories / models</w:t>
                </w:r>
                <w:r>
                  <w:rPr>
                    <w:noProof/>
                    <w:webHidden/>
                  </w:rPr>
                  <w:tab/>
                </w:r>
                <w:r>
                  <w:rPr>
                    <w:noProof/>
                    <w:webHidden/>
                  </w:rPr>
                  <w:fldChar w:fldCharType="begin"/>
                </w:r>
                <w:r>
                  <w:rPr>
                    <w:noProof/>
                    <w:webHidden/>
                  </w:rPr>
                  <w:instrText xml:space="preserve"> PAGEREF _Toc87799052 \h </w:instrText>
                </w:r>
                <w:r>
                  <w:rPr>
                    <w:noProof/>
                    <w:webHidden/>
                  </w:rPr>
                </w:r>
                <w:r>
                  <w:rPr>
                    <w:noProof/>
                    <w:webHidden/>
                  </w:rPr>
                  <w:fldChar w:fldCharType="separate"/>
                </w:r>
                <w:r>
                  <w:rPr>
                    <w:noProof/>
                    <w:webHidden/>
                  </w:rPr>
                  <w:t>9</w:t>
                </w:r>
                <w:r>
                  <w:rPr>
                    <w:noProof/>
                    <w:webHidden/>
                  </w:rPr>
                  <w:fldChar w:fldCharType="end"/>
                </w:r>
              </w:hyperlink>
            </w:p>
            <w:p w14:paraId="49521615" w14:textId="6140D42E" w:rsidR="00CF716E" w:rsidRDefault="00CF716E">
              <w:pPr>
                <w:pStyle w:val="TOC2"/>
                <w:tabs>
                  <w:tab w:val="right" w:leader="dot" w:pos="9350"/>
                </w:tabs>
                <w:rPr>
                  <w:rFonts w:eastAsiaTheme="minorEastAsia"/>
                  <w:noProof/>
                  <w:lang w:eastAsia="en-GB"/>
                </w:rPr>
              </w:pPr>
              <w:hyperlink w:anchor="_Toc87799053" w:history="1">
                <w:r w:rsidRPr="00EC1BF9">
                  <w:rPr>
                    <w:rStyle w:val="Hyperlink"/>
                    <w:noProof/>
                  </w:rPr>
                  <w:t>Provide a critical appraisal of your chosen organisation’s current strategic direction</w:t>
                </w:r>
                <w:r>
                  <w:rPr>
                    <w:noProof/>
                    <w:webHidden/>
                  </w:rPr>
                  <w:tab/>
                </w:r>
                <w:r>
                  <w:rPr>
                    <w:noProof/>
                    <w:webHidden/>
                  </w:rPr>
                  <w:fldChar w:fldCharType="begin"/>
                </w:r>
                <w:r>
                  <w:rPr>
                    <w:noProof/>
                    <w:webHidden/>
                  </w:rPr>
                  <w:instrText xml:space="preserve"> PAGEREF _Toc87799053 \h </w:instrText>
                </w:r>
                <w:r>
                  <w:rPr>
                    <w:noProof/>
                    <w:webHidden/>
                  </w:rPr>
                </w:r>
                <w:r>
                  <w:rPr>
                    <w:noProof/>
                    <w:webHidden/>
                  </w:rPr>
                  <w:fldChar w:fldCharType="separate"/>
                </w:r>
                <w:r>
                  <w:rPr>
                    <w:noProof/>
                    <w:webHidden/>
                  </w:rPr>
                  <w:t>11</w:t>
                </w:r>
                <w:r>
                  <w:rPr>
                    <w:noProof/>
                    <w:webHidden/>
                  </w:rPr>
                  <w:fldChar w:fldCharType="end"/>
                </w:r>
              </w:hyperlink>
            </w:p>
            <w:p w14:paraId="6D25FC7E" w14:textId="31410374" w:rsidR="00CF716E" w:rsidRDefault="00CF716E">
              <w:pPr>
                <w:pStyle w:val="TOC2"/>
                <w:tabs>
                  <w:tab w:val="right" w:leader="dot" w:pos="9350"/>
                </w:tabs>
                <w:rPr>
                  <w:rFonts w:eastAsiaTheme="minorEastAsia"/>
                  <w:noProof/>
                  <w:lang w:eastAsia="en-GB"/>
                </w:rPr>
              </w:pPr>
              <w:hyperlink w:anchor="_Toc87799054" w:history="1">
                <w:r w:rsidRPr="00EC1BF9">
                  <w:rPr>
                    <w:rStyle w:val="Hyperlink"/>
                    <w:noProof/>
                  </w:rPr>
                  <w:t>Depth and clarity of the proposed new strategy</w:t>
                </w:r>
                <w:r>
                  <w:rPr>
                    <w:noProof/>
                    <w:webHidden/>
                  </w:rPr>
                  <w:tab/>
                </w:r>
                <w:r>
                  <w:rPr>
                    <w:noProof/>
                    <w:webHidden/>
                  </w:rPr>
                  <w:fldChar w:fldCharType="begin"/>
                </w:r>
                <w:r>
                  <w:rPr>
                    <w:noProof/>
                    <w:webHidden/>
                  </w:rPr>
                  <w:instrText xml:space="preserve"> PAGEREF _Toc87799054 \h </w:instrText>
                </w:r>
                <w:r>
                  <w:rPr>
                    <w:noProof/>
                    <w:webHidden/>
                  </w:rPr>
                </w:r>
                <w:r>
                  <w:rPr>
                    <w:noProof/>
                    <w:webHidden/>
                  </w:rPr>
                  <w:fldChar w:fldCharType="separate"/>
                </w:r>
                <w:r>
                  <w:rPr>
                    <w:noProof/>
                    <w:webHidden/>
                  </w:rPr>
                  <w:t>13</w:t>
                </w:r>
                <w:r>
                  <w:rPr>
                    <w:noProof/>
                    <w:webHidden/>
                  </w:rPr>
                  <w:fldChar w:fldCharType="end"/>
                </w:r>
              </w:hyperlink>
            </w:p>
            <w:p w14:paraId="655457F2" w14:textId="70FC6C14" w:rsidR="00CF716E" w:rsidRDefault="00CF716E">
              <w:pPr>
                <w:pStyle w:val="TOC2"/>
                <w:tabs>
                  <w:tab w:val="right" w:leader="dot" w:pos="9350"/>
                </w:tabs>
                <w:rPr>
                  <w:rFonts w:eastAsiaTheme="minorEastAsia"/>
                  <w:noProof/>
                  <w:lang w:eastAsia="en-GB"/>
                </w:rPr>
              </w:pPr>
              <w:hyperlink w:anchor="_Toc87799055" w:history="1">
                <w:r w:rsidRPr="00EC1BF9">
                  <w:rPr>
                    <w:rStyle w:val="Hyperlink"/>
                    <w:noProof/>
                  </w:rPr>
                  <w:t>References</w:t>
                </w:r>
                <w:r>
                  <w:rPr>
                    <w:noProof/>
                    <w:webHidden/>
                  </w:rPr>
                  <w:tab/>
                </w:r>
                <w:r>
                  <w:rPr>
                    <w:noProof/>
                    <w:webHidden/>
                  </w:rPr>
                  <w:fldChar w:fldCharType="begin"/>
                </w:r>
                <w:r>
                  <w:rPr>
                    <w:noProof/>
                    <w:webHidden/>
                  </w:rPr>
                  <w:instrText xml:space="preserve"> PAGEREF _Toc87799055 \h </w:instrText>
                </w:r>
                <w:r>
                  <w:rPr>
                    <w:noProof/>
                    <w:webHidden/>
                  </w:rPr>
                </w:r>
                <w:r>
                  <w:rPr>
                    <w:noProof/>
                    <w:webHidden/>
                  </w:rPr>
                  <w:fldChar w:fldCharType="separate"/>
                </w:r>
                <w:r>
                  <w:rPr>
                    <w:noProof/>
                    <w:webHidden/>
                  </w:rPr>
                  <w:t>14</w:t>
                </w:r>
                <w:r>
                  <w:rPr>
                    <w:noProof/>
                    <w:webHidden/>
                  </w:rPr>
                  <w:fldChar w:fldCharType="end"/>
                </w:r>
              </w:hyperlink>
            </w:p>
            <w:p w14:paraId="6FBEC796" w14:textId="6D7BF60B" w:rsidR="00CF716E" w:rsidRDefault="00CF716E">
              <w:pPr>
                <w:pStyle w:val="TOC2"/>
                <w:tabs>
                  <w:tab w:val="right" w:leader="dot" w:pos="9350"/>
                </w:tabs>
                <w:rPr>
                  <w:rFonts w:eastAsiaTheme="minorEastAsia"/>
                  <w:noProof/>
                  <w:lang w:eastAsia="en-GB"/>
                </w:rPr>
              </w:pPr>
              <w:hyperlink w:anchor="_Toc87799056" w:history="1">
                <w:r w:rsidRPr="00EC1BF9">
                  <w:rPr>
                    <w:rStyle w:val="Hyperlink"/>
                    <w:noProof/>
                  </w:rPr>
                  <w:t>Bibliography</w:t>
                </w:r>
                <w:r>
                  <w:rPr>
                    <w:noProof/>
                    <w:webHidden/>
                  </w:rPr>
                  <w:tab/>
                </w:r>
                <w:r>
                  <w:rPr>
                    <w:noProof/>
                    <w:webHidden/>
                  </w:rPr>
                  <w:fldChar w:fldCharType="begin"/>
                </w:r>
                <w:r>
                  <w:rPr>
                    <w:noProof/>
                    <w:webHidden/>
                  </w:rPr>
                  <w:instrText xml:space="preserve"> PAGEREF _Toc87799056 \h </w:instrText>
                </w:r>
                <w:r>
                  <w:rPr>
                    <w:noProof/>
                    <w:webHidden/>
                  </w:rPr>
                </w:r>
                <w:r>
                  <w:rPr>
                    <w:noProof/>
                    <w:webHidden/>
                  </w:rPr>
                  <w:fldChar w:fldCharType="separate"/>
                </w:r>
                <w:r>
                  <w:rPr>
                    <w:noProof/>
                    <w:webHidden/>
                  </w:rPr>
                  <w:t>15</w:t>
                </w:r>
                <w:r>
                  <w:rPr>
                    <w:noProof/>
                    <w:webHidden/>
                  </w:rPr>
                  <w:fldChar w:fldCharType="end"/>
                </w:r>
              </w:hyperlink>
            </w:p>
            <w:p w14:paraId="04FBBC2F" w14:textId="7AB3BA69" w:rsidR="00CF716E" w:rsidRDefault="00CF716E">
              <w:pPr>
                <w:pStyle w:val="TOC2"/>
                <w:tabs>
                  <w:tab w:val="right" w:leader="dot" w:pos="9350"/>
                </w:tabs>
                <w:rPr>
                  <w:rFonts w:eastAsiaTheme="minorEastAsia"/>
                  <w:noProof/>
                  <w:lang w:eastAsia="en-GB"/>
                </w:rPr>
              </w:pPr>
              <w:hyperlink w:anchor="_Toc87799057" w:history="1">
                <w:r w:rsidRPr="00EC1BF9">
                  <w:rPr>
                    <w:rStyle w:val="Hyperlink"/>
                    <w:noProof/>
                  </w:rPr>
                  <w:t>Appendix 1</w:t>
                </w:r>
                <w:r>
                  <w:rPr>
                    <w:noProof/>
                    <w:webHidden/>
                  </w:rPr>
                  <w:tab/>
                </w:r>
                <w:r>
                  <w:rPr>
                    <w:noProof/>
                    <w:webHidden/>
                  </w:rPr>
                  <w:fldChar w:fldCharType="begin"/>
                </w:r>
                <w:r>
                  <w:rPr>
                    <w:noProof/>
                    <w:webHidden/>
                  </w:rPr>
                  <w:instrText xml:space="preserve"> PAGEREF _Toc87799057 \h </w:instrText>
                </w:r>
                <w:r>
                  <w:rPr>
                    <w:noProof/>
                    <w:webHidden/>
                  </w:rPr>
                </w:r>
                <w:r>
                  <w:rPr>
                    <w:noProof/>
                    <w:webHidden/>
                  </w:rPr>
                  <w:fldChar w:fldCharType="separate"/>
                </w:r>
                <w:r>
                  <w:rPr>
                    <w:noProof/>
                    <w:webHidden/>
                  </w:rPr>
                  <w:t>17</w:t>
                </w:r>
                <w:r>
                  <w:rPr>
                    <w:noProof/>
                    <w:webHidden/>
                  </w:rPr>
                  <w:fldChar w:fldCharType="end"/>
                </w:r>
              </w:hyperlink>
            </w:p>
            <w:p w14:paraId="42394321" w14:textId="486EFFC3"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1044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78E611B" w:rsidR="0030173B" w:rsidRDefault="00AD170D" w:rsidP="00AD170D">
      <w:pPr>
        <w:pStyle w:val="Heading2"/>
      </w:pPr>
      <w:bookmarkStart w:id="0" w:name="_Toc87799048"/>
      <w:r>
        <w:lastRenderedPageBreak/>
        <w:t>Introduction</w:t>
      </w:r>
      <w:bookmarkEnd w:id="0"/>
      <w:r>
        <w:t xml:space="preserve"> </w:t>
      </w:r>
    </w:p>
    <w:p w14:paraId="1C300D12" w14:textId="4BD4A239" w:rsidR="00AD170D" w:rsidRPr="00AF2875" w:rsidRDefault="000653F1" w:rsidP="00AF2875">
      <w:pPr>
        <w:jc w:val="both"/>
        <w:rPr>
          <w:rFonts w:asciiTheme="majorHAnsi" w:hAnsiTheme="majorHAnsi" w:cstheme="majorHAnsi"/>
          <w:sz w:val="24"/>
          <w:szCs w:val="24"/>
        </w:rPr>
      </w:pPr>
      <w:r w:rsidRPr="008A2532">
        <w:rPr>
          <w:rFonts w:asciiTheme="majorHAnsi" w:hAnsiTheme="majorHAnsi" w:cstheme="majorHAnsi"/>
          <w:sz w:val="24"/>
          <w:szCs w:val="24"/>
        </w:rPr>
        <w:t xml:space="preserve">The author is a mature student </w:t>
      </w:r>
      <w:r>
        <w:rPr>
          <w:rFonts w:asciiTheme="majorHAnsi" w:hAnsiTheme="majorHAnsi" w:cstheme="majorHAnsi"/>
          <w:sz w:val="24"/>
          <w:szCs w:val="24"/>
        </w:rPr>
        <w:t>who effectively juggles a full-time job in a chemical distribution company with one small child and a chaotic home life</w:t>
      </w:r>
      <w:r w:rsidRPr="008A2532">
        <w:rPr>
          <w:rFonts w:asciiTheme="majorHAnsi" w:hAnsiTheme="majorHAnsi" w:cstheme="majorHAnsi"/>
          <w:sz w:val="24"/>
          <w:szCs w:val="24"/>
        </w:rPr>
        <w:t xml:space="preserve">. She </w:t>
      </w:r>
      <w:r>
        <w:rPr>
          <w:rFonts w:asciiTheme="majorHAnsi" w:hAnsiTheme="majorHAnsi" w:cstheme="majorHAnsi"/>
          <w:sz w:val="24"/>
          <w:szCs w:val="24"/>
        </w:rPr>
        <w:t xml:space="preserve">wanted to continue her education for a long time </w:t>
      </w:r>
      <w:r w:rsidRPr="008A2532">
        <w:rPr>
          <w:rFonts w:asciiTheme="majorHAnsi" w:hAnsiTheme="majorHAnsi" w:cstheme="majorHAnsi"/>
          <w:sz w:val="24"/>
          <w:szCs w:val="24"/>
        </w:rPr>
        <w:t>but has</w:t>
      </w:r>
      <w:r>
        <w:rPr>
          <w:rFonts w:asciiTheme="majorHAnsi" w:hAnsiTheme="majorHAnsi" w:cstheme="majorHAnsi"/>
          <w:sz w:val="24"/>
          <w:szCs w:val="24"/>
        </w:rPr>
        <w:t>n’t been able to find a course that would not only interest her but also help her advance in her profession to a senior management position. Her ambition is to advance into a senior position within the next few years after completing her degree, allowing her to provide a solid and secure future for her family.</w:t>
      </w:r>
      <w:r>
        <w:rPr>
          <w:rFonts w:asciiTheme="majorHAnsi" w:hAnsiTheme="majorHAnsi" w:cstheme="majorHAnsi"/>
          <w:sz w:val="24"/>
          <w:szCs w:val="24"/>
        </w:rPr>
        <w:t xml:space="preserve"> (Razoare, </w:t>
      </w:r>
      <w:r w:rsidR="00AF2875">
        <w:rPr>
          <w:rFonts w:asciiTheme="majorHAnsi" w:hAnsiTheme="majorHAnsi" w:cstheme="majorHAnsi"/>
          <w:sz w:val="24"/>
          <w:szCs w:val="24"/>
        </w:rPr>
        <w:t>2021)</w:t>
      </w:r>
    </w:p>
    <w:p w14:paraId="2ACBBB5E" w14:textId="11CD0E43" w:rsidR="00AD170D" w:rsidRDefault="00AD170D" w:rsidP="00AD170D">
      <w:pPr>
        <w:pStyle w:val="Heading2"/>
      </w:pPr>
      <w:bookmarkStart w:id="1" w:name="_Toc87799049"/>
      <w:r>
        <w:t>Management synopsis</w:t>
      </w:r>
      <w:bookmarkEnd w:id="1"/>
      <w:r>
        <w:t xml:space="preserve"> </w:t>
      </w:r>
    </w:p>
    <w:p w14:paraId="02A8DEAF" w14:textId="52810DEA" w:rsidR="00AF2875" w:rsidRDefault="0071788D" w:rsidP="0071788D">
      <w:pPr>
        <w:jc w:val="both"/>
        <w:rPr>
          <w:rFonts w:asciiTheme="majorHAnsi" w:hAnsiTheme="majorHAnsi" w:cstheme="majorHAnsi"/>
          <w:sz w:val="24"/>
          <w:szCs w:val="24"/>
        </w:rPr>
      </w:pPr>
      <w:r w:rsidRPr="0071788D">
        <w:rPr>
          <w:rFonts w:asciiTheme="majorHAnsi" w:hAnsiTheme="majorHAnsi" w:cstheme="majorHAnsi"/>
          <w:sz w:val="24"/>
          <w:szCs w:val="24"/>
        </w:rPr>
        <w:t xml:space="preserve">Many studies look into the factors that drive strategic management and how they affect company processes and output metrics (Ivanova et al., 2019; </w:t>
      </w:r>
      <w:proofErr w:type="spellStart"/>
      <w:r w:rsidRPr="0071788D">
        <w:rPr>
          <w:rFonts w:asciiTheme="majorHAnsi" w:hAnsiTheme="majorHAnsi" w:cstheme="majorHAnsi"/>
          <w:sz w:val="24"/>
          <w:szCs w:val="24"/>
        </w:rPr>
        <w:t>Tacogliu</w:t>
      </w:r>
      <w:proofErr w:type="spellEnd"/>
      <w:r w:rsidRPr="0071788D">
        <w:rPr>
          <w:rFonts w:asciiTheme="majorHAnsi" w:hAnsiTheme="majorHAnsi" w:cstheme="majorHAnsi"/>
          <w:sz w:val="24"/>
          <w:szCs w:val="24"/>
        </w:rPr>
        <w:t xml:space="preserve"> et al., 2019; Oladimeji &amp; </w:t>
      </w:r>
      <w:proofErr w:type="spellStart"/>
      <w:r w:rsidRPr="0071788D">
        <w:rPr>
          <w:rFonts w:asciiTheme="majorHAnsi" w:hAnsiTheme="majorHAnsi" w:cstheme="majorHAnsi"/>
          <w:sz w:val="24"/>
          <w:szCs w:val="24"/>
        </w:rPr>
        <w:t>Udosen</w:t>
      </w:r>
      <w:proofErr w:type="spellEnd"/>
      <w:r w:rsidRPr="0071788D">
        <w:rPr>
          <w:rFonts w:asciiTheme="majorHAnsi" w:hAnsiTheme="majorHAnsi" w:cstheme="majorHAnsi"/>
          <w:sz w:val="24"/>
          <w:szCs w:val="24"/>
        </w:rPr>
        <w:t xml:space="preserve">, 2019). The studies are rather diverse, yet they provide a useful comparison platform. </w:t>
      </w:r>
      <w:r w:rsidR="00237FED">
        <w:rPr>
          <w:rFonts w:asciiTheme="majorHAnsi" w:hAnsiTheme="majorHAnsi" w:cstheme="majorHAnsi"/>
          <w:sz w:val="24"/>
          <w:szCs w:val="24"/>
        </w:rPr>
        <w:t>(</w:t>
      </w:r>
      <w:r w:rsidR="00A92CBA">
        <w:rPr>
          <w:rFonts w:asciiTheme="majorHAnsi" w:hAnsiTheme="majorHAnsi" w:cstheme="majorHAnsi"/>
          <w:sz w:val="24"/>
          <w:szCs w:val="24"/>
        </w:rPr>
        <w:t>Sane,</w:t>
      </w:r>
      <w:r w:rsidR="00237FED">
        <w:rPr>
          <w:rFonts w:asciiTheme="majorHAnsi" w:hAnsiTheme="majorHAnsi" w:cstheme="majorHAnsi"/>
          <w:sz w:val="24"/>
          <w:szCs w:val="24"/>
        </w:rPr>
        <w:t xml:space="preserve"> </w:t>
      </w:r>
      <w:r w:rsidRPr="0071788D">
        <w:rPr>
          <w:rFonts w:asciiTheme="majorHAnsi" w:hAnsiTheme="majorHAnsi" w:cstheme="majorHAnsi"/>
          <w:sz w:val="24"/>
          <w:szCs w:val="24"/>
        </w:rPr>
        <w:t>2017), for example, investigate the impact of strategic management tools on a firm's performance.</w:t>
      </w:r>
    </w:p>
    <w:p w14:paraId="6A0EAFFF" w14:textId="4A0A62DE" w:rsidR="00B70209" w:rsidRDefault="00B70209" w:rsidP="00B70209">
      <w:pPr>
        <w:jc w:val="both"/>
        <w:rPr>
          <w:rFonts w:asciiTheme="majorHAnsi" w:eastAsia="Times New Roman" w:hAnsiTheme="majorHAnsi" w:cstheme="majorHAnsi"/>
          <w:color w:val="000000"/>
          <w:sz w:val="24"/>
          <w:szCs w:val="24"/>
          <w:lang w:eastAsia="en-GB"/>
        </w:rPr>
      </w:pPr>
      <w:r w:rsidRPr="003547DF">
        <w:rPr>
          <w:rFonts w:asciiTheme="majorHAnsi" w:eastAsia="Times New Roman" w:hAnsiTheme="majorHAnsi" w:cstheme="majorHAnsi"/>
          <w:color w:val="000000"/>
          <w:sz w:val="24"/>
          <w:szCs w:val="24"/>
          <w:lang w:eastAsia="en-GB"/>
        </w:rPr>
        <w:t>As a result, competitiveness rises, and the importance of strategic management instruments is scrutinised. The author</w:t>
      </w:r>
      <w:r w:rsidR="00CF716E">
        <w:rPr>
          <w:rFonts w:asciiTheme="majorHAnsi" w:eastAsia="Times New Roman" w:hAnsiTheme="majorHAnsi" w:cstheme="majorHAnsi"/>
          <w:color w:val="000000"/>
          <w:sz w:val="24"/>
          <w:szCs w:val="24"/>
          <w:lang w:eastAsia="en-GB"/>
        </w:rPr>
        <w:t xml:space="preserve"> is </w:t>
      </w:r>
      <w:r w:rsidRPr="003547DF">
        <w:rPr>
          <w:rFonts w:asciiTheme="majorHAnsi" w:eastAsia="Times New Roman" w:hAnsiTheme="majorHAnsi" w:cstheme="majorHAnsi"/>
          <w:color w:val="000000"/>
          <w:sz w:val="24"/>
          <w:szCs w:val="24"/>
          <w:lang w:eastAsia="en-GB"/>
        </w:rPr>
        <w:t>look</w:t>
      </w:r>
      <w:r w:rsidR="00CF716E">
        <w:rPr>
          <w:rFonts w:asciiTheme="majorHAnsi" w:eastAsia="Times New Roman" w:hAnsiTheme="majorHAnsi" w:cstheme="majorHAnsi"/>
          <w:color w:val="000000"/>
          <w:sz w:val="24"/>
          <w:szCs w:val="24"/>
          <w:lang w:eastAsia="en-GB"/>
        </w:rPr>
        <w:t>ing</w:t>
      </w:r>
      <w:r w:rsidRPr="003547DF">
        <w:rPr>
          <w:rFonts w:asciiTheme="majorHAnsi" w:eastAsia="Times New Roman" w:hAnsiTheme="majorHAnsi" w:cstheme="majorHAnsi"/>
          <w:color w:val="000000"/>
          <w:sz w:val="24"/>
          <w:szCs w:val="24"/>
          <w:lang w:eastAsia="en-GB"/>
        </w:rPr>
        <w:t xml:space="preserve"> at the impact of variables on strategic management tool selection as well as the impact of tool usage on a </w:t>
      </w:r>
      <w:r w:rsidR="00CF716E">
        <w:rPr>
          <w:rFonts w:asciiTheme="majorHAnsi" w:eastAsia="Times New Roman" w:hAnsiTheme="majorHAnsi" w:cstheme="majorHAnsi"/>
          <w:color w:val="000000"/>
          <w:sz w:val="24"/>
          <w:szCs w:val="24"/>
          <w:lang w:eastAsia="en-GB"/>
        </w:rPr>
        <w:t>company</w:t>
      </w:r>
      <w:r w:rsidRPr="003547DF">
        <w:rPr>
          <w:rFonts w:asciiTheme="majorHAnsi" w:eastAsia="Times New Roman" w:hAnsiTheme="majorHAnsi" w:cstheme="majorHAnsi"/>
          <w:color w:val="000000"/>
          <w:sz w:val="24"/>
          <w:szCs w:val="24"/>
          <w:lang w:eastAsia="en-GB"/>
        </w:rPr>
        <w:t xml:space="preserve">'s performance. </w:t>
      </w:r>
      <w:r w:rsidR="00CF716E">
        <w:rPr>
          <w:rFonts w:asciiTheme="majorHAnsi" w:eastAsia="Times New Roman" w:hAnsiTheme="majorHAnsi" w:cstheme="majorHAnsi"/>
          <w:color w:val="000000"/>
          <w:sz w:val="24"/>
          <w:szCs w:val="24"/>
          <w:lang w:eastAsia="en-GB"/>
        </w:rPr>
        <w:t>(</w:t>
      </w:r>
      <w:proofErr w:type="spellStart"/>
      <w:r w:rsidRPr="003547DF">
        <w:rPr>
          <w:rFonts w:asciiTheme="majorHAnsi" w:eastAsia="Times New Roman" w:hAnsiTheme="majorHAnsi" w:cstheme="majorHAnsi"/>
          <w:color w:val="000000"/>
          <w:sz w:val="24"/>
          <w:szCs w:val="24"/>
          <w:lang w:eastAsia="en-GB"/>
        </w:rPr>
        <w:t>Milshina</w:t>
      </w:r>
      <w:proofErr w:type="spellEnd"/>
      <w:r w:rsidRPr="003547DF">
        <w:rPr>
          <w:rFonts w:asciiTheme="majorHAnsi" w:eastAsia="Times New Roman" w:hAnsiTheme="majorHAnsi" w:cstheme="majorHAnsi"/>
          <w:color w:val="000000"/>
          <w:sz w:val="24"/>
          <w:szCs w:val="24"/>
          <w:lang w:eastAsia="en-GB"/>
        </w:rPr>
        <w:t xml:space="preserve"> and Vishnevskiy</w:t>
      </w:r>
      <w:r w:rsidR="00CF716E">
        <w:rPr>
          <w:rFonts w:asciiTheme="majorHAnsi" w:eastAsia="Times New Roman" w:hAnsiTheme="majorHAnsi" w:cstheme="majorHAnsi"/>
          <w:color w:val="000000"/>
          <w:sz w:val="24"/>
          <w:szCs w:val="24"/>
          <w:lang w:eastAsia="en-GB"/>
        </w:rPr>
        <w:t xml:space="preserve"> </w:t>
      </w:r>
      <w:r w:rsidRPr="003547DF">
        <w:rPr>
          <w:rFonts w:asciiTheme="majorHAnsi" w:eastAsia="Times New Roman" w:hAnsiTheme="majorHAnsi" w:cstheme="majorHAnsi"/>
          <w:color w:val="000000"/>
          <w:sz w:val="24"/>
          <w:szCs w:val="24"/>
          <w:lang w:eastAsia="en-GB"/>
        </w:rPr>
        <w:t>2017) focused on SMEs' forecasting methods.</w:t>
      </w:r>
    </w:p>
    <w:p w14:paraId="46E9E812" w14:textId="4C82B280" w:rsidR="00FF6A30" w:rsidRPr="00C831F4" w:rsidRDefault="00FF6A30" w:rsidP="001F20D7">
      <w:pPr>
        <w:pStyle w:val="Heading2"/>
      </w:pPr>
      <w:bookmarkStart w:id="2" w:name="_Toc456901517"/>
      <w:bookmarkStart w:id="3" w:name="_Toc87799050"/>
      <w:r w:rsidRPr="00C831F4">
        <w:t>D</w:t>
      </w:r>
      <w:r w:rsidR="00891D67">
        <w:t>epth of critical analysis of your chosen organisation’s internal and external environment</w:t>
      </w:r>
      <w:bookmarkEnd w:id="3"/>
    </w:p>
    <w:p w14:paraId="5DDA2B03" w14:textId="44108454" w:rsidR="003B2D0F" w:rsidRDefault="003B2D0F" w:rsidP="00016916">
      <w:pPr>
        <w:jc w:val="both"/>
        <w:rPr>
          <w:rFonts w:asciiTheme="majorHAnsi" w:hAnsiTheme="majorHAnsi" w:cstheme="majorHAnsi"/>
          <w:sz w:val="24"/>
          <w:szCs w:val="24"/>
        </w:rPr>
      </w:pPr>
      <w:r w:rsidRPr="003B2D0F">
        <w:rPr>
          <w:rFonts w:asciiTheme="majorHAnsi" w:hAnsiTheme="majorHAnsi" w:cstheme="majorHAnsi"/>
          <w:sz w:val="24"/>
          <w:szCs w:val="24"/>
        </w:rPr>
        <w:t xml:space="preserve">Customers' needs and satisfaction levels have risen rapidly as the global economy has developed, and they now have more freedom to obtain what they genuinely want. As a result of the huge number of consumer needs and wants, unexpected changes in client preferences, and technical improvements, modern trade sectors have become more dynamic, complicated, competitive, and volatile. As a result, all enterprises need have a deeper awareness of their core competencies, changes and features in their business environment, customer behaviour, and competition behaviour </w:t>
      </w:r>
      <w:proofErr w:type="gramStart"/>
      <w:r w:rsidRPr="003B2D0F">
        <w:rPr>
          <w:rFonts w:asciiTheme="majorHAnsi" w:hAnsiTheme="majorHAnsi" w:cstheme="majorHAnsi"/>
          <w:sz w:val="24"/>
          <w:szCs w:val="24"/>
        </w:rPr>
        <w:t>in order to</w:t>
      </w:r>
      <w:proofErr w:type="gramEnd"/>
      <w:r w:rsidRPr="003B2D0F">
        <w:rPr>
          <w:rFonts w:asciiTheme="majorHAnsi" w:hAnsiTheme="majorHAnsi" w:cstheme="majorHAnsi"/>
          <w:sz w:val="24"/>
          <w:szCs w:val="24"/>
        </w:rPr>
        <w:t xml:space="preserve"> thrive in the highly competitive market and obtain competitive advantages.</w:t>
      </w:r>
    </w:p>
    <w:p w14:paraId="48B16088" w14:textId="53C35D05" w:rsidR="0085410D" w:rsidRDefault="0085410D" w:rsidP="00016916">
      <w:pPr>
        <w:jc w:val="both"/>
        <w:rPr>
          <w:rFonts w:asciiTheme="majorHAnsi" w:hAnsiTheme="majorHAnsi" w:cstheme="majorHAnsi"/>
          <w:sz w:val="24"/>
          <w:szCs w:val="24"/>
        </w:rPr>
      </w:pPr>
      <w:r w:rsidRPr="0085410D">
        <w:rPr>
          <w:rFonts w:asciiTheme="majorHAnsi" w:hAnsiTheme="majorHAnsi" w:cstheme="majorHAnsi"/>
          <w:sz w:val="24"/>
          <w:szCs w:val="24"/>
        </w:rPr>
        <w:t xml:space="preserve">Companies should develop multiple analyses on their environments on a frequent basis, according to strategic management theories, especially if there have been changes inside organisations or industries. It is critical for businesses to understand the current </w:t>
      </w:r>
      <w:proofErr w:type="gramStart"/>
      <w:r w:rsidRPr="0085410D">
        <w:rPr>
          <w:rFonts w:asciiTheme="majorHAnsi" w:hAnsiTheme="majorHAnsi" w:cstheme="majorHAnsi"/>
          <w:sz w:val="24"/>
          <w:szCs w:val="24"/>
        </w:rPr>
        <w:t>state of affairs</w:t>
      </w:r>
      <w:proofErr w:type="gramEnd"/>
      <w:r w:rsidRPr="0085410D">
        <w:rPr>
          <w:rFonts w:asciiTheme="majorHAnsi" w:hAnsiTheme="majorHAnsi" w:cstheme="majorHAnsi"/>
          <w:sz w:val="24"/>
          <w:szCs w:val="24"/>
        </w:rPr>
        <w:t xml:space="preserve"> both within the organisation and in the external environment in order to anticipate potential crises and seize opportunities. Every minute, the world changes, pushing organisations to adjust as well, and necessitating up-to-date analysis.</w:t>
      </w:r>
    </w:p>
    <w:p w14:paraId="0DAF5E45" w14:textId="0BE1BEB6" w:rsidR="0030173B" w:rsidRDefault="00016916" w:rsidP="00016916">
      <w:pPr>
        <w:jc w:val="both"/>
        <w:rPr>
          <w:rFonts w:asciiTheme="majorHAnsi" w:hAnsiTheme="majorHAnsi" w:cstheme="majorHAnsi"/>
          <w:sz w:val="24"/>
          <w:szCs w:val="24"/>
        </w:rPr>
      </w:pPr>
      <w:r w:rsidRPr="00016916">
        <w:rPr>
          <w:rFonts w:asciiTheme="majorHAnsi" w:hAnsiTheme="majorHAnsi" w:cstheme="majorHAnsi"/>
          <w:sz w:val="24"/>
          <w:szCs w:val="24"/>
        </w:rPr>
        <w:t>Brenntag's internal strengths and shortcomings were analysed in the perspective of the company's industry. External elements are those that are outside of the company's control. Brenntag's strengths and weaknesses, as well as threats and opportunities in the competitive market, were identified using SWOT</w:t>
      </w:r>
      <w:r w:rsidR="00BD301F">
        <w:rPr>
          <w:rFonts w:asciiTheme="majorHAnsi" w:hAnsiTheme="majorHAnsi" w:cstheme="majorHAnsi"/>
          <w:sz w:val="24"/>
          <w:szCs w:val="24"/>
        </w:rPr>
        <w:t xml:space="preserve"> and</w:t>
      </w:r>
      <w:r w:rsidRPr="00016916">
        <w:rPr>
          <w:rFonts w:asciiTheme="majorHAnsi" w:hAnsiTheme="majorHAnsi" w:cstheme="majorHAnsi"/>
          <w:sz w:val="24"/>
          <w:szCs w:val="24"/>
        </w:rPr>
        <w:t xml:space="preserve"> PEST Analysis, while </w:t>
      </w:r>
      <w:proofErr w:type="gramStart"/>
      <w:r w:rsidRPr="00016916">
        <w:rPr>
          <w:rFonts w:asciiTheme="majorHAnsi" w:hAnsiTheme="majorHAnsi" w:cstheme="majorHAnsi"/>
          <w:sz w:val="24"/>
          <w:szCs w:val="24"/>
        </w:rPr>
        <w:t>taking into account</w:t>
      </w:r>
      <w:proofErr w:type="gramEnd"/>
      <w:r w:rsidRPr="00016916">
        <w:rPr>
          <w:rFonts w:asciiTheme="majorHAnsi" w:hAnsiTheme="majorHAnsi" w:cstheme="majorHAnsi"/>
          <w:sz w:val="24"/>
          <w:szCs w:val="24"/>
        </w:rPr>
        <w:t xml:space="preserve"> numerous political, economic, social, and technological variables.</w:t>
      </w:r>
    </w:p>
    <w:p w14:paraId="72F1EC81" w14:textId="31F67E53" w:rsidR="00016916" w:rsidRPr="00016916" w:rsidRDefault="00016916" w:rsidP="00016916">
      <w:pPr>
        <w:jc w:val="both"/>
        <w:rPr>
          <w:rFonts w:asciiTheme="majorHAnsi" w:eastAsia="Times New Roman" w:hAnsiTheme="majorHAnsi" w:cstheme="majorHAnsi"/>
          <w:b/>
          <w:bCs/>
          <w:color w:val="000000"/>
          <w:sz w:val="24"/>
          <w:szCs w:val="24"/>
          <w:lang w:eastAsia="en-GB"/>
        </w:rPr>
      </w:pPr>
      <w:r w:rsidRPr="00016916">
        <w:rPr>
          <w:rFonts w:asciiTheme="majorHAnsi" w:eastAsia="Times New Roman" w:hAnsiTheme="majorHAnsi" w:cstheme="majorHAnsi"/>
          <w:b/>
          <w:bCs/>
          <w:color w:val="000000"/>
          <w:sz w:val="24"/>
          <w:szCs w:val="24"/>
          <w:lang w:eastAsia="en-GB"/>
        </w:rPr>
        <w:t>SWOT Analysi</w:t>
      </w:r>
      <w:r w:rsidRPr="00016916">
        <w:rPr>
          <w:rFonts w:asciiTheme="majorHAnsi" w:eastAsia="Times New Roman" w:hAnsiTheme="majorHAnsi" w:cstheme="majorHAnsi"/>
          <w:b/>
          <w:bCs/>
          <w:color w:val="000000"/>
          <w:sz w:val="24"/>
          <w:szCs w:val="24"/>
          <w:lang w:eastAsia="en-GB"/>
        </w:rPr>
        <w:t>s</w:t>
      </w:r>
      <w:r>
        <w:rPr>
          <w:rFonts w:asciiTheme="majorHAnsi" w:eastAsia="Times New Roman" w:hAnsiTheme="majorHAnsi" w:cstheme="majorHAnsi"/>
          <w:b/>
          <w:bCs/>
          <w:color w:val="000000"/>
          <w:sz w:val="24"/>
          <w:szCs w:val="24"/>
          <w:lang w:eastAsia="en-GB"/>
        </w:rPr>
        <w:t>:</w:t>
      </w:r>
    </w:p>
    <w:p w14:paraId="082B45BC" w14:textId="4990219C" w:rsidR="00016916" w:rsidRDefault="00016916" w:rsidP="00016916">
      <w:pPr>
        <w:jc w:val="both"/>
        <w:rPr>
          <w:rFonts w:asciiTheme="majorHAnsi" w:eastAsia="Times New Roman" w:hAnsiTheme="majorHAnsi" w:cstheme="majorHAnsi"/>
          <w:color w:val="000000"/>
          <w:sz w:val="24"/>
          <w:szCs w:val="24"/>
          <w:lang w:eastAsia="en-GB"/>
        </w:rPr>
      </w:pPr>
      <w:r w:rsidRPr="00DB089F">
        <w:rPr>
          <w:rFonts w:asciiTheme="majorHAnsi" w:eastAsia="Times New Roman" w:hAnsiTheme="majorHAnsi" w:cstheme="majorHAnsi"/>
          <w:color w:val="000000"/>
          <w:sz w:val="24"/>
          <w:szCs w:val="24"/>
          <w:lang w:eastAsia="en-GB"/>
        </w:rPr>
        <w:lastRenderedPageBreak/>
        <w:t>The important concerns from the business environment and an organization's strategic capacity that are most likely to effect strategy creation are summarised in a SWOT analysis (</w:t>
      </w:r>
      <w:r w:rsidR="0029612E" w:rsidRPr="0029612E">
        <w:rPr>
          <w:rFonts w:asciiTheme="majorHAnsi" w:hAnsiTheme="majorHAnsi" w:cstheme="majorHAnsi"/>
          <w:sz w:val="24"/>
          <w:szCs w:val="24"/>
          <w:shd w:val="clear" w:color="auto" w:fill="FFFFFF"/>
        </w:rPr>
        <w:t>A</w:t>
      </w:r>
      <w:r w:rsidR="0029612E">
        <w:rPr>
          <w:rFonts w:asciiTheme="majorHAnsi" w:hAnsiTheme="majorHAnsi" w:cstheme="majorHAnsi"/>
          <w:sz w:val="24"/>
          <w:szCs w:val="24"/>
          <w:shd w:val="clear" w:color="auto" w:fill="FFFFFF"/>
        </w:rPr>
        <w:t>ugusto Felicio, J., 2012)</w:t>
      </w:r>
      <w:r w:rsidRPr="00DB089F">
        <w:rPr>
          <w:rFonts w:asciiTheme="majorHAnsi" w:eastAsia="Times New Roman" w:hAnsiTheme="majorHAnsi" w:cstheme="majorHAnsi"/>
          <w:color w:val="000000"/>
          <w:sz w:val="24"/>
          <w:szCs w:val="24"/>
          <w:lang w:eastAsia="en-GB"/>
        </w:rPr>
        <w:t>.</w:t>
      </w:r>
      <w:r>
        <w:rPr>
          <w:rFonts w:asciiTheme="majorHAnsi" w:eastAsia="Times New Roman" w:hAnsiTheme="majorHAnsi" w:cstheme="majorHAnsi"/>
          <w:color w:val="000000"/>
          <w:sz w:val="24"/>
          <w:szCs w:val="24"/>
          <w:lang w:eastAsia="en-GB"/>
        </w:rPr>
        <w:t xml:space="preserve"> </w:t>
      </w:r>
      <w:r w:rsidRPr="00DB089F">
        <w:rPr>
          <w:rFonts w:asciiTheme="majorHAnsi" w:eastAsia="Times New Roman" w:hAnsiTheme="majorHAnsi" w:cstheme="majorHAnsi"/>
          <w:color w:val="000000"/>
          <w:sz w:val="24"/>
          <w:szCs w:val="24"/>
          <w:lang w:eastAsia="en-GB"/>
        </w:rPr>
        <w:t>Thus, internal business environment strengths and weaknesses are present, and external business environment possibilities and threats are present</w:t>
      </w:r>
      <w:r>
        <w:rPr>
          <w:rFonts w:asciiTheme="majorHAnsi" w:eastAsia="Times New Roman" w:hAnsiTheme="majorHAnsi" w:cstheme="majorHAnsi"/>
          <w:color w:val="000000"/>
          <w:sz w:val="24"/>
          <w:szCs w:val="24"/>
          <w:lang w:eastAsia="en-GB"/>
        </w:rPr>
        <w:t>.</w:t>
      </w:r>
    </w:p>
    <w:p w14:paraId="5E9CDD8F" w14:textId="42ECAB17" w:rsidR="00712414" w:rsidRDefault="001E5FC6" w:rsidP="00712414">
      <w:pPr>
        <w:jc w:val="both"/>
        <w:rPr>
          <w:rFonts w:asciiTheme="majorHAnsi" w:hAnsiTheme="majorHAnsi" w:cstheme="majorHAnsi"/>
          <w:sz w:val="24"/>
          <w:szCs w:val="24"/>
        </w:rPr>
      </w:pPr>
      <w:r w:rsidRPr="001E5FC6">
        <w:rPr>
          <w:rFonts w:asciiTheme="majorHAnsi" w:hAnsiTheme="majorHAnsi" w:cstheme="majorHAnsi"/>
          <w:sz w:val="24"/>
          <w:szCs w:val="24"/>
        </w:rPr>
        <w:t>Brenntag's strengths were highlighted in the third quarter of 2021, when operating gross profit increased by 23.7 percent to 862.3 million EUR, operating EBITDA increased by 29.7% to 342.9 million EUR, and earnings per share increased by 34 percent to 1.02 EUR, despite continuing exceptional market conditions.</w:t>
      </w:r>
    </w:p>
    <w:p w14:paraId="11CD393C" w14:textId="2540519F" w:rsidR="00712414" w:rsidRPr="00712414" w:rsidRDefault="00712414" w:rsidP="0071241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sidRPr="00712414">
        <w:rPr>
          <w:rFonts w:asciiTheme="majorHAnsi" w:eastAsia="Times New Roman" w:hAnsiTheme="majorHAnsi" w:cstheme="majorHAnsi"/>
          <w:color w:val="212529"/>
          <w:sz w:val="24"/>
          <w:szCs w:val="24"/>
          <w:lang w:eastAsia="en-GB"/>
        </w:rPr>
        <w:t>- Product mix success - Brenntag offers a wide range of product mix possibilities to its customers. It aids the organisation in catering to numerous industry customer segments.</w:t>
      </w:r>
    </w:p>
    <w:p w14:paraId="09197676" w14:textId="77777777" w:rsidR="00712414" w:rsidRPr="00712414" w:rsidRDefault="00712414" w:rsidP="0071241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sidRPr="00712414">
        <w:rPr>
          <w:rFonts w:asciiTheme="majorHAnsi" w:eastAsia="Times New Roman" w:hAnsiTheme="majorHAnsi" w:cstheme="majorHAnsi"/>
          <w:color w:val="212529"/>
          <w:sz w:val="24"/>
          <w:szCs w:val="24"/>
          <w:lang w:eastAsia="en-GB"/>
        </w:rPr>
        <w:t>- Strong Market Leadership Position - In the industry, Brenntag holds a strong market leadership position. It has aided the corporation in swiftly scaling the success of new goods.</w:t>
      </w:r>
    </w:p>
    <w:p w14:paraId="05CF1CC4" w14:textId="30E2412B" w:rsidR="00712414" w:rsidRDefault="00712414" w:rsidP="0071241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sidRPr="00712414">
        <w:rPr>
          <w:rFonts w:asciiTheme="majorHAnsi" w:eastAsia="Times New Roman" w:hAnsiTheme="majorHAnsi" w:cstheme="majorHAnsi"/>
          <w:color w:val="212529"/>
          <w:sz w:val="24"/>
          <w:szCs w:val="24"/>
          <w:lang w:eastAsia="en-GB"/>
        </w:rPr>
        <w:t>- Extensive dealer and associate network - Brenntag has a large dealer and associate network that not only assists in providing efficient services to clients but also assists in handling competitive issues in the industry.</w:t>
      </w:r>
    </w:p>
    <w:p w14:paraId="11D401E8"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Diverse Revenue Models - Brenntag has dabbled in a variety of industries outside the sector throughout the years. As a result, the company has been able to diversify its revenue streams beyond the sector and segment.</w:t>
      </w:r>
    </w:p>
    <w:p w14:paraId="0D59EE29"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Strong brand awareness - Brenntag's products are well-known in the industry. As a result, the corporation has been able to demand a higher price than its competitors in the industry.</w:t>
      </w:r>
    </w:p>
    <w:p w14:paraId="17153374" w14:textId="4E125C4E" w:rsidR="0071241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Innovation track record - While most participants in the industry aspire to innovate, Brenntag has a proven track record of consumer-driven innovation.</w:t>
      </w:r>
    </w:p>
    <w:p w14:paraId="2E230A70"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Brenntag's weaknesses might be either a lack of strengths or a lack of resources for competencies that are required but that the organisation currently lacks. Decision makers must determine if the vulnerability is due to a lack of strategic preparation or a strategic choice.</w:t>
      </w:r>
    </w:p>
    <w:p w14:paraId="17E3A607" w14:textId="644C74F6" w:rsidR="0071241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Brenntag's market share is declining while sales are expanding - the industry is growing faster than the company. In such a circumstance, Brenntag must carefully examine the sector's numerous tendencies and determine what it needs to do to generate future growth.</w:t>
      </w:r>
    </w:p>
    <w:p w14:paraId="2EAFEE4E"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Gross and operating margins that may be improved, putting pressure on the Brenntag financial statement in the future.</w:t>
      </w:r>
    </w:p>
    <w:p w14:paraId="2E55EB45"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Competitors in the industrial name industry can readily copy Brenntag's business model. To address these issues, the organisation must develop a platform model that can combine suppliers, vendors, and end users.</w:t>
      </w:r>
    </w:p>
    <w:p w14:paraId="642FEA0A" w14:textId="0F3E3FC5" w:rsid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lastRenderedPageBreak/>
        <w:t xml:space="preserve">- Expensive replacement of existing Brenntag expertise. The Brenntag knowledge base is entrusted to a small number of </w:t>
      </w:r>
      <w:r w:rsidRPr="001C09A4">
        <w:rPr>
          <w:rFonts w:asciiTheme="majorHAnsi" w:hAnsiTheme="majorHAnsi" w:cstheme="majorHAnsi"/>
          <w:sz w:val="24"/>
          <w:szCs w:val="24"/>
        </w:rPr>
        <w:t>personnel and</w:t>
      </w:r>
      <w:r w:rsidRPr="001C09A4">
        <w:rPr>
          <w:rFonts w:asciiTheme="majorHAnsi" w:hAnsiTheme="majorHAnsi" w:cstheme="majorHAnsi"/>
          <w:sz w:val="24"/>
          <w:szCs w:val="24"/>
        </w:rPr>
        <w:t xml:space="preserve"> replacing them will be difficult under the current circumstances.</w:t>
      </w:r>
    </w:p>
    <w:p w14:paraId="7F01F4D0" w14:textId="77777777" w:rsidR="001C09A4" w:rsidRP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Niche markets and local monopolies, which companies like Brenntag may profit from, are rapidly dwindling. Brenntag's advertised customer network is proving to be less and less effective.</w:t>
      </w:r>
    </w:p>
    <w:p w14:paraId="16E9FBE9" w14:textId="0D1BF8D8" w:rsidR="001C09A4" w:rsidRDefault="001C09A4" w:rsidP="001C09A4">
      <w:pPr>
        <w:jc w:val="both"/>
        <w:rPr>
          <w:rFonts w:asciiTheme="majorHAnsi" w:hAnsiTheme="majorHAnsi" w:cstheme="majorHAnsi"/>
          <w:sz w:val="24"/>
          <w:szCs w:val="24"/>
        </w:rPr>
      </w:pPr>
      <w:r w:rsidRPr="001C09A4">
        <w:rPr>
          <w:rFonts w:asciiTheme="majorHAnsi" w:hAnsiTheme="majorHAnsi" w:cstheme="majorHAnsi"/>
          <w:sz w:val="24"/>
          <w:szCs w:val="24"/>
        </w:rPr>
        <w:t xml:space="preserve">- Brenntag's customer-oriented services have a low investment level. - As a result, competitors may acquire an advantage </w:t>
      </w:r>
      <w:proofErr w:type="gramStart"/>
      <w:r w:rsidRPr="001C09A4">
        <w:rPr>
          <w:rFonts w:asciiTheme="majorHAnsi" w:hAnsiTheme="majorHAnsi" w:cstheme="majorHAnsi"/>
          <w:sz w:val="24"/>
          <w:szCs w:val="24"/>
        </w:rPr>
        <w:t>in the near future</w:t>
      </w:r>
      <w:proofErr w:type="gramEnd"/>
      <w:r w:rsidRPr="001C09A4">
        <w:rPr>
          <w:rFonts w:asciiTheme="majorHAnsi" w:hAnsiTheme="majorHAnsi" w:cstheme="majorHAnsi"/>
          <w:sz w:val="24"/>
          <w:szCs w:val="24"/>
        </w:rPr>
        <w:t xml:space="preserve">. Brenntag </w:t>
      </w:r>
      <w:proofErr w:type="gramStart"/>
      <w:r w:rsidRPr="001C09A4">
        <w:rPr>
          <w:rFonts w:asciiTheme="majorHAnsi" w:hAnsiTheme="majorHAnsi" w:cstheme="majorHAnsi"/>
          <w:sz w:val="24"/>
          <w:szCs w:val="24"/>
        </w:rPr>
        <w:t>has to</w:t>
      </w:r>
      <w:proofErr w:type="gramEnd"/>
      <w:r w:rsidRPr="001C09A4">
        <w:rPr>
          <w:rFonts w:asciiTheme="majorHAnsi" w:hAnsiTheme="majorHAnsi" w:cstheme="majorHAnsi"/>
          <w:sz w:val="24"/>
          <w:szCs w:val="24"/>
        </w:rPr>
        <w:t xml:space="preserve"> invest more in research and development, particularly in apps that are focused on customer service.</w:t>
      </w:r>
    </w:p>
    <w:p w14:paraId="662703B2" w14:textId="77777777" w:rsidR="00285583" w:rsidRP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The term "opportunities" refers to areas where the company can see possibilities for growth, profits, and market share.</w:t>
      </w:r>
    </w:p>
    <w:p w14:paraId="01C5A4ED" w14:textId="77777777" w:rsidR="00285583" w:rsidRP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xml:space="preserve">- Lower inflation rate - A low inflation rate stabilises the market and allows Brenntag clients to obtain loans at a lower interest rate. Brenntag's sales will improve </w:t>
      </w:r>
      <w:proofErr w:type="gramStart"/>
      <w:r w:rsidRPr="00285583">
        <w:rPr>
          <w:rFonts w:asciiTheme="majorHAnsi" w:hAnsiTheme="majorHAnsi" w:cstheme="majorHAnsi"/>
          <w:sz w:val="24"/>
          <w:szCs w:val="24"/>
        </w:rPr>
        <w:t>as a result of</w:t>
      </w:r>
      <w:proofErr w:type="gramEnd"/>
      <w:r w:rsidRPr="00285583">
        <w:rPr>
          <w:rFonts w:asciiTheme="majorHAnsi" w:hAnsiTheme="majorHAnsi" w:cstheme="majorHAnsi"/>
          <w:sz w:val="24"/>
          <w:szCs w:val="24"/>
        </w:rPr>
        <w:t xml:space="preserve"> this.</w:t>
      </w:r>
    </w:p>
    <w:p w14:paraId="05262AD9" w14:textId="4CBF6756" w:rsid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The rapid expansion of the economy will allow Brenntag to grow into new markets. Brenntag already has the know-how to compete in this industry.</w:t>
      </w:r>
    </w:p>
    <w:p w14:paraId="3BFE49A1" w14:textId="77777777" w:rsidR="00285583" w:rsidRP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Online Opportunities - As clients use online services more frequently, Brenntag will be able to offer new services to industry customers.</w:t>
      </w:r>
    </w:p>
    <w:p w14:paraId="255B8852" w14:textId="77777777" w:rsidR="00285583" w:rsidRP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Local Collaboration - Collaboration with local players can help Brenntag expand its market share in international markets. Local actors have local knowledge, whereas Brenntag may bring global procedures and execution knowledge to the table.</w:t>
      </w:r>
    </w:p>
    <w:p w14:paraId="65EC3232" w14:textId="54BF9F36" w:rsid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Using third-party retail partners and a dedicated social network, lower the cost of new product releases. Brenntag can take advantage of a developing trend by starting small and scaling up following a new product's initial success.</w:t>
      </w:r>
    </w:p>
    <w:p w14:paraId="564BC3E4" w14:textId="2473D337" w:rsidR="00285583" w:rsidRDefault="00285583" w:rsidP="00285583">
      <w:pPr>
        <w:jc w:val="both"/>
        <w:rPr>
          <w:rFonts w:asciiTheme="majorHAnsi" w:hAnsiTheme="majorHAnsi" w:cstheme="majorHAnsi"/>
          <w:sz w:val="24"/>
          <w:szCs w:val="24"/>
        </w:rPr>
      </w:pPr>
      <w:r w:rsidRPr="00285583">
        <w:rPr>
          <w:rFonts w:asciiTheme="majorHAnsi" w:hAnsiTheme="majorHAnsi" w:cstheme="majorHAnsi"/>
          <w:sz w:val="24"/>
          <w:szCs w:val="24"/>
        </w:rPr>
        <w:t xml:space="preserve">- Government rules are making it more difficult for unorganised players to function in the industry. Brenntag may be able to expand its customer base </w:t>
      </w:r>
      <w:proofErr w:type="gramStart"/>
      <w:r w:rsidRPr="00285583">
        <w:rPr>
          <w:rFonts w:asciiTheme="majorHAnsi" w:hAnsiTheme="majorHAnsi" w:cstheme="majorHAnsi"/>
          <w:sz w:val="24"/>
          <w:szCs w:val="24"/>
        </w:rPr>
        <w:t>as a result of</w:t>
      </w:r>
      <w:proofErr w:type="gramEnd"/>
      <w:r w:rsidRPr="00285583">
        <w:rPr>
          <w:rFonts w:asciiTheme="majorHAnsi" w:hAnsiTheme="majorHAnsi" w:cstheme="majorHAnsi"/>
          <w:sz w:val="24"/>
          <w:szCs w:val="24"/>
        </w:rPr>
        <w:t xml:space="preserve"> this.</w:t>
      </w:r>
    </w:p>
    <w:p w14:paraId="2C00B397" w14:textId="61EA861E" w:rsidR="00BB0627" w:rsidRDefault="00BB0627" w:rsidP="00016916">
      <w:pPr>
        <w:jc w:val="both"/>
        <w:rPr>
          <w:rFonts w:asciiTheme="majorHAnsi" w:hAnsiTheme="majorHAnsi" w:cstheme="majorHAnsi"/>
          <w:b/>
          <w:bCs/>
          <w:sz w:val="24"/>
          <w:szCs w:val="24"/>
        </w:rPr>
      </w:pPr>
      <w:r>
        <w:rPr>
          <w:rFonts w:asciiTheme="majorHAnsi" w:hAnsiTheme="majorHAnsi" w:cstheme="majorHAnsi"/>
          <w:b/>
          <w:bCs/>
          <w:sz w:val="24"/>
          <w:szCs w:val="24"/>
        </w:rPr>
        <w:t>PESTLE Analysis:</w:t>
      </w:r>
    </w:p>
    <w:p w14:paraId="7D282A8D" w14:textId="3729FC61" w:rsidR="00BB0627" w:rsidRDefault="00BB0627" w:rsidP="00016916">
      <w:pPr>
        <w:jc w:val="both"/>
        <w:rPr>
          <w:rFonts w:asciiTheme="majorHAnsi" w:hAnsiTheme="majorHAnsi" w:cstheme="majorHAnsi"/>
          <w:sz w:val="24"/>
          <w:szCs w:val="24"/>
        </w:rPr>
      </w:pPr>
      <w:r w:rsidRPr="00BB0627">
        <w:rPr>
          <w:rFonts w:asciiTheme="majorHAnsi" w:hAnsiTheme="majorHAnsi" w:cstheme="majorHAnsi"/>
          <w:sz w:val="24"/>
          <w:szCs w:val="24"/>
        </w:rPr>
        <w:t>Brenntag managers can utilise PESTEL Analysis as a strategic management tool to make better decisions. PESTEL stands for Political, Social, Economic, Technological, Environmental, and Legal elements that influence the company's macro environment.</w:t>
      </w:r>
    </w:p>
    <w:p w14:paraId="60C3EB41" w14:textId="7D8BA64A" w:rsidR="00BB0627" w:rsidRDefault="00BB0627" w:rsidP="00016916">
      <w:pPr>
        <w:jc w:val="both"/>
        <w:rPr>
          <w:rFonts w:asciiTheme="majorHAnsi" w:hAnsiTheme="majorHAnsi" w:cstheme="majorHAnsi"/>
          <w:sz w:val="24"/>
          <w:szCs w:val="24"/>
        </w:rPr>
      </w:pPr>
      <w:r w:rsidRPr="00BB0627">
        <w:rPr>
          <w:rFonts w:asciiTheme="majorHAnsi" w:hAnsiTheme="majorHAnsi" w:cstheme="majorHAnsi"/>
          <w:sz w:val="24"/>
          <w:szCs w:val="24"/>
        </w:rPr>
        <w:t>Brenntag operates in a dynamic environment that is influenced by a variety of factors, including rising consumer environmental activism, technological advancements, expanding regulatory framework for environmental factors, consumer spending behaviour, government decisions, collective social trends, regulatory framework, and an ever-changing legal system.</w:t>
      </w:r>
    </w:p>
    <w:p w14:paraId="71775965" w14:textId="538E182D" w:rsidR="00BB0627" w:rsidRDefault="00BB0627" w:rsidP="00016916">
      <w:pPr>
        <w:jc w:val="both"/>
        <w:rPr>
          <w:rFonts w:asciiTheme="majorHAnsi" w:hAnsiTheme="majorHAnsi" w:cstheme="majorHAnsi"/>
          <w:sz w:val="24"/>
          <w:szCs w:val="24"/>
        </w:rPr>
      </w:pPr>
      <w:r w:rsidRPr="00BB0627">
        <w:rPr>
          <w:rFonts w:asciiTheme="majorHAnsi" w:hAnsiTheme="majorHAnsi" w:cstheme="majorHAnsi"/>
          <w:sz w:val="24"/>
          <w:szCs w:val="24"/>
        </w:rPr>
        <w:t xml:space="preserve">Political Factors Affecting Brenntag - Political Stability in Existing Markets – Because Brenntag works in </w:t>
      </w:r>
      <w:proofErr w:type="gramStart"/>
      <w:r w:rsidRPr="00BB0627">
        <w:rPr>
          <w:rFonts w:asciiTheme="majorHAnsi" w:hAnsiTheme="majorHAnsi" w:cstheme="majorHAnsi"/>
          <w:sz w:val="24"/>
          <w:szCs w:val="24"/>
        </w:rPr>
        <w:t>a number of</w:t>
      </w:r>
      <w:proofErr w:type="gramEnd"/>
      <w:r w:rsidRPr="00BB0627">
        <w:rPr>
          <w:rFonts w:asciiTheme="majorHAnsi" w:hAnsiTheme="majorHAnsi" w:cstheme="majorHAnsi"/>
          <w:sz w:val="24"/>
          <w:szCs w:val="24"/>
        </w:rPr>
        <w:t xml:space="preserve"> countries, it must develop policies unique to the Chemical Manufacturing </w:t>
      </w:r>
      <w:r w:rsidRPr="00BB0627">
        <w:rPr>
          <w:rFonts w:asciiTheme="majorHAnsi" w:hAnsiTheme="majorHAnsi" w:cstheme="majorHAnsi"/>
          <w:sz w:val="24"/>
          <w:szCs w:val="24"/>
        </w:rPr>
        <w:lastRenderedPageBreak/>
        <w:t>business in each one. Given the current surge in populism around the world, I believe Germany will experience similar patterns, which could lead to more market volatility.</w:t>
      </w:r>
    </w:p>
    <w:p w14:paraId="0D424985" w14:textId="030112BE" w:rsidR="00BB0627" w:rsidRDefault="00BB0627" w:rsidP="00016916">
      <w:pPr>
        <w:jc w:val="both"/>
        <w:rPr>
          <w:rFonts w:asciiTheme="majorHAnsi" w:hAnsiTheme="majorHAnsi" w:cstheme="majorHAnsi"/>
          <w:sz w:val="24"/>
          <w:szCs w:val="24"/>
        </w:rPr>
      </w:pPr>
      <w:r w:rsidRPr="00BB0627">
        <w:rPr>
          <w:rFonts w:asciiTheme="majorHAnsi" w:hAnsiTheme="majorHAnsi" w:cstheme="majorHAnsi"/>
          <w:sz w:val="24"/>
          <w:szCs w:val="24"/>
        </w:rPr>
        <w:t xml:space="preserve">Taxes policies – Brenntag has benefited from decreased taxation laws across the Western Hemisphere for the past two decades. It has resulted in increased revenues and research and development spending. In Germany, rising inequality may lead to changes in taxation policies. Second, local governments are looking into chemical manufacturing-specific taxation policies </w:t>
      </w:r>
      <w:proofErr w:type="gramStart"/>
      <w:r w:rsidRPr="00BB0627">
        <w:rPr>
          <w:rFonts w:asciiTheme="majorHAnsi" w:hAnsiTheme="majorHAnsi" w:cstheme="majorHAnsi"/>
          <w:sz w:val="24"/>
          <w:szCs w:val="24"/>
        </w:rPr>
        <w:t>in order to</w:t>
      </w:r>
      <w:proofErr w:type="gramEnd"/>
      <w:r w:rsidRPr="00BB0627">
        <w:rPr>
          <w:rFonts w:asciiTheme="majorHAnsi" w:hAnsiTheme="majorHAnsi" w:cstheme="majorHAnsi"/>
          <w:sz w:val="24"/>
          <w:szCs w:val="24"/>
        </w:rPr>
        <w:t xml:space="preserve"> reduce the sector's carbon footprint.</w:t>
      </w:r>
    </w:p>
    <w:p w14:paraId="1FF62D59" w14:textId="77777777"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The German government is facing increased international pressure to comply with World Trade Organization standards governing the chemical manufacturing industry.</w:t>
      </w:r>
    </w:p>
    <w:p w14:paraId="5B38A33E" w14:textId="66C79DB7" w:rsidR="00BB0627"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Regulatory Practices - Brenntag must comply with a variety of rules in the markets where it operates. Over the last few years, rules in Germany and other growing nations have altered, affecting not only market access but also how chemical manufacturing businesses can function in their respective markets.</w:t>
      </w:r>
    </w:p>
    <w:p w14:paraId="41E820AF" w14:textId="77777777"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Governance System — Germany's current governance system has served its purpose for a long time, and I don't expect much to change in the process, even if it may produce leaders who can make policy decisions that differ from the historical norm. To forecast trends, Brenntag AG must keep a close eye on industry-wide government initiatives.</w:t>
      </w:r>
    </w:p>
    <w:p w14:paraId="12FA6B92" w14:textId="434403B7" w:rsid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Local governments in Germany are important – Unlike in most other nations, local governments in Germany play an important role in policymaking and regulation. Rather than developing national policies in Germany, Brenntag must closely monitor the states and territories where it operates.</w:t>
      </w:r>
    </w:p>
    <w:p w14:paraId="311EEE58" w14:textId="673B1A89"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 xml:space="preserve">Economic Cycles </w:t>
      </w:r>
      <w:r>
        <w:rPr>
          <w:rFonts w:asciiTheme="majorHAnsi" w:hAnsiTheme="majorHAnsi" w:cstheme="majorHAnsi"/>
          <w:sz w:val="24"/>
          <w:szCs w:val="24"/>
        </w:rPr>
        <w:t>–</w:t>
      </w:r>
      <w:r w:rsidRPr="003A4F15">
        <w:rPr>
          <w:rFonts w:asciiTheme="majorHAnsi" w:hAnsiTheme="majorHAnsi" w:cstheme="majorHAnsi"/>
          <w:sz w:val="24"/>
          <w:szCs w:val="24"/>
        </w:rPr>
        <w:t xml:space="preserve"> Brenntag</w:t>
      </w:r>
      <w:r>
        <w:rPr>
          <w:rFonts w:asciiTheme="majorHAnsi" w:hAnsiTheme="majorHAnsi" w:cstheme="majorHAnsi"/>
          <w:sz w:val="24"/>
          <w:szCs w:val="24"/>
        </w:rPr>
        <w:t xml:space="preserve"> </w:t>
      </w:r>
      <w:r w:rsidRPr="003A4F15">
        <w:rPr>
          <w:rFonts w:asciiTheme="majorHAnsi" w:hAnsiTheme="majorHAnsi" w:cstheme="majorHAnsi"/>
          <w:sz w:val="24"/>
          <w:szCs w:val="24"/>
        </w:rPr>
        <w:t xml:space="preserve">performance in Germany is directly linked to the country's overall economic performance. Increased globalisation and the use of local resources to cater to global markets have </w:t>
      </w:r>
      <w:r w:rsidRPr="003A4F15">
        <w:rPr>
          <w:rFonts w:asciiTheme="majorHAnsi" w:hAnsiTheme="majorHAnsi" w:cstheme="majorHAnsi"/>
          <w:sz w:val="24"/>
          <w:szCs w:val="24"/>
        </w:rPr>
        <w:t>fuelled</w:t>
      </w:r>
      <w:r w:rsidRPr="003A4F15">
        <w:rPr>
          <w:rFonts w:asciiTheme="majorHAnsi" w:hAnsiTheme="majorHAnsi" w:cstheme="majorHAnsi"/>
          <w:sz w:val="24"/>
          <w:szCs w:val="24"/>
        </w:rPr>
        <w:t xml:space="preserve"> growth during the previous two decades.</w:t>
      </w:r>
    </w:p>
    <w:p w14:paraId="0AAA7D1D" w14:textId="7CAC2D6D"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Brenntag can access vibrant financial markets and cheap liquidity in Germany's share market, allowing it to expand further abroad.</w:t>
      </w:r>
    </w:p>
    <w:p w14:paraId="32B3FD21" w14:textId="06FA308C" w:rsidR="003A4F15" w:rsidRP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 xml:space="preserve">Consumer spending will be put under downward pressure </w:t>
      </w:r>
      <w:proofErr w:type="gramStart"/>
      <w:r w:rsidRPr="003A4F15">
        <w:rPr>
          <w:rFonts w:asciiTheme="majorHAnsi" w:hAnsiTheme="majorHAnsi" w:cstheme="majorHAnsi"/>
          <w:sz w:val="24"/>
          <w:szCs w:val="24"/>
        </w:rPr>
        <w:t>despite the fact that</w:t>
      </w:r>
      <w:proofErr w:type="gramEnd"/>
      <w:r w:rsidRPr="003A4F15">
        <w:rPr>
          <w:rFonts w:asciiTheme="majorHAnsi" w:hAnsiTheme="majorHAnsi" w:cstheme="majorHAnsi"/>
          <w:sz w:val="24"/>
          <w:szCs w:val="24"/>
        </w:rPr>
        <w:t xml:space="preserve"> consumer disposable income has been consistent. Growing inequality in society will have a detrimental impact</w:t>
      </w:r>
      <w:r w:rsidRPr="003A4F15">
        <w:t xml:space="preserve"> </w:t>
      </w:r>
      <w:r w:rsidRPr="003A4F15">
        <w:rPr>
          <w:rFonts w:asciiTheme="majorHAnsi" w:hAnsiTheme="majorHAnsi" w:cstheme="majorHAnsi"/>
          <w:sz w:val="24"/>
          <w:szCs w:val="24"/>
        </w:rPr>
        <w:t>Inflation rate – Following the Great Recession of 2018, the market's easy liquidity will lead to higher inflation in Germany's economy.</w:t>
      </w:r>
    </w:p>
    <w:p w14:paraId="234F6052" w14:textId="333EE23C" w:rsidR="003A4F15" w:rsidRDefault="003A4F15" w:rsidP="003A4F15">
      <w:pPr>
        <w:jc w:val="both"/>
        <w:rPr>
          <w:rFonts w:asciiTheme="majorHAnsi" w:hAnsiTheme="majorHAnsi" w:cstheme="majorHAnsi"/>
          <w:sz w:val="24"/>
          <w:szCs w:val="24"/>
        </w:rPr>
      </w:pPr>
      <w:r w:rsidRPr="003A4F15">
        <w:rPr>
          <w:rFonts w:asciiTheme="majorHAnsi" w:hAnsiTheme="majorHAnsi" w:cstheme="majorHAnsi"/>
          <w:sz w:val="24"/>
          <w:szCs w:val="24"/>
        </w:rPr>
        <w:t>Workforce skill level in Germany - In the Basic Materials sector, human resource skill levels in Germany range from moderate to high. Brenntag can use it to not only improve services in Germany, but also to develop global prospects by leveraging the trained workforce. on consumer sentiment and, as a result, consumer spending behaviour.</w:t>
      </w:r>
    </w:p>
    <w:p w14:paraId="0E79D697" w14:textId="0C23E5A8" w:rsidR="003A4F15" w:rsidRDefault="00392229" w:rsidP="003A4F15">
      <w:pPr>
        <w:jc w:val="both"/>
        <w:rPr>
          <w:rFonts w:asciiTheme="majorHAnsi" w:hAnsiTheme="majorHAnsi" w:cstheme="majorHAnsi"/>
          <w:sz w:val="24"/>
          <w:szCs w:val="24"/>
        </w:rPr>
      </w:pPr>
      <w:r w:rsidRPr="00392229">
        <w:rPr>
          <w:rFonts w:asciiTheme="majorHAnsi" w:hAnsiTheme="majorHAnsi" w:cstheme="majorHAnsi"/>
          <w:sz w:val="24"/>
          <w:szCs w:val="24"/>
        </w:rPr>
        <w:t xml:space="preserve">Core infrastructure availability in Germany - The German government has expanded its investment in creating core infrastructure throughout the years </w:t>
      </w:r>
      <w:proofErr w:type="gramStart"/>
      <w:r w:rsidRPr="00392229">
        <w:rPr>
          <w:rFonts w:asciiTheme="majorHAnsi" w:hAnsiTheme="majorHAnsi" w:cstheme="majorHAnsi"/>
          <w:sz w:val="24"/>
          <w:szCs w:val="24"/>
        </w:rPr>
        <w:t>in order to</w:t>
      </w:r>
      <w:proofErr w:type="gramEnd"/>
      <w:r w:rsidRPr="00392229">
        <w:rPr>
          <w:rFonts w:asciiTheme="majorHAnsi" w:hAnsiTheme="majorHAnsi" w:cstheme="majorHAnsi"/>
          <w:sz w:val="24"/>
          <w:szCs w:val="24"/>
        </w:rPr>
        <w:t xml:space="preserve"> facilitate and improve the business </w:t>
      </w:r>
      <w:r w:rsidRPr="00392229">
        <w:rPr>
          <w:rFonts w:asciiTheme="majorHAnsi" w:hAnsiTheme="majorHAnsi" w:cstheme="majorHAnsi"/>
          <w:sz w:val="24"/>
          <w:szCs w:val="24"/>
        </w:rPr>
        <w:lastRenderedPageBreak/>
        <w:t>environment. Brenntag has access to existing infrastructure to help foster expansion in Germany's Basic Materials sector.</w:t>
      </w:r>
    </w:p>
    <w:p w14:paraId="0CBE87C8" w14:textId="77777777" w:rsidR="00392229" w:rsidRP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Extreme weather is also increasing Brenntag's operating costs, as the company must invest in making its supply network more flexible.</w:t>
      </w:r>
    </w:p>
    <w:p w14:paraId="046BBC02" w14:textId="77777777" w:rsidR="00392229" w:rsidRP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Waste management, particularly for operations in urban areas, has become increasingly important for companies like Brenntag AG. The German government has enacted severe waste management regulations in metropolitan areas.</w:t>
      </w:r>
    </w:p>
    <w:p w14:paraId="34183C9E" w14:textId="77777777" w:rsidR="00392229" w:rsidRP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Brenntag is also interested in renewable energy technology. It can take advantage of the industry's current trends. Subsidies are being offered by Germany to encourage investment in the renewable energy sector.</w:t>
      </w:r>
    </w:p>
    <w:p w14:paraId="582E1F84" w14:textId="72C0BC71" w:rsid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Regular inspections by environmental regulators are also increasing the Brenntag's operating costs.</w:t>
      </w:r>
    </w:p>
    <w:p w14:paraId="1305461F" w14:textId="77777777" w:rsidR="00392229" w:rsidRP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In Germany's economy, recycling is quickly becoming the standard rather than the exception. In the Basic Materials industry, Brenntag must establish preparations to comply with requirements and expectations.</w:t>
      </w:r>
    </w:p>
    <w:p w14:paraId="670A2E70" w14:textId="13D9157F" w:rsidR="00392229" w:rsidRDefault="00392229" w:rsidP="00392229">
      <w:pPr>
        <w:jc w:val="both"/>
        <w:rPr>
          <w:rFonts w:asciiTheme="majorHAnsi" w:hAnsiTheme="majorHAnsi" w:cstheme="majorHAnsi"/>
          <w:sz w:val="24"/>
          <w:szCs w:val="24"/>
        </w:rPr>
      </w:pPr>
      <w:r w:rsidRPr="00392229">
        <w:rPr>
          <w:rFonts w:asciiTheme="majorHAnsi" w:hAnsiTheme="majorHAnsi" w:cstheme="majorHAnsi"/>
          <w:sz w:val="24"/>
          <w:szCs w:val="24"/>
        </w:rPr>
        <w:t>The Paris Climate Agreement has set concrete goals for Germany's national government to meet. As a result, environmental regulations for Brenntag in Germany may be scrutinised more closely.</w:t>
      </w:r>
    </w:p>
    <w:p w14:paraId="1B0F5D60" w14:textId="482F8EDC" w:rsidR="001F20D7" w:rsidRDefault="00891D67" w:rsidP="001F20D7">
      <w:pPr>
        <w:pStyle w:val="Heading2"/>
      </w:pPr>
      <w:bookmarkStart w:id="4" w:name="_Toc87799051"/>
      <w:r>
        <w:t>Conduct a stakeholder analysis and an evaluation of stakeholder expectations</w:t>
      </w:r>
      <w:bookmarkEnd w:id="4"/>
    </w:p>
    <w:p w14:paraId="63885BEC" w14:textId="1F1F3F71" w:rsidR="006832B1" w:rsidRDefault="006832B1" w:rsidP="006832B1">
      <w:pPr>
        <w:jc w:val="both"/>
        <w:rPr>
          <w:rFonts w:asciiTheme="majorHAnsi" w:hAnsiTheme="majorHAnsi" w:cstheme="majorHAnsi"/>
          <w:sz w:val="24"/>
          <w:szCs w:val="24"/>
        </w:rPr>
      </w:pPr>
      <w:r w:rsidRPr="006832B1">
        <w:rPr>
          <w:rFonts w:asciiTheme="majorHAnsi" w:hAnsiTheme="majorHAnsi" w:cstheme="majorHAnsi"/>
          <w:sz w:val="24"/>
          <w:szCs w:val="24"/>
        </w:rPr>
        <w:t>Stakeholders, according to Clarkson (1995), are "persons or groups who have, or claim, ownership, rights, or interests in a corporation and its past, present, or future actions." He divides them into two categories: primary stakeholders (shareholders, employees, consumers, and those with regulatory authority or other forms of influence over the firm) and secondary stakeholders (those with whom the organisation interacts but who are not important to its survival) (Freeman 1984; Clarkson 1995).</w:t>
      </w:r>
    </w:p>
    <w:p w14:paraId="0CD18A2D" w14:textId="1B6FCBCB" w:rsidR="00ED2ACC" w:rsidRPr="006832B1" w:rsidRDefault="00ED2ACC" w:rsidP="006832B1">
      <w:pPr>
        <w:jc w:val="both"/>
        <w:rPr>
          <w:rFonts w:asciiTheme="majorHAnsi" w:hAnsiTheme="majorHAnsi" w:cstheme="majorHAnsi"/>
          <w:sz w:val="24"/>
          <w:szCs w:val="24"/>
        </w:rPr>
      </w:pPr>
      <w:r w:rsidRPr="00ED2ACC">
        <w:rPr>
          <w:rFonts w:asciiTheme="majorHAnsi" w:hAnsiTheme="majorHAnsi" w:cstheme="majorHAnsi"/>
          <w:sz w:val="24"/>
          <w:szCs w:val="24"/>
        </w:rPr>
        <w:t>External stakeholders (usually other organisations) who may either contribute to, compete with, or have a special interest in the functioning of one's organisation are also classified according to their organisational location: internal stakeholders (operating within the confines of the organisation), interface stakeholders (interacting with the external environment), and external stakeholders (interacting with the external environment) (</w:t>
      </w:r>
      <w:proofErr w:type="spellStart"/>
      <w:r w:rsidRPr="00ED2ACC">
        <w:rPr>
          <w:rFonts w:asciiTheme="majorHAnsi" w:hAnsiTheme="majorHAnsi" w:cstheme="majorHAnsi"/>
          <w:sz w:val="24"/>
          <w:szCs w:val="24"/>
        </w:rPr>
        <w:t>Fottler</w:t>
      </w:r>
      <w:proofErr w:type="spellEnd"/>
      <w:r w:rsidRPr="00ED2ACC">
        <w:rPr>
          <w:rFonts w:asciiTheme="majorHAnsi" w:hAnsiTheme="majorHAnsi" w:cstheme="majorHAnsi"/>
          <w:sz w:val="24"/>
          <w:szCs w:val="24"/>
        </w:rPr>
        <w:t xml:space="preserve"> et al. 1989; Blair and </w:t>
      </w:r>
      <w:proofErr w:type="spellStart"/>
      <w:r w:rsidRPr="00ED2ACC">
        <w:rPr>
          <w:rFonts w:asciiTheme="majorHAnsi" w:hAnsiTheme="majorHAnsi" w:cstheme="majorHAnsi"/>
          <w:sz w:val="24"/>
          <w:szCs w:val="24"/>
        </w:rPr>
        <w:t>Fottler</w:t>
      </w:r>
      <w:proofErr w:type="spellEnd"/>
      <w:r w:rsidRPr="00ED2ACC">
        <w:rPr>
          <w:rFonts w:asciiTheme="majorHAnsi" w:hAnsiTheme="majorHAnsi" w:cstheme="majorHAnsi"/>
          <w:sz w:val="24"/>
          <w:szCs w:val="24"/>
        </w:rPr>
        <w:t xml:space="preserve"> 1990). They are typically viewed in antagonistic terms, as either chances for collaboration or threats (Blair and </w:t>
      </w:r>
      <w:proofErr w:type="spellStart"/>
      <w:r w:rsidRPr="00ED2ACC">
        <w:rPr>
          <w:rFonts w:asciiTheme="majorHAnsi" w:hAnsiTheme="majorHAnsi" w:cstheme="majorHAnsi"/>
          <w:sz w:val="24"/>
          <w:szCs w:val="24"/>
        </w:rPr>
        <w:t>Fottler</w:t>
      </w:r>
      <w:proofErr w:type="spellEnd"/>
      <w:r w:rsidRPr="00ED2ACC">
        <w:rPr>
          <w:rFonts w:asciiTheme="majorHAnsi" w:hAnsiTheme="majorHAnsi" w:cstheme="majorHAnsi"/>
          <w:sz w:val="24"/>
          <w:szCs w:val="24"/>
        </w:rPr>
        <w:t xml:space="preserve"> 1990).</w:t>
      </w:r>
    </w:p>
    <w:p w14:paraId="772229EC" w14:textId="3C16D6A1" w:rsidR="00F47DC4" w:rsidRDefault="000179D8" w:rsidP="000179D8">
      <w:pPr>
        <w:jc w:val="both"/>
        <w:rPr>
          <w:rFonts w:asciiTheme="majorHAnsi" w:hAnsiTheme="majorHAnsi" w:cstheme="majorHAnsi"/>
          <w:sz w:val="24"/>
          <w:szCs w:val="24"/>
        </w:rPr>
      </w:pPr>
      <w:r w:rsidRPr="000179D8">
        <w:rPr>
          <w:rFonts w:asciiTheme="majorHAnsi" w:hAnsiTheme="majorHAnsi" w:cstheme="majorHAnsi"/>
          <w:sz w:val="24"/>
          <w:szCs w:val="24"/>
        </w:rPr>
        <w:t xml:space="preserve">During the last decade, references to stakeholders and the use of stakeholder analysis as a methodology have grown in popularity in the domains of management, development, and health policy. This popularity reflects a growing awareness among managers, policymakers, and researchers of the critical role of stakeholders (individuals, groups, and organisations) with a stake </w:t>
      </w:r>
      <w:r w:rsidRPr="000179D8">
        <w:rPr>
          <w:rFonts w:asciiTheme="majorHAnsi" w:hAnsiTheme="majorHAnsi" w:cstheme="majorHAnsi"/>
          <w:sz w:val="24"/>
          <w:szCs w:val="24"/>
        </w:rPr>
        <w:lastRenderedPageBreak/>
        <w:t xml:space="preserve">in and the ability to influence an organization's, </w:t>
      </w:r>
      <w:r w:rsidRPr="000179D8">
        <w:rPr>
          <w:rFonts w:asciiTheme="majorHAnsi" w:hAnsiTheme="majorHAnsi" w:cstheme="majorHAnsi"/>
          <w:sz w:val="24"/>
          <w:szCs w:val="24"/>
        </w:rPr>
        <w:t>projects</w:t>
      </w:r>
      <w:r w:rsidRPr="000179D8">
        <w:rPr>
          <w:rFonts w:asciiTheme="majorHAnsi" w:hAnsiTheme="majorHAnsi" w:cstheme="majorHAnsi"/>
          <w:sz w:val="24"/>
          <w:szCs w:val="24"/>
        </w:rPr>
        <w:t xml:space="preserve">, or policy direction (Mason and Mitroff 1981; </w:t>
      </w:r>
      <w:proofErr w:type="spellStart"/>
      <w:r w:rsidR="003A65A3">
        <w:rPr>
          <w:rFonts w:asciiTheme="majorHAnsi" w:hAnsiTheme="majorHAnsi" w:cstheme="majorHAnsi"/>
          <w:sz w:val="24"/>
          <w:szCs w:val="24"/>
        </w:rPr>
        <w:t>Varvasovszky</w:t>
      </w:r>
      <w:proofErr w:type="spellEnd"/>
      <w:r w:rsidR="003A65A3">
        <w:rPr>
          <w:rFonts w:asciiTheme="majorHAnsi" w:hAnsiTheme="majorHAnsi" w:cstheme="majorHAnsi"/>
          <w:sz w:val="24"/>
          <w:szCs w:val="24"/>
        </w:rPr>
        <w:t xml:space="preserve"> and </w:t>
      </w:r>
      <w:proofErr w:type="spellStart"/>
      <w:r w:rsidR="003A65A3">
        <w:rPr>
          <w:rFonts w:asciiTheme="majorHAnsi" w:hAnsiTheme="majorHAnsi" w:cstheme="majorHAnsi"/>
          <w:sz w:val="24"/>
          <w:szCs w:val="24"/>
        </w:rPr>
        <w:t>Brugha</w:t>
      </w:r>
      <w:proofErr w:type="spellEnd"/>
      <w:r w:rsidRPr="000179D8">
        <w:rPr>
          <w:rFonts w:asciiTheme="majorHAnsi" w:hAnsiTheme="majorHAnsi" w:cstheme="majorHAnsi"/>
          <w:sz w:val="24"/>
          <w:szCs w:val="24"/>
        </w:rPr>
        <w:t xml:space="preserve"> </w:t>
      </w:r>
      <w:r w:rsidR="003A65A3">
        <w:rPr>
          <w:rFonts w:asciiTheme="majorHAnsi" w:hAnsiTheme="majorHAnsi" w:cstheme="majorHAnsi"/>
          <w:sz w:val="24"/>
          <w:szCs w:val="24"/>
        </w:rPr>
        <w:t>2000</w:t>
      </w:r>
      <w:r w:rsidRPr="000179D8">
        <w:rPr>
          <w:rFonts w:asciiTheme="majorHAnsi" w:hAnsiTheme="majorHAnsi" w:cstheme="majorHAnsi"/>
          <w:sz w:val="24"/>
          <w:szCs w:val="24"/>
        </w:rPr>
        <w:t>).</w:t>
      </w:r>
    </w:p>
    <w:p w14:paraId="5334B4F4" w14:textId="28C5C000" w:rsidR="00096739" w:rsidRDefault="00096739" w:rsidP="000179D8">
      <w:pPr>
        <w:jc w:val="both"/>
        <w:rPr>
          <w:rFonts w:asciiTheme="majorHAnsi" w:hAnsiTheme="majorHAnsi" w:cstheme="majorHAnsi"/>
          <w:sz w:val="24"/>
          <w:szCs w:val="24"/>
        </w:rPr>
      </w:pPr>
      <w:r w:rsidRPr="00096739">
        <w:rPr>
          <w:rFonts w:asciiTheme="majorHAnsi" w:hAnsiTheme="majorHAnsi" w:cstheme="majorHAnsi"/>
          <w:sz w:val="24"/>
          <w:szCs w:val="24"/>
        </w:rPr>
        <w:t>One can gain a knowledge of - and possibly uncover chances for changing - how decisions are made in a particular setting by collecting and analysing data on stakeholders. Although stakeholder techniques and concepts have been articulated within business management since the early 1930s (Clarkson</w:t>
      </w:r>
      <w:r w:rsidR="00CF502D">
        <w:rPr>
          <w:rFonts w:asciiTheme="majorHAnsi" w:hAnsiTheme="majorHAnsi" w:cstheme="majorHAnsi"/>
          <w:sz w:val="24"/>
          <w:szCs w:val="24"/>
        </w:rPr>
        <w:t xml:space="preserve"> </w:t>
      </w:r>
      <w:r w:rsidRPr="00096739">
        <w:rPr>
          <w:rFonts w:asciiTheme="majorHAnsi" w:hAnsiTheme="majorHAnsi" w:cstheme="majorHAnsi"/>
          <w:sz w:val="24"/>
          <w:szCs w:val="24"/>
        </w:rPr>
        <w:t>1995), the widespread use of the term' stakeholder' in general language is a comparatively modern occurrence, particularly in politics (</w:t>
      </w:r>
      <w:proofErr w:type="spellStart"/>
      <w:r w:rsidR="00CF502D">
        <w:rPr>
          <w:rFonts w:asciiTheme="majorHAnsi" w:hAnsiTheme="majorHAnsi" w:cstheme="majorHAnsi"/>
          <w:sz w:val="24"/>
          <w:szCs w:val="24"/>
        </w:rPr>
        <w:t>Fassin</w:t>
      </w:r>
      <w:proofErr w:type="spellEnd"/>
      <w:r w:rsidRPr="00096739">
        <w:rPr>
          <w:rFonts w:asciiTheme="majorHAnsi" w:hAnsiTheme="majorHAnsi" w:cstheme="majorHAnsi"/>
          <w:sz w:val="24"/>
          <w:szCs w:val="24"/>
        </w:rPr>
        <w:t xml:space="preserve"> 1996).</w:t>
      </w:r>
    </w:p>
    <w:p w14:paraId="45638EF9" w14:textId="4D068AAC" w:rsidR="00E070C9" w:rsidRDefault="00C57D45" w:rsidP="000179D8">
      <w:pPr>
        <w:jc w:val="both"/>
        <w:rPr>
          <w:rFonts w:asciiTheme="majorHAnsi" w:hAnsiTheme="majorHAnsi" w:cstheme="majorHAnsi"/>
          <w:sz w:val="24"/>
          <w:szCs w:val="24"/>
        </w:rPr>
      </w:pPr>
      <w:r w:rsidRPr="00C57D45">
        <w:rPr>
          <w:rFonts w:asciiTheme="majorHAnsi" w:hAnsiTheme="majorHAnsi" w:cstheme="majorHAnsi"/>
          <w:sz w:val="24"/>
          <w:szCs w:val="24"/>
        </w:rPr>
        <w:t>Stakeholder analysis is used to assess and comprehend stakeholders from the perspective of an organisation, as well as to identify their importance to a project or policy. Questions concerning the position, interest, influence, interrelationships, networks, and other features of stakeholders are asked during the study, with reference to their past, present, and future possibilities (</w:t>
      </w:r>
      <w:r w:rsidR="00315258" w:rsidRPr="00315258">
        <w:rPr>
          <w:rFonts w:asciiTheme="majorHAnsi" w:hAnsiTheme="majorHAnsi" w:cstheme="majorHAnsi"/>
          <w:sz w:val="24"/>
          <w:szCs w:val="24"/>
          <w:shd w:val="clear" w:color="auto" w:fill="FFFFFF"/>
        </w:rPr>
        <w:t>D</w:t>
      </w:r>
      <w:r w:rsidR="00315258">
        <w:rPr>
          <w:rFonts w:asciiTheme="majorHAnsi" w:hAnsiTheme="majorHAnsi" w:cstheme="majorHAnsi"/>
          <w:sz w:val="24"/>
          <w:szCs w:val="24"/>
          <w:shd w:val="clear" w:color="auto" w:fill="FFFFFF"/>
        </w:rPr>
        <w:t>avies</w:t>
      </w:r>
      <w:r w:rsidR="00315258" w:rsidRPr="00315258">
        <w:rPr>
          <w:rFonts w:asciiTheme="majorHAnsi" w:hAnsiTheme="majorHAnsi" w:cstheme="majorHAnsi"/>
          <w:sz w:val="24"/>
          <w:szCs w:val="24"/>
          <w:shd w:val="clear" w:color="auto" w:fill="FFFFFF"/>
        </w:rPr>
        <w:t>, C., 1982</w:t>
      </w:r>
      <w:r w:rsidRPr="00C57D45">
        <w:rPr>
          <w:rFonts w:asciiTheme="majorHAnsi" w:hAnsiTheme="majorHAnsi" w:cstheme="majorHAnsi"/>
          <w:sz w:val="24"/>
          <w:szCs w:val="24"/>
        </w:rPr>
        <w:t>; F</w:t>
      </w:r>
      <w:r w:rsidR="00B73796">
        <w:rPr>
          <w:rFonts w:asciiTheme="majorHAnsi" w:hAnsiTheme="majorHAnsi" w:cstheme="majorHAnsi"/>
          <w:sz w:val="24"/>
          <w:szCs w:val="24"/>
        </w:rPr>
        <w:t>errary 2009</w:t>
      </w:r>
      <w:r w:rsidRPr="00C57D45">
        <w:rPr>
          <w:rFonts w:asciiTheme="majorHAnsi" w:hAnsiTheme="majorHAnsi" w:cstheme="majorHAnsi"/>
          <w:sz w:val="24"/>
          <w:szCs w:val="24"/>
        </w:rPr>
        <w:t>; Blair et al. 1990). Many of the aspects of stakeholder analysis may be found in development and policy literature that predates the phrase by decades. This paper explores some of the different historical foundations of stakeholder analysis.</w:t>
      </w:r>
    </w:p>
    <w:p w14:paraId="0F02B7E9" w14:textId="49327EF4" w:rsidR="00A15984" w:rsidRDefault="00A15984" w:rsidP="000179D8">
      <w:pPr>
        <w:jc w:val="both"/>
        <w:rPr>
          <w:rFonts w:asciiTheme="majorHAnsi" w:hAnsiTheme="majorHAnsi" w:cstheme="majorHAnsi"/>
          <w:sz w:val="24"/>
          <w:szCs w:val="24"/>
        </w:rPr>
      </w:pPr>
      <w:r w:rsidRPr="00A15984">
        <w:rPr>
          <w:rFonts w:asciiTheme="majorHAnsi" w:hAnsiTheme="majorHAnsi" w:cstheme="majorHAnsi"/>
          <w:sz w:val="24"/>
          <w:szCs w:val="24"/>
        </w:rPr>
        <w:t>The first significant difference between the UK and Germany is the objective of their corporate governance regulations. "Good corporate governance should contribute to greater firm performance by enabling a board discharge its duties in the best interests of shareholders; if it is ignored, the consequence may well be vulnerability or bad performance," according to the UK regulator. Good governance should enable efficient, effective, and entrepreneurial management to deliver long-term shareholder benefit" (Financial Reporting Council, 2008, p.1).</w:t>
      </w:r>
    </w:p>
    <w:p w14:paraId="54D95764" w14:textId="7DED96DB" w:rsidR="00A15984" w:rsidRDefault="00A15984" w:rsidP="00A15984">
      <w:pPr>
        <w:jc w:val="both"/>
        <w:rPr>
          <w:rFonts w:asciiTheme="majorHAnsi" w:hAnsiTheme="majorHAnsi" w:cstheme="majorHAnsi"/>
          <w:sz w:val="24"/>
          <w:szCs w:val="24"/>
          <w:shd w:val="clear" w:color="auto" w:fill="FFFFFF"/>
        </w:rPr>
      </w:pPr>
      <w:r w:rsidRPr="00A15984">
        <w:rPr>
          <w:rFonts w:asciiTheme="majorHAnsi" w:hAnsiTheme="majorHAnsi" w:cstheme="majorHAnsi"/>
          <w:sz w:val="24"/>
          <w:szCs w:val="24"/>
        </w:rPr>
        <w:t>The goal of the German corporate governance code, on the other hand, is to "...increase worldwide and national investors', customers', employees', and the general public's trust in the management and supervision of listed German stock businesses" (The German Corporate Governance Code, 2008, p.1). These quotes from the two governance codes show that the focus in the UK is on safeguarding the interests of shareholders, whereas the focus in Germany is on protecting the interests of a broad range of stakeholders. In the same way, there are disparities in legal systems, capital markets, ownership structures, code formation, and innovations.</w:t>
      </w:r>
      <w:r>
        <w:rPr>
          <w:rFonts w:asciiTheme="majorHAnsi" w:hAnsiTheme="majorHAnsi" w:cstheme="majorHAnsi"/>
          <w:sz w:val="24"/>
          <w:szCs w:val="24"/>
        </w:rPr>
        <w:t xml:space="preserve"> </w:t>
      </w:r>
      <w:r w:rsidRPr="007E626F">
        <w:rPr>
          <w:rFonts w:asciiTheme="majorHAnsi" w:hAnsiTheme="majorHAnsi" w:cstheme="majorHAnsi"/>
          <w:sz w:val="24"/>
          <w:szCs w:val="24"/>
          <w:shd w:val="clear" w:color="auto" w:fill="FFFFFF"/>
        </w:rPr>
        <w:t>(Kaufmann &amp; Valderrama, </w:t>
      </w:r>
      <w:hyperlink r:id="rId11" w:anchor="ijfe2053-bib-0052" w:history="1">
        <w:r w:rsidRPr="00A15984">
          <w:rPr>
            <w:rStyle w:val="Hyperlink"/>
            <w:rFonts w:asciiTheme="majorHAnsi" w:hAnsiTheme="majorHAnsi" w:cstheme="majorHAnsi"/>
            <w:color w:val="auto"/>
            <w:sz w:val="24"/>
            <w:szCs w:val="24"/>
            <w:u w:val="none"/>
          </w:rPr>
          <w:t>2008</w:t>
        </w:r>
      </w:hyperlink>
      <w:r w:rsidRPr="007E626F">
        <w:rPr>
          <w:rFonts w:asciiTheme="majorHAnsi" w:hAnsiTheme="majorHAnsi" w:cstheme="majorHAnsi"/>
          <w:sz w:val="24"/>
          <w:szCs w:val="24"/>
          <w:shd w:val="clear" w:color="auto" w:fill="FFFFFF"/>
        </w:rPr>
        <w:t>; Seidl, Sanderson, Roberts</w:t>
      </w:r>
      <w:r w:rsidR="00883CD4">
        <w:rPr>
          <w:rFonts w:asciiTheme="majorHAnsi" w:hAnsiTheme="majorHAnsi" w:cstheme="majorHAnsi"/>
          <w:sz w:val="24"/>
          <w:szCs w:val="24"/>
          <w:shd w:val="clear" w:color="auto" w:fill="FFFFFF"/>
        </w:rPr>
        <w:t xml:space="preserve"> &amp; </w:t>
      </w:r>
      <w:proofErr w:type="spellStart"/>
      <w:r w:rsidR="00883CD4" w:rsidRPr="00883CD4">
        <w:rPr>
          <w:rFonts w:asciiTheme="majorHAnsi" w:hAnsiTheme="majorHAnsi" w:cstheme="majorHAnsi"/>
          <w:sz w:val="24"/>
          <w:szCs w:val="24"/>
          <w:shd w:val="clear" w:color="auto" w:fill="FFFFFF"/>
        </w:rPr>
        <w:t>K</w:t>
      </w:r>
      <w:r w:rsidR="00883CD4">
        <w:rPr>
          <w:rFonts w:asciiTheme="majorHAnsi" w:hAnsiTheme="majorHAnsi" w:cstheme="majorHAnsi"/>
          <w:sz w:val="24"/>
          <w:szCs w:val="24"/>
          <w:shd w:val="clear" w:color="auto" w:fill="FFFFFF"/>
        </w:rPr>
        <w:t>rivokapic</w:t>
      </w:r>
      <w:proofErr w:type="spellEnd"/>
      <w:r w:rsidRPr="007E626F">
        <w:rPr>
          <w:rFonts w:asciiTheme="majorHAnsi" w:hAnsiTheme="majorHAnsi" w:cstheme="majorHAnsi"/>
          <w:sz w:val="24"/>
          <w:szCs w:val="24"/>
          <w:shd w:val="clear" w:color="auto" w:fill="FFFFFF"/>
        </w:rPr>
        <w:t>, </w:t>
      </w:r>
      <w:hyperlink r:id="rId12" w:anchor="ijfe2053-bib-0074" w:history="1">
        <w:r w:rsidRPr="00A15984">
          <w:rPr>
            <w:rStyle w:val="Hyperlink"/>
            <w:rFonts w:asciiTheme="majorHAnsi" w:hAnsiTheme="majorHAnsi" w:cstheme="majorHAnsi"/>
            <w:color w:val="auto"/>
            <w:sz w:val="24"/>
            <w:szCs w:val="24"/>
            <w:u w:val="none"/>
          </w:rPr>
          <w:t>2013</w:t>
        </w:r>
      </w:hyperlink>
      <w:r w:rsidRPr="007E626F">
        <w:rPr>
          <w:rFonts w:asciiTheme="majorHAnsi" w:hAnsiTheme="majorHAnsi" w:cstheme="majorHAnsi"/>
          <w:sz w:val="24"/>
          <w:szCs w:val="24"/>
          <w:shd w:val="clear" w:color="auto" w:fill="FFFFFF"/>
        </w:rPr>
        <w:t>).</w:t>
      </w:r>
    </w:p>
    <w:p w14:paraId="051741F4" w14:textId="78132552" w:rsidR="003E68E6" w:rsidRDefault="003E68E6" w:rsidP="00A15984">
      <w:pPr>
        <w:jc w:val="both"/>
        <w:rPr>
          <w:rFonts w:asciiTheme="majorHAnsi" w:hAnsiTheme="majorHAnsi" w:cstheme="majorHAnsi"/>
          <w:sz w:val="24"/>
          <w:szCs w:val="24"/>
          <w:shd w:val="clear" w:color="auto" w:fill="FFFFFF"/>
        </w:rPr>
      </w:pPr>
      <w:r w:rsidRPr="003E68E6">
        <w:rPr>
          <w:rFonts w:asciiTheme="majorHAnsi" w:hAnsiTheme="majorHAnsi" w:cstheme="majorHAnsi"/>
          <w:sz w:val="24"/>
          <w:szCs w:val="24"/>
          <w:shd w:val="clear" w:color="auto" w:fill="FFFFFF"/>
        </w:rPr>
        <w:t xml:space="preserve">On June 10, 2021, Brenntag, the world's leading distributor of chemicals and additives, had its Ordinary General Shareholders' Meeting. Due to the persistent limits of the COVID-19 epidemic, the meeting was held entirely online, as it had been the previous year. The highlights of the financial year 2020 as well as the first months of 2021 were presented by Christian </w:t>
      </w:r>
      <w:proofErr w:type="spellStart"/>
      <w:r w:rsidRPr="003E68E6">
        <w:rPr>
          <w:rFonts w:asciiTheme="majorHAnsi" w:hAnsiTheme="majorHAnsi" w:cstheme="majorHAnsi"/>
          <w:sz w:val="24"/>
          <w:szCs w:val="24"/>
          <w:shd w:val="clear" w:color="auto" w:fill="FFFFFF"/>
        </w:rPr>
        <w:t>Kohlpaintner</w:t>
      </w:r>
      <w:proofErr w:type="spellEnd"/>
      <w:r w:rsidRPr="003E68E6">
        <w:rPr>
          <w:rFonts w:asciiTheme="majorHAnsi" w:hAnsiTheme="majorHAnsi" w:cstheme="majorHAnsi"/>
          <w:sz w:val="24"/>
          <w:szCs w:val="24"/>
          <w:shd w:val="clear" w:color="auto" w:fill="FFFFFF"/>
        </w:rPr>
        <w:t xml:space="preserve">, Chief Executive Officer Brenntag SE, and Georg Müller, Chief Financial Officer Brenntag SE, with a focus on the strong performance in the two most important key figures, gross </w:t>
      </w:r>
      <w:r w:rsidRPr="003E68E6">
        <w:rPr>
          <w:rFonts w:asciiTheme="majorHAnsi" w:hAnsiTheme="majorHAnsi" w:cstheme="majorHAnsi"/>
          <w:sz w:val="24"/>
          <w:szCs w:val="24"/>
          <w:shd w:val="clear" w:color="auto" w:fill="FFFFFF"/>
        </w:rPr>
        <w:t>profit,</w:t>
      </w:r>
      <w:r w:rsidRPr="003E68E6">
        <w:rPr>
          <w:rFonts w:asciiTheme="majorHAnsi" w:hAnsiTheme="majorHAnsi" w:cstheme="majorHAnsi"/>
          <w:sz w:val="24"/>
          <w:szCs w:val="24"/>
          <w:shd w:val="clear" w:color="auto" w:fill="FFFFFF"/>
        </w:rPr>
        <w:t xml:space="preserve"> and operating EBITDA.</w:t>
      </w:r>
      <w:r>
        <w:rPr>
          <w:rFonts w:asciiTheme="majorHAnsi" w:hAnsiTheme="majorHAnsi" w:cstheme="majorHAnsi"/>
          <w:sz w:val="24"/>
          <w:szCs w:val="24"/>
          <w:shd w:val="clear" w:color="auto" w:fill="FFFFFF"/>
        </w:rPr>
        <w:t xml:space="preserve"> </w:t>
      </w:r>
      <w:r w:rsidRPr="003E68E6">
        <w:rPr>
          <w:rFonts w:asciiTheme="majorHAnsi" w:hAnsiTheme="majorHAnsi" w:cstheme="majorHAnsi"/>
          <w:sz w:val="24"/>
          <w:szCs w:val="24"/>
          <w:shd w:val="clear" w:color="auto" w:fill="FFFFFF"/>
        </w:rPr>
        <w:t>The management also gave an overview of the "Project Brenntag" complete transformation programme and the progress made thus far.</w:t>
      </w:r>
    </w:p>
    <w:p w14:paraId="118BB4C7" w14:textId="2926F175" w:rsidR="003E68E6" w:rsidRDefault="003E68E6" w:rsidP="00A15984">
      <w:pPr>
        <w:jc w:val="both"/>
        <w:rPr>
          <w:rFonts w:asciiTheme="majorHAnsi" w:hAnsiTheme="majorHAnsi" w:cstheme="majorHAnsi"/>
          <w:sz w:val="24"/>
          <w:szCs w:val="24"/>
          <w:shd w:val="clear" w:color="auto" w:fill="FFFFFF"/>
        </w:rPr>
      </w:pPr>
      <w:r w:rsidRPr="003E68E6">
        <w:rPr>
          <w:rFonts w:asciiTheme="majorHAnsi" w:hAnsiTheme="majorHAnsi" w:cstheme="majorHAnsi"/>
          <w:sz w:val="24"/>
          <w:szCs w:val="24"/>
          <w:shd w:val="clear" w:color="auto" w:fill="FFFFFF"/>
        </w:rPr>
        <w:t xml:space="preserve">The Ordinary General Shareholders' Meeting accepted all motions made by the Management Board and the Supervisory Board by a substantial majority with a 79 percent attendance rate. It </w:t>
      </w:r>
      <w:r w:rsidRPr="003E68E6">
        <w:rPr>
          <w:rFonts w:asciiTheme="majorHAnsi" w:hAnsiTheme="majorHAnsi" w:cstheme="majorHAnsi"/>
          <w:sz w:val="24"/>
          <w:szCs w:val="24"/>
          <w:shd w:val="clear" w:color="auto" w:fill="FFFFFF"/>
        </w:rPr>
        <w:lastRenderedPageBreak/>
        <w:t xml:space="preserve">also voted in support of a 1.35 EUR per share dividend. Since its IPO in 2010, Brenntag has increased its dividend </w:t>
      </w:r>
      <w:r w:rsidR="00514181" w:rsidRPr="003E68E6">
        <w:rPr>
          <w:rFonts w:asciiTheme="majorHAnsi" w:hAnsiTheme="majorHAnsi" w:cstheme="majorHAnsi"/>
          <w:sz w:val="24"/>
          <w:szCs w:val="24"/>
          <w:shd w:val="clear" w:color="auto" w:fill="FFFFFF"/>
        </w:rPr>
        <w:t>pay-outs</w:t>
      </w:r>
      <w:r w:rsidRPr="003E68E6">
        <w:rPr>
          <w:rFonts w:asciiTheme="majorHAnsi" w:hAnsiTheme="majorHAnsi" w:cstheme="majorHAnsi"/>
          <w:sz w:val="24"/>
          <w:szCs w:val="24"/>
          <w:shd w:val="clear" w:color="auto" w:fill="FFFFFF"/>
        </w:rPr>
        <w:t xml:space="preserve"> every year. The </w:t>
      </w:r>
      <w:r w:rsidR="00514181" w:rsidRPr="003E68E6">
        <w:rPr>
          <w:rFonts w:asciiTheme="majorHAnsi" w:hAnsiTheme="majorHAnsi" w:cstheme="majorHAnsi"/>
          <w:sz w:val="24"/>
          <w:szCs w:val="24"/>
          <w:shd w:val="clear" w:color="auto" w:fill="FFFFFF"/>
        </w:rPr>
        <w:t>pay-out</w:t>
      </w:r>
      <w:r w:rsidRPr="003E68E6">
        <w:rPr>
          <w:rFonts w:asciiTheme="majorHAnsi" w:hAnsiTheme="majorHAnsi" w:cstheme="majorHAnsi"/>
          <w:sz w:val="24"/>
          <w:szCs w:val="24"/>
          <w:shd w:val="clear" w:color="auto" w:fill="FFFFFF"/>
        </w:rPr>
        <w:t xml:space="preserve"> ratio is roughly 45 percent of the net profit attributable to Brenntag shareholders, with a total </w:t>
      </w:r>
      <w:r w:rsidR="00514181" w:rsidRPr="003E68E6">
        <w:rPr>
          <w:rFonts w:asciiTheme="majorHAnsi" w:hAnsiTheme="majorHAnsi" w:cstheme="majorHAnsi"/>
          <w:sz w:val="24"/>
          <w:szCs w:val="24"/>
          <w:shd w:val="clear" w:color="auto" w:fill="FFFFFF"/>
        </w:rPr>
        <w:t>pay-out</w:t>
      </w:r>
      <w:r w:rsidRPr="003E68E6">
        <w:rPr>
          <w:rFonts w:asciiTheme="majorHAnsi" w:hAnsiTheme="majorHAnsi" w:cstheme="majorHAnsi"/>
          <w:sz w:val="24"/>
          <w:szCs w:val="24"/>
          <w:shd w:val="clear" w:color="auto" w:fill="FFFFFF"/>
        </w:rPr>
        <w:t xml:space="preserve"> of 208,575,000.00 EUR.</w:t>
      </w:r>
    </w:p>
    <w:p w14:paraId="181274CE" w14:textId="5BB5C544" w:rsidR="00780652" w:rsidRDefault="00891D67" w:rsidP="00780652">
      <w:pPr>
        <w:pStyle w:val="Heading2"/>
      </w:pPr>
      <w:bookmarkStart w:id="5" w:name="_Toc87799052"/>
      <w:r>
        <w:t>Application of a range of relevant academic theories / models</w:t>
      </w:r>
      <w:bookmarkEnd w:id="5"/>
      <w:r>
        <w:t xml:space="preserve"> </w:t>
      </w:r>
    </w:p>
    <w:p w14:paraId="675DB7DD" w14:textId="04F9F518" w:rsidR="0041585C" w:rsidRDefault="00CB5D03" w:rsidP="0041585C">
      <w:pPr>
        <w:jc w:val="both"/>
        <w:rPr>
          <w:rStyle w:val="Strong"/>
          <w:rFonts w:asciiTheme="majorHAnsi" w:hAnsiTheme="majorHAnsi" w:cstheme="majorHAnsi"/>
          <w:color w:val="666666"/>
          <w:sz w:val="24"/>
          <w:szCs w:val="24"/>
          <w:shd w:val="clear" w:color="auto" w:fill="FFFFFF"/>
        </w:rPr>
      </w:pPr>
      <w:r w:rsidRPr="00CB5D03">
        <w:rPr>
          <w:rStyle w:val="Strong"/>
          <w:rFonts w:asciiTheme="majorHAnsi" w:hAnsiTheme="majorHAnsi" w:cstheme="majorHAnsi"/>
          <w:color w:val="666666"/>
          <w:sz w:val="24"/>
          <w:szCs w:val="24"/>
          <w:shd w:val="clear" w:color="auto" w:fill="FFFFFF"/>
        </w:rPr>
        <w:t>Henri Fayol (1841 - 1925), France</w:t>
      </w:r>
    </w:p>
    <w:p w14:paraId="7F0E3B8B" w14:textId="7CF262E7"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Advantages</w:t>
      </w:r>
      <w:r>
        <w:rPr>
          <w:rFonts w:asciiTheme="majorHAnsi" w:hAnsiTheme="majorHAnsi" w:cstheme="majorHAnsi"/>
          <w:sz w:val="24"/>
          <w:szCs w:val="24"/>
        </w:rPr>
        <w:t>:</w:t>
      </w:r>
    </w:p>
    <w:p w14:paraId="600F3383" w14:textId="347E3169"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Fayol was the first to propose a definition of management that is still used today: 'to predict and plan, to organise, to command, to coordinate, and to govern'</w:t>
      </w:r>
      <w:r>
        <w:rPr>
          <w:rFonts w:asciiTheme="majorHAnsi" w:hAnsiTheme="majorHAnsi" w:cstheme="majorHAnsi"/>
          <w:sz w:val="24"/>
          <w:szCs w:val="24"/>
        </w:rPr>
        <w:t>.</w:t>
      </w:r>
    </w:p>
    <w:p w14:paraId="043C4DCC" w14:textId="683A593E" w:rsid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Fayol also provided much of the essential vocabulary and concepts, such as division of labour, scalar chain, unity of command, and centralisation, which would be expanded upon by subsequent studies.</w:t>
      </w:r>
    </w:p>
    <w:p w14:paraId="4CB6F331" w14:textId="0BDFFA08"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Disadvantages</w:t>
      </w:r>
      <w:r>
        <w:rPr>
          <w:rFonts w:asciiTheme="majorHAnsi" w:hAnsiTheme="majorHAnsi" w:cstheme="majorHAnsi"/>
          <w:sz w:val="24"/>
          <w:szCs w:val="24"/>
        </w:rPr>
        <w:t>:</w:t>
      </w:r>
    </w:p>
    <w:p w14:paraId="219C73EC" w14:textId="77777777"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Fayol was discussing the formal organization's structure.</w:t>
      </w:r>
    </w:p>
    <w:p w14:paraId="0A17E567" w14:textId="77777777"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Fayol's lack of concern in topics like as individual vs general interest, compensation, and equity suggests that he viewed the employer as paternalistic and hence acting in the employee's best interests.</w:t>
      </w:r>
    </w:p>
    <w:p w14:paraId="217E8009" w14:textId="51C84A87" w:rsidR="00CB5D03" w:rsidRPr="00CB5D03" w:rsidRDefault="00CB5D03" w:rsidP="00CB5D03">
      <w:pPr>
        <w:jc w:val="both"/>
        <w:rPr>
          <w:rFonts w:asciiTheme="majorHAnsi" w:hAnsiTheme="majorHAnsi" w:cstheme="majorHAnsi"/>
          <w:sz w:val="24"/>
          <w:szCs w:val="24"/>
        </w:rPr>
      </w:pPr>
      <w:r w:rsidRPr="00CB5D03">
        <w:rPr>
          <w:rFonts w:asciiTheme="majorHAnsi" w:hAnsiTheme="majorHAnsi" w:cstheme="majorHAnsi"/>
          <w:sz w:val="24"/>
          <w:szCs w:val="24"/>
        </w:rPr>
        <w:t>Although Fayol mentions issues such as initiative and 'esprit de corps' in relation to the sensitivity of a patient's needs, he sees them as issues in the context of rational organisational structure rather than adapting structures and changing people's behaviour to achieve the best fit between the organisation and its customers.</w:t>
      </w:r>
    </w:p>
    <w:p w14:paraId="5571A7D6" w14:textId="43BD763B" w:rsidR="00380225" w:rsidRDefault="00380225" w:rsidP="0041585C">
      <w:pPr>
        <w:jc w:val="both"/>
        <w:rPr>
          <w:rFonts w:asciiTheme="majorHAnsi" w:hAnsiTheme="majorHAnsi" w:cstheme="majorHAnsi"/>
          <w:sz w:val="24"/>
          <w:szCs w:val="24"/>
        </w:rPr>
      </w:pPr>
    </w:p>
    <w:tbl>
      <w:tblPr>
        <w:tblpPr w:leftFromText="180" w:rightFromText="180" w:vertAnchor="page" w:horzAnchor="margin" w:tblpY="661"/>
        <w:tblW w:w="9792"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492"/>
        <w:gridCol w:w="6300"/>
      </w:tblGrid>
      <w:tr w:rsidR="00380225" w:rsidRPr="00B72232" w14:paraId="63956012" w14:textId="77777777" w:rsidTr="00380225">
        <w:trPr>
          <w:trHeight w:val="509"/>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0413AA5A"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lastRenderedPageBreak/>
              <w:t>1.Division of work</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017AEAFB"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Reduces the span of attention or effort for any one person or group. Develops practice and familiarity</w:t>
            </w:r>
          </w:p>
        </w:tc>
      </w:tr>
      <w:tr w:rsidR="00380225" w:rsidRPr="00B72232" w14:paraId="4E0AC17C" w14:textId="77777777" w:rsidTr="00380225">
        <w:trPr>
          <w:trHeight w:val="370"/>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749377EA"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2. Authority</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586C4E75" w14:textId="77777777" w:rsidR="00380225" w:rsidRPr="00B72232" w:rsidRDefault="00380225" w:rsidP="00380225">
            <w:pPr>
              <w:spacing w:after="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The right to give an order. Should not be considered without reference to </w:t>
            </w:r>
            <w:r w:rsidRPr="00B72232">
              <w:rPr>
                <w:rFonts w:asciiTheme="majorHAnsi" w:eastAsia="Times New Roman" w:hAnsiTheme="majorHAnsi" w:cstheme="majorHAnsi"/>
                <w:i/>
                <w:iCs/>
                <w:color w:val="666666"/>
                <w:sz w:val="24"/>
                <w:szCs w:val="24"/>
                <w:lang w:eastAsia="en-GB"/>
              </w:rPr>
              <w:t>responsibility</w:t>
            </w:r>
          </w:p>
        </w:tc>
      </w:tr>
      <w:tr w:rsidR="00380225" w:rsidRPr="00B72232" w14:paraId="5F4DCE0E" w14:textId="77777777" w:rsidTr="00380225">
        <w:trPr>
          <w:trHeight w:val="509"/>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0DAD89DE"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3. Discipline</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558EB8A1"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Outward marks of respect in accordance with formal or informal agreements between firm and its employees</w:t>
            </w:r>
          </w:p>
        </w:tc>
      </w:tr>
      <w:tr w:rsidR="00380225" w:rsidRPr="00B72232" w14:paraId="0E421BB0" w14:textId="77777777" w:rsidTr="00380225">
        <w:trPr>
          <w:trHeight w:val="324"/>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46E6D98F"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4. Unity of command</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21352110"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One man superior</w:t>
            </w:r>
          </w:p>
        </w:tc>
      </w:tr>
      <w:tr w:rsidR="00380225" w:rsidRPr="00B72232" w14:paraId="035609A6" w14:textId="77777777" w:rsidTr="00380225">
        <w:trPr>
          <w:trHeight w:val="324"/>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192CDD3F"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5. Unity of direction</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6930771A"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One head and one plan for a group of activities with the same objective</w:t>
            </w:r>
          </w:p>
        </w:tc>
      </w:tr>
      <w:tr w:rsidR="00380225" w:rsidRPr="00B72232" w14:paraId="6CAB6097" w14:textId="77777777" w:rsidTr="00380225">
        <w:trPr>
          <w:trHeight w:val="509"/>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16BCD9AF"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6. Subordination of individual interests to the general interest</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65F7C0C6"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The interests of one individual or one group should not prevail over the general good. This is a difficult area of management</w:t>
            </w:r>
          </w:p>
        </w:tc>
      </w:tr>
      <w:tr w:rsidR="00380225" w:rsidRPr="00B72232" w14:paraId="1E1EA90A" w14:textId="77777777" w:rsidTr="00380225">
        <w:trPr>
          <w:trHeight w:val="324"/>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05A579F2"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7. Remuneration</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3843DA68"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Pay should be fair to both the employee and the firm</w:t>
            </w:r>
          </w:p>
        </w:tc>
      </w:tr>
      <w:tr w:rsidR="00380225" w:rsidRPr="00B72232" w14:paraId="4B9A9FC7" w14:textId="77777777" w:rsidTr="00380225">
        <w:trPr>
          <w:trHeight w:val="509"/>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1947B5A2"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8. Centralisation</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6F0FC8E3"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Is always present to a greater or less extent, depending on the size of the company and quality of its managers</w:t>
            </w:r>
          </w:p>
        </w:tc>
      </w:tr>
      <w:tr w:rsidR="00380225" w:rsidRPr="00B72232" w14:paraId="3309B9F5" w14:textId="77777777" w:rsidTr="00380225">
        <w:trPr>
          <w:trHeight w:val="324"/>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05F0841E"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9. Scalar chain</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770918CF"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The line of authority from top to bottom of the organisation</w:t>
            </w:r>
          </w:p>
        </w:tc>
      </w:tr>
      <w:tr w:rsidR="00380225" w:rsidRPr="00B72232" w14:paraId="37CB672D" w14:textId="77777777" w:rsidTr="00380225">
        <w:trPr>
          <w:trHeight w:val="509"/>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172FB01E"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10. Order</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1B8426A6"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A place for everything and everything in its place; the right man in the right place</w:t>
            </w:r>
          </w:p>
        </w:tc>
      </w:tr>
      <w:tr w:rsidR="00380225" w:rsidRPr="00B72232" w14:paraId="36D8F31B" w14:textId="77777777" w:rsidTr="00380225">
        <w:trPr>
          <w:trHeight w:val="324"/>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1141FE05"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11. Equity</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2BBAC309"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A combination of kindliness and justice towards the employees</w:t>
            </w:r>
          </w:p>
        </w:tc>
      </w:tr>
      <w:tr w:rsidR="00380225" w:rsidRPr="00B72232" w14:paraId="28E01FE6" w14:textId="77777777" w:rsidTr="00380225">
        <w:trPr>
          <w:trHeight w:val="509"/>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3BF32D8C"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12. Stability of tenure of personnel</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7B272C6C"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Employees need to be given time to settle into their jobs, even though this may be a lengthy period in the case of the managers</w:t>
            </w:r>
          </w:p>
        </w:tc>
      </w:tr>
      <w:tr w:rsidR="00380225" w:rsidRPr="00B72232" w14:paraId="442BBF74" w14:textId="77777777" w:rsidTr="00380225">
        <w:trPr>
          <w:trHeight w:val="509"/>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39348D5A"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13. Initiative</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301F8485"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Within the limits of authority and discipline, all levels of staff should be encouraged to show initiative</w:t>
            </w:r>
          </w:p>
        </w:tc>
      </w:tr>
      <w:tr w:rsidR="00380225" w:rsidRPr="00B72232" w14:paraId="5C1CF14D" w14:textId="77777777" w:rsidTr="00380225">
        <w:trPr>
          <w:trHeight w:val="459"/>
        </w:trPr>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5D5C9683"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14. Esprit de corps</w:t>
            </w:r>
          </w:p>
        </w:tc>
        <w:tc>
          <w:tcPr>
            <w:tcW w:w="0" w:type="auto"/>
            <w:tcBorders>
              <w:top w:val="outset" w:sz="6" w:space="0" w:color="D5D5D5"/>
              <w:left w:val="outset" w:sz="6" w:space="0" w:color="D5D5D5"/>
              <w:bottom w:val="outset" w:sz="6" w:space="0" w:color="D5D5D5"/>
              <w:right w:val="outset" w:sz="6" w:space="0" w:color="D5D5D5"/>
            </w:tcBorders>
            <w:shd w:val="clear" w:color="auto" w:fill="FFFFFF"/>
            <w:tcMar>
              <w:top w:w="75" w:type="dxa"/>
              <w:left w:w="75" w:type="dxa"/>
              <w:bottom w:w="75" w:type="dxa"/>
              <w:right w:w="75" w:type="dxa"/>
            </w:tcMar>
            <w:vAlign w:val="center"/>
            <w:hideMark/>
          </w:tcPr>
          <w:p w14:paraId="44070378" w14:textId="77777777" w:rsidR="00380225" w:rsidRPr="00B72232" w:rsidRDefault="00380225" w:rsidP="00380225">
            <w:pPr>
              <w:spacing w:after="180" w:line="240" w:lineRule="auto"/>
              <w:rPr>
                <w:rFonts w:asciiTheme="majorHAnsi" w:eastAsia="Times New Roman" w:hAnsiTheme="majorHAnsi" w:cstheme="majorHAnsi"/>
                <w:color w:val="666666"/>
                <w:sz w:val="24"/>
                <w:szCs w:val="24"/>
                <w:lang w:eastAsia="en-GB"/>
              </w:rPr>
            </w:pPr>
            <w:r w:rsidRPr="00B72232">
              <w:rPr>
                <w:rFonts w:asciiTheme="majorHAnsi" w:eastAsia="Times New Roman" w:hAnsiTheme="majorHAnsi" w:cstheme="majorHAnsi"/>
                <w:color w:val="666666"/>
                <w:sz w:val="24"/>
                <w:szCs w:val="24"/>
                <w:lang w:eastAsia="en-GB"/>
              </w:rPr>
              <w:t>Harmony is a great strength to an organisation; teamwork should be encouraged</w:t>
            </w:r>
          </w:p>
        </w:tc>
      </w:tr>
    </w:tbl>
    <w:p w14:paraId="4E881DE5" w14:textId="5D620797" w:rsidR="0041585C" w:rsidRDefault="0041585C" w:rsidP="0041585C">
      <w:pPr>
        <w:jc w:val="both"/>
        <w:rPr>
          <w:rFonts w:asciiTheme="majorHAnsi" w:hAnsiTheme="majorHAnsi" w:cstheme="majorHAnsi"/>
          <w:sz w:val="24"/>
          <w:szCs w:val="24"/>
        </w:rPr>
      </w:pPr>
    </w:p>
    <w:p w14:paraId="14CA05EC" w14:textId="3808026F" w:rsidR="00380225" w:rsidRDefault="00380225" w:rsidP="0041585C">
      <w:pPr>
        <w:jc w:val="both"/>
        <w:rPr>
          <w:rFonts w:asciiTheme="majorHAnsi" w:hAnsiTheme="majorHAnsi" w:cstheme="majorHAnsi"/>
          <w:sz w:val="24"/>
          <w:szCs w:val="24"/>
        </w:rPr>
      </w:pPr>
      <w:r w:rsidRPr="00380225">
        <w:rPr>
          <w:rFonts w:asciiTheme="majorHAnsi" w:hAnsiTheme="majorHAnsi" w:cstheme="majorHAnsi"/>
          <w:sz w:val="24"/>
          <w:szCs w:val="24"/>
        </w:rPr>
        <w:t xml:space="preserve">Many of these concepts have found their way into modern organisations, but they were not meant to deal with fast-changing environments. Fayol's rhetoric may look </w:t>
      </w:r>
      <w:r w:rsidR="00AF62BF" w:rsidRPr="00380225">
        <w:rPr>
          <w:rFonts w:asciiTheme="majorHAnsi" w:hAnsiTheme="majorHAnsi" w:cstheme="majorHAnsi"/>
          <w:sz w:val="24"/>
          <w:szCs w:val="24"/>
        </w:rPr>
        <w:t>authoritarian yet</w:t>
      </w:r>
      <w:r w:rsidRPr="00380225">
        <w:rPr>
          <w:rFonts w:asciiTheme="majorHAnsi" w:hAnsiTheme="majorHAnsi" w:cstheme="majorHAnsi"/>
          <w:sz w:val="24"/>
          <w:szCs w:val="24"/>
        </w:rPr>
        <w:t xml:space="preserve"> examining Fayol's work and concepts reveals that his 'command' is close to a description of what we would call an empowering manager today.</w:t>
      </w:r>
    </w:p>
    <w:p w14:paraId="26523770" w14:textId="70CFD534" w:rsidR="001A52A5" w:rsidRDefault="001A52A5" w:rsidP="0041585C">
      <w:pPr>
        <w:jc w:val="both"/>
        <w:rPr>
          <w:rStyle w:val="Strong"/>
          <w:rFonts w:asciiTheme="majorHAnsi" w:hAnsiTheme="majorHAnsi" w:cstheme="majorHAnsi"/>
          <w:color w:val="666666"/>
          <w:sz w:val="24"/>
          <w:szCs w:val="24"/>
          <w:shd w:val="clear" w:color="auto" w:fill="FFFFFF"/>
        </w:rPr>
      </w:pPr>
      <w:r w:rsidRPr="001A52A5">
        <w:rPr>
          <w:rStyle w:val="Strong"/>
          <w:rFonts w:asciiTheme="majorHAnsi" w:hAnsiTheme="majorHAnsi" w:cstheme="majorHAnsi"/>
          <w:color w:val="666666"/>
          <w:sz w:val="24"/>
          <w:szCs w:val="24"/>
          <w:shd w:val="clear" w:color="auto" w:fill="FFFFFF"/>
        </w:rPr>
        <w:lastRenderedPageBreak/>
        <w:t>Max Weber (1864 - 1924), Germany</w:t>
      </w:r>
    </w:p>
    <w:p w14:paraId="0D7406BD"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Bureaucracy, according to Weber, is the most efficient manner of functioning.</w:t>
      </w:r>
    </w:p>
    <w:p w14:paraId="70331802" w14:textId="4EB0FC7F" w:rsidR="001A52A5"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In this sense, bureaucracy refers to the organisational form in which certain dominant qualities, such as a hierarchy of authority and a set of rules, are present.</w:t>
      </w:r>
    </w:p>
    <w:p w14:paraId="76D37611" w14:textId="64B8A514" w:rsid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Bureaucracy in the sense of red tape or officialdom should not be employed because these connotations are value-laden and merely emphasise the model's flaws.</w:t>
      </w:r>
    </w:p>
    <w:p w14:paraId="1AA1D280" w14:textId="3BA72986" w:rsid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Weber distinguishes authority from power. Power is a unilateral thing; it allows one person to force another to behave in a specific way, whether by force or rewards. In Weber's discussion of legitimate authority, acceptance of the rules by those over whom it is to be exercised entails approval of the rules by those over whom it is to be exercised within boundaries that are acceptable to the subordinates.</w:t>
      </w:r>
    </w:p>
    <w:p w14:paraId="6B915600"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Advantages:  In today's UK, we take a lot of this for granted. Anything else is considered corruption and nepotism.</w:t>
      </w:r>
    </w:p>
    <w:p w14:paraId="419D3B0E"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Organizations can evolve into vast, sophisticated, organised organisations that are focused on formalised clear goals by adopting bureaucratic management methods.</w:t>
      </w:r>
    </w:p>
    <w:p w14:paraId="16F0C62F" w14:textId="36CE9872" w:rsid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It cannot be overstated that the Weber theory has the advantage of serving as a "gold standard" against which other modern theories can be compared and developed.</w:t>
      </w:r>
    </w:p>
    <w:p w14:paraId="0C587C3B"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Other scholars' subsequent examination revealed a slew of drawbacks:</w:t>
      </w:r>
    </w:p>
    <w:p w14:paraId="39A2A0E0"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 xml:space="preserve">Organizations </w:t>
      </w:r>
      <w:proofErr w:type="gramStart"/>
      <w:r w:rsidRPr="000E2AB8">
        <w:rPr>
          <w:rFonts w:asciiTheme="majorHAnsi" w:hAnsiTheme="majorHAnsi" w:cstheme="majorHAnsi"/>
          <w:sz w:val="24"/>
          <w:szCs w:val="24"/>
        </w:rPr>
        <w:t>have a tendency to</w:t>
      </w:r>
      <w:proofErr w:type="gramEnd"/>
      <w:r w:rsidRPr="000E2AB8">
        <w:rPr>
          <w:rFonts w:asciiTheme="majorHAnsi" w:hAnsiTheme="majorHAnsi" w:cstheme="majorHAnsi"/>
          <w:sz w:val="24"/>
          <w:szCs w:val="24"/>
        </w:rPr>
        <w:t xml:space="preserve"> become procedure-driven rather than goal-driven.</w:t>
      </w:r>
    </w:p>
    <w:p w14:paraId="2F02891E"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The tendency for excessively formalised organisational roles to stifle job holders' initiative and flexibility.</w:t>
      </w:r>
    </w:p>
    <w:p w14:paraId="0F531247"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Senior managers' rigid behaviour can result in standardised services that do not fulfil the client's needs.</w:t>
      </w:r>
    </w:p>
    <w:p w14:paraId="00F0E11F" w14:textId="77777777" w:rsidR="000E2AB8" w:rsidRP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Rigid procedures and rules demotivate subordinates in organisations.</w:t>
      </w:r>
    </w:p>
    <w:p w14:paraId="2EBB17BF" w14:textId="521E964C" w:rsidR="000E2AB8" w:rsidRDefault="000E2AB8" w:rsidP="000E2AB8">
      <w:pPr>
        <w:jc w:val="both"/>
        <w:rPr>
          <w:rFonts w:asciiTheme="majorHAnsi" w:hAnsiTheme="majorHAnsi" w:cstheme="majorHAnsi"/>
          <w:sz w:val="24"/>
          <w:szCs w:val="24"/>
        </w:rPr>
      </w:pPr>
      <w:r w:rsidRPr="000E2AB8">
        <w:rPr>
          <w:rFonts w:asciiTheme="majorHAnsi" w:hAnsiTheme="majorHAnsi" w:cstheme="majorHAnsi"/>
          <w:sz w:val="24"/>
          <w:szCs w:val="24"/>
        </w:rPr>
        <w:t>The application of knowledge-based control, as advocated by Weber, has resulted in the rise of "experts," whose viewpoints and attitudes frequently collide with those of more generalised managers and supervisors.</w:t>
      </w:r>
    </w:p>
    <w:p w14:paraId="03F08A48" w14:textId="5ACABF79" w:rsidR="00780652" w:rsidRDefault="00891D67" w:rsidP="00780652">
      <w:pPr>
        <w:pStyle w:val="Heading2"/>
      </w:pPr>
      <w:bookmarkStart w:id="6" w:name="_Toc87799053"/>
      <w:r>
        <w:t>Provide a critical appraisal of your chosen organisation’s current strategic direction</w:t>
      </w:r>
      <w:bookmarkEnd w:id="6"/>
      <w:r>
        <w:t xml:space="preserve"> </w:t>
      </w:r>
    </w:p>
    <w:p w14:paraId="2F206EAF" w14:textId="39ADC9F5" w:rsidR="004460F1"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Brenntag's business model is based on complete geographic coverage, a diverse product and service portfolio, and a high level of diversity among suppliers, customers, and industries.</w:t>
      </w:r>
    </w:p>
    <w:p w14:paraId="5B29934B" w14:textId="60272AE5"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 xml:space="preserve">Brenntag provides entire distribution solutions rather than just chemical products by connecting chemical manufacturers (our suppliers) and chemical users (our customers). Brenntag buys huge amounts of industrial and speciality chemicals and ingredients from a variety of vendors, allowing </w:t>
      </w:r>
      <w:r w:rsidRPr="00D22610">
        <w:rPr>
          <w:rFonts w:asciiTheme="majorHAnsi" w:hAnsiTheme="majorHAnsi" w:cstheme="majorHAnsi"/>
          <w:sz w:val="24"/>
          <w:szCs w:val="24"/>
        </w:rPr>
        <w:lastRenderedPageBreak/>
        <w:t>it to realise economies of scale and provide a broad range of products and value-added services to its 185,000 clients.</w:t>
      </w:r>
    </w:p>
    <w:p w14:paraId="59A578DE" w14:textId="2A2110A1"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Brenntag is a key partner and service provider for industrial and specialised chemical and ingredient manufacturers on the one hand, and chemical and ingredient users on the other. Our brand name "</w:t>
      </w:r>
      <w:proofErr w:type="spellStart"/>
      <w:r w:rsidRPr="00D22610">
        <w:rPr>
          <w:rFonts w:asciiTheme="majorHAnsi" w:hAnsiTheme="majorHAnsi" w:cstheme="majorHAnsi"/>
          <w:sz w:val="24"/>
          <w:szCs w:val="24"/>
        </w:rPr>
        <w:t>ConnectingChemistry</w:t>
      </w:r>
      <w:proofErr w:type="spellEnd"/>
      <w:r w:rsidRPr="00D22610">
        <w:rPr>
          <w:rFonts w:asciiTheme="majorHAnsi" w:hAnsiTheme="majorHAnsi" w:cstheme="majorHAnsi"/>
          <w:sz w:val="24"/>
          <w:szCs w:val="24"/>
        </w:rPr>
        <w:t>" reflects Brenntag's function in the value chain. Brenntag keeps the products it buys in its distribution centres, packs them into the quantities needed by clients, and delivers them in less-than-truckloads.</w:t>
      </w:r>
    </w:p>
    <w:p w14:paraId="5187C66E" w14:textId="34FA5DA3"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Brenntag offers a diverse product portfolio of over 10,000 chemicals and ingredients, as well as a variety of value-added services like just-in-time delivery, product mixing, blending, repackaging, inventory management, drum return handling, and technical and laboratory services for specialty chemicals.</w:t>
      </w:r>
    </w:p>
    <w:p w14:paraId="03E7026C" w14:textId="28E08912"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Building on our capabilities as the leading full-line distributor, we've been managing Brenntag through two global segments since the beginning of 2021: Brenntag Essentials and Brenntag Specialties. By sharpening our profile in important market categories and better serving our customers' and suppliers' requirements, we are laying the road for Brenntag's successful future development with this new operating model.</w:t>
      </w:r>
    </w:p>
    <w:p w14:paraId="48F73D5F" w14:textId="785BBFC8"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Brenntag Essentials markets a broad spectrum of process chemicals across a wide range of industries and applications as a local distribution partner that is flexible, lean, and efficient. Our local market experience and reach are particularly valuable in this category. This enables us to take use of our economies of scale in a more targeted manner.</w:t>
      </w:r>
    </w:p>
    <w:p w14:paraId="72D9617A" w14:textId="2D7D697F" w:rsidR="00D22610" w:rsidRDefault="00D22610" w:rsidP="005241EB">
      <w:pPr>
        <w:jc w:val="both"/>
        <w:rPr>
          <w:rFonts w:asciiTheme="majorHAnsi" w:hAnsiTheme="majorHAnsi" w:cstheme="majorHAnsi"/>
          <w:sz w:val="24"/>
          <w:szCs w:val="24"/>
        </w:rPr>
      </w:pPr>
      <w:r w:rsidRPr="00D22610">
        <w:rPr>
          <w:rFonts w:asciiTheme="majorHAnsi" w:hAnsiTheme="majorHAnsi" w:cstheme="majorHAnsi"/>
          <w:sz w:val="24"/>
          <w:szCs w:val="24"/>
        </w:rPr>
        <w:t>Brenntag Specialties aims to strengthen its position as the world's leading supplier of specialty chemicals in six key markets: nutrition, pharmaceuticals, personal care/HI&amp;I (home, industrial, and institutional), material science (coatings and constructions, polymers, rubber), water treatment, and lubricants. These focus industries are huge, internationally relevant sectors with great potential for end-to-end solutions as well as our superior technical and application-related expertise, and they are subject to stringent regulatory requirements.</w:t>
      </w:r>
    </w:p>
    <w:p w14:paraId="3F4506E7" w14:textId="2A9B0F03" w:rsidR="00D22610"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We hope to service our business partners faster, better, and more fully with the new operational setup by focusing even more closely on their changing needs. Both segments will work together under the Brenntag umbrella to strengthen and expand our position as the global market leader in speciality chemical distribution and as a full-line distributor.</w:t>
      </w:r>
    </w:p>
    <w:p w14:paraId="199BA22F" w14:textId="262661B5"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 xml:space="preserve">Brenntag is the world's largest distributor of chemicals and additives. We define market leader not just in terms of sales volume, but also in terms of our commitment to maintaining high safety standards at our facilities. As a responsible service provider, we are always looking for ways to improve the supply </w:t>
      </w:r>
      <w:proofErr w:type="gramStart"/>
      <w:r w:rsidRPr="000E703D">
        <w:rPr>
          <w:rFonts w:asciiTheme="majorHAnsi" w:hAnsiTheme="majorHAnsi" w:cstheme="majorHAnsi"/>
          <w:sz w:val="24"/>
          <w:szCs w:val="24"/>
        </w:rPr>
        <w:t>chain as a whole</w:t>
      </w:r>
      <w:proofErr w:type="gramEnd"/>
      <w:r w:rsidRPr="000E703D">
        <w:rPr>
          <w:rFonts w:asciiTheme="majorHAnsi" w:hAnsiTheme="majorHAnsi" w:cstheme="majorHAnsi"/>
          <w:sz w:val="24"/>
          <w:szCs w:val="24"/>
        </w:rPr>
        <w:t>.</w:t>
      </w:r>
    </w:p>
    <w:p w14:paraId="297F31CD" w14:textId="4DF865B6"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 xml:space="preserve">In an ever-changing global market environment, our mission is to strengthen our position as a global market leader and to lead our industry as the preferred partner for consumers and </w:t>
      </w:r>
      <w:r w:rsidRPr="000E703D">
        <w:rPr>
          <w:rFonts w:asciiTheme="majorHAnsi" w:hAnsiTheme="majorHAnsi" w:cstheme="majorHAnsi"/>
          <w:sz w:val="24"/>
          <w:szCs w:val="24"/>
        </w:rPr>
        <w:lastRenderedPageBreak/>
        <w:t>suppliers. We aspire to maintain our market leadership by pursuing long-term organic growth and consistently enhancing profitability.</w:t>
      </w:r>
    </w:p>
    <w:p w14:paraId="4D62D334" w14:textId="3BF804CE"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We initiated "Project Brenntag" at the start of 2020 with the goal of creating strong foundations for future organic earnings growth. We hope to adopt a more focused approach to our market activities, strengthen partnerships with our customers and suppliers, and reduce complexity through this wide transformation programme. The new operational model, which consists of two global segments with a strong focus on customer and supplier requirements, a separate go-to-market approach generated from that, (infra-)structural topics, and supporting people and change management methods, are the fundamental features.</w:t>
      </w:r>
    </w:p>
    <w:p w14:paraId="34DD3033" w14:textId="5049A5C4"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 xml:space="preserve">In addition, we continue to look for acquisition opportunities that can help us achieve our goals. Our strategy focus is on growing our footprint in emerging markets, particularly in Asia Pacific, </w:t>
      </w:r>
      <w:proofErr w:type="gramStart"/>
      <w:r w:rsidRPr="000E703D">
        <w:rPr>
          <w:rFonts w:asciiTheme="majorHAnsi" w:hAnsiTheme="majorHAnsi" w:cstheme="majorHAnsi"/>
          <w:sz w:val="24"/>
          <w:szCs w:val="24"/>
        </w:rPr>
        <w:t>in order to</w:t>
      </w:r>
      <w:proofErr w:type="gramEnd"/>
      <w:r w:rsidRPr="000E703D">
        <w:rPr>
          <w:rFonts w:asciiTheme="majorHAnsi" w:hAnsiTheme="majorHAnsi" w:cstheme="majorHAnsi"/>
          <w:sz w:val="24"/>
          <w:szCs w:val="24"/>
        </w:rPr>
        <w:t xml:space="preserve"> capitalise on the predicted significant growth in demand for chemicals and ingredients in these areas. Our acquisition approach in established regions such as Western Europe and North America focuses on continuously refining our product and service range.</w:t>
      </w:r>
    </w:p>
    <w:p w14:paraId="34693C67" w14:textId="60E82C15" w:rsidR="000E703D" w:rsidRDefault="000E703D" w:rsidP="005241EB">
      <w:pPr>
        <w:jc w:val="both"/>
        <w:rPr>
          <w:rFonts w:asciiTheme="majorHAnsi" w:hAnsiTheme="majorHAnsi" w:cstheme="majorHAnsi"/>
          <w:sz w:val="24"/>
          <w:szCs w:val="24"/>
        </w:rPr>
      </w:pPr>
      <w:r w:rsidRPr="000E703D">
        <w:rPr>
          <w:rFonts w:asciiTheme="majorHAnsi" w:hAnsiTheme="majorHAnsi" w:cstheme="majorHAnsi"/>
          <w:sz w:val="24"/>
          <w:szCs w:val="24"/>
        </w:rPr>
        <w:t xml:space="preserve">Our personnel measures are focused on substantial employee skill building and personal growth, as well as targeted succession planning, in line with the company's evolution. We will foster worldwide collaboration, build a new management culture, and enable our staff to take on new positions through "Project Brenntag." </w:t>
      </w:r>
      <w:proofErr w:type="gramStart"/>
      <w:r w:rsidRPr="000E703D">
        <w:rPr>
          <w:rFonts w:asciiTheme="majorHAnsi" w:hAnsiTheme="majorHAnsi" w:cstheme="majorHAnsi"/>
          <w:sz w:val="24"/>
          <w:szCs w:val="24"/>
        </w:rPr>
        <w:t>In order to</w:t>
      </w:r>
      <w:proofErr w:type="gramEnd"/>
      <w:r w:rsidRPr="000E703D">
        <w:rPr>
          <w:rFonts w:asciiTheme="majorHAnsi" w:hAnsiTheme="majorHAnsi" w:cstheme="majorHAnsi"/>
          <w:sz w:val="24"/>
          <w:szCs w:val="24"/>
        </w:rPr>
        <w:t xml:space="preserve"> recruit and retain highly qualified personnel, we will effectively position the Brenntag brand in the job market.</w:t>
      </w:r>
    </w:p>
    <w:p w14:paraId="12AC3F05" w14:textId="7BD03172" w:rsidR="00780652" w:rsidRDefault="00891D67" w:rsidP="00780652">
      <w:pPr>
        <w:pStyle w:val="Heading2"/>
      </w:pPr>
      <w:bookmarkStart w:id="7" w:name="_Toc87799054"/>
      <w:r>
        <w:t>Depth and clarity of the proposed new strategy</w:t>
      </w:r>
      <w:bookmarkEnd w:id="7"/>
      <w:r>
        <w:t xml:space="preserve"> </w:t>
      </w:r>
    </w:p>
    <w:p w14:paraId="46F3F8F2" w14:textId="14517678" w:rsidR="006259BF" w:rsidRDefault="006259BF" w:rsidP="006259BF">
      <w:pPr>
        <w:jc w:val="both"/>
        <w:rPr>
          <w:rFonts w:asciiTheme="majorHAnsi" w:hAnsiTheme="majorHAnsi" w:cstheme="majorHAnsi"/>
          <w:sz w:val="24"/>
          <w:szCs w:val="24"/>
        </w:rPr>
      </w:pPr>
      <w:r w:rsidRPr="006259BF">
        <w:rPr>
          <w:rFonts w:asciiTheme="majorHAnsi" w:hAnsiTheme="majorHAnsi" w:cstheme="majorHAnsi"/>
          <w:sz w:val="24"/>
          <w:szCs w:val="24"/>
        </w:rPr>
        <w:t>Because Brenntag's new project is still in its early stages, there is a lot of ambiguity about the next move. So far, the only thing we've noticed that's changing is the sales structure, and there's already been movement of employees from one position to another, either up the ladder or with staff members who have opted to quit the organisation, which causes some uncertainty for everyone else.</w:t>
      </w:r>
    </w:p>
    <w:p w14:paraId="6A2E7BD4" w14:textId="48397710" w:rsidR="006259BF" w:rsidRDefault="006F3029" w:rsidP="006F3029">
      <w:pPr>
        <w:jc w:val="both"/>
        <w:rPr>
          <w:rFonts w:asciiTheme="majorHAnsi" w:hAnsiTheme="majorHAnsi" w:cstheme="majorHAnsi"/>
          <w:sz w:val="24"/>
          <w:szCs w:val="24"/>
        </w:rPr>
      </w:pPr>
      <w:r w:rsidRPr="006F3029">
        <w:rPr>
          <w:rFonts w:asciiTheme="majorHAnsi" w:hAnsiTheme="majorHAnsi" w:cstheme="majorHAnsi"/>
          <w:sz w:val="24"/>
          <w:szCs w:val="24"/>
        </w:rPr>
        <w:t>There has been talk about merging depots; one example given was the Swansea depot (the primary distributor in Wales) being merged with the Bristol depot and a new terminal being established in Newport. Although no final decision has been made, this creates uncertainty for everyone because if the two are combined, there will be a certain number of employees who will no longer be needed or who will refuse the change due to travel commitments, which is impossible because either they do not drive or they consider the amount of time spent on a train to be unnecessary.</w:t>
      </w:r>
    </w:p>
    <w:p w14:paraId="5F998776" w14:textId="77777777" w:rsidR="006F3029" w:rsidRDefault="006F3029" w:rsidP="006F3029">
      <w:pPr>
        <w:jc w:val="both"/>
        <w:rPr>
          <w:rFonts w:asciiTheme="majorHAnsi" w:hAnsiTheme="majorHAnsi" w:cstheme="majorHAnsi"/>
          <w:sz w:val="24"/>
          <w:szCs w:val="24"/>
        </w:rPr>
      </w:pPr>
    </w:p>
    <w:p w14:paraId="34194359" w14:textId="77777777" w:rsidR="006F3029" w:rsidRPr="00555322" w:rsidRDefault="006F3029" w:rsidP="00555322">
      <w:pPr>
        <w:rPr>
          <w:rFonts w:asciiTheme="majorHAnsi" w:hAnsiTheme="majorHAnsi" w:cstheme="majorHAnsi"/>
          <w:sz w:val="24"/>
          <w:szCs w:val="24"/>
        </w:rPr>
      </w:pPr>
    </w:p>
    <w:p w14:paraId="4B5F1911" w14:textId="565C4337" w:rsidR="00780652" w:rsidRDefault="00891D67" w:rsidP="00780652">
      <w:pPr>
        <w:pStyle w:val="Heading2"/>
      </w:pPr>
      <w:bookmarkStart w:id="8" w:name="_Toc87799055"/>
      <w:r>
        <w:lastRenderedPageBreak/>
        <w:t>References</w:t>
      </w:r>
      <w:bookmarkEnd w:id="8"/>
    </w:p>
    <w:p w14:paraId="4D429C15" w14:textId="0F6AA6FA" w:rsidR="00CF502D" w:rsidRDefault="00AF2875" w:rsidP="00CF502D">
      <w:pPr>
        <w:jc w:val="both"/>
        <w:rPr>
          <w:rFonts w:asciiTheme="majorHAnsi" w:hAnsiTheme="majorHAnsi" w:cstheme="majorHAnsi"/>
          <w:sz w:val="24"/>
          <w:szCs w:val="24"/>
        </w:rPr>
      </w:pPr>
      <w:r>
        <w:rPr>
          <w:rFonts w:asciiTheme="majorHAnsi" w:hAnsiTheme="majorHAnsi" w:cstheme="majorHAnsi"/>
          <w:sz w:val="24"/>
          <w:szCs w:val="24"/>
        </w:rPr>
        <w:t>R</w:t>
      </w:r>
      <w:r w:rsidR="006B2EE5">
        <w:rPr>
          <w:rFonts w:asciiTheme="majorHAnsi" w:hAnsiTheme="majorHAnsi" w:cstheme="majorHAnsi"/>
          <w:sz w:val="24"/>
          <w:szCs w:val="24"/>
        </w:rPr>
        <w:t>AZOARE</w:t>
      </w:r>
      <w:r w:rsidR="00A92CBA">
        <w:rPr>
          <w:rFonts w:asciiTheme="majorHAnsi" w:hAnsiTheme="majorHAnsi" w:cstheme="majorHAnsi"/>
          <w:sz w:val="24"/>
          <w:szCs w:val="24"/>
        </w:rPr>
        <w:t>. C.</w:t>
      </w:r>
      <w:r>
        <w:rPr>
          <w:rFonts w:asciiTheme="majorHAnsi" w:hAnsiTheme="majorHAnsi" w:cstheme="majorHAnsi"/>
          <w:sz w:val="24"/>
          <w:szCs w:val="24"/>
        </w:rPr>
        <w:t xml:space="preserve">, 2021. </w:t>
      </w:r>
      <w:r w:rsidRPr="00AF2875">
        <w:rPr>
          <w:rFonts w:asciiTheme="majorHAnsi" w:hAnsiTheme="majorHAnsi" w:cstheme="majorHAnsi"/>
          <w:sz w:val="24"/>
          <w:szCs w:val="24"/>
        </w:rPr>
        <w:t>BMSK6003 Leading and Implementing Workplace Change</w:t>
      </w:r>
      <w:r w:rsidR="006B2EE5">
        <w:rPr>
          <w:rFonts w:asciiTheme="majorHAnsi" w:hAnsiTheme="majorHAnsi" w:cstheme="majorHAnsi"/>
          <w:sz w:val="24"/>
          <w:szCs w:val="24"/>
        </w:rPr>
        <w:t>. University of Wales Trinity Saint David</w:t>
      </w:r>
    </w:p>
    <w:p w14:paraId="6BEB813B" w14:textId="1DEE5177" w:rsidR="006B2EE5" w:rsidRPr="006B2EE5" w:rsidRDefault="006B2EE5" w:rsidP="00CF502D">
      <w:pPr>
        <w:jc w:val="both"/>
        <w:rPr>
          <w:rFonts w:asciiTheme="majorHAnsi" w:hAnsiTheme="majorHAnsi" w:cstheme="majorHAnsi"/>
          <w:sz w:val="24"/>
          <w:szCs w:val="24"/>
        </w:rPr>
      </w:pPr>
      <w:r w:rsidRPr="006B2EE5">
        <w:rPr>
          <w:rFonts w:asciiTheme="majorHAnsi" w:hAnsiTheme="majorHAnsi" w:cstheme="majorHAnsi"/>
          <w:sz w:val="24"/>
          <w:szCs w:val="24"/>
          <w:shd w:val="clear" w:color="auto" w:fill="FFFFFF"/>
        </w:rPr>
        <w:t>IVANOVA, A.S., HOLIONKO, N.G., TVERDUSHKA, T.B., OLEJARZ, T. and YAKYMCHUK, A.Y., 2019. The Strategic Management in Terms of an Enterprise’s Technological Development. </w:t>
      </w:r>
      <w:r w:rsidRPr="006B2EE5">
        <w:rPr>
          <w:rFonts w:asciiTheme="majorHAnsi" w:hAnsiTheme="majorHAnsi" w:cstheme="majorHAnsi"/>
          <w:i/>
          <w:iCs/>
          <w:sz w:val="24"/>
          <w:szCs w:val="24"/>
          <w:shd w:val="clear" w:color="auto" w:fill="FFFFFF"/>
        </w:rPr>
        <w:t>Journal of competitiveness, </w:t>
      </w:r>
      <w:r w:rsidRPr="006B2EE5">
        <w:rPr>
          <w:rFonts w:asciiTheme="majorHAnsi" w:hAnsiTheme="majorHAnsi" w:cstheme="majorHAnsi"/>
          <w:b/>
          <w:bCs/>
          <w:sz w:val="24"/>
          <w:szCs w:val="24"/>
          <w:shd w:val="clear" w:color="auto" w:fill="FFFFFF"/>
        </w:rPr>
        <w:t>11</w:t>
      </w:r>
      <w:r w:rsidRPr="006B2EE5">
        <w:rPr>
          <w:rFonts w:asciiTheme="majorHAnsi" w:hAnsiTheme="majorHAnsi" w:cstheme="majorHAnsi"/>
          <w:sz w:val="24"/>
          <w:szCs w:val="24"/>
          <w:shd w:val="clear" w:color="auto" w:fill="FFFFFF"/>
        </w:rPr>
        <w:t>(4), pp. 40-56.</w:t>
      </w:r>
    </w:p>
    <w:p w14:paraId="28CAE578" w14:textId="5B2D0422" w:rsidR="00AF2875" w:rsidRDefault="00237FED" w:rsidP="00CF502D">
      <w:pPr>
        <w:jc w:val="both"/>
        <w:rPr>
          <w:rFonts w:asciiTheme="majorHAnsi" w:hAnsiTheme="majorHAnsi" w:cstheme="majorHAnsi"/>
          <w:sz w:val="24"/>
          <w:szCs w:val="24"/>
          <w:shd w:val="clear" w:color="auto" w:fill="FFFFFF"/>
        </w:rPr>
      </w:pPr>
      <w:r w:rsidRPr="00237FED">
        <w:rPr>
          <w:rFonts w:asciiTheme="majorHAnsi" w:hAnsiTheme="majorHAnsi" w:cstheme="majorHAnsi"/>
          <w:sz w:val="24"/>
          <w:szCs w:val="24"/>
          <w:shd w:val="clear" w:color="auto" w:fill="FFFFFF"/>
        </w:rPr>
        <w:t>TAÇOĞLU, C., CEYLAN, C. and KAZANÇOĞLU, Y., 2019. ANALYSIS OF VARIABLES AFFECTING COMPETITIVENESS OF SMES IN THE TEXTILE INDUSTRY. </w:t>
      </w:r>
      <w:r w:rsidRPr="00237FED">
        <w:rPr>
          <w:rFonts w:asciiTheme="majorHAnsi" w:hAnsiTheme="majorHAnsi" w:cstheme="majorHAnsi"/>
          <w:i/>
          <w:iCs/>
          <w:sz w:val="24"/>
          <w:szCs w:val="24"/>
          <w:shd w:val="clear" w:color="auto" w:fill="FFFFFF"/>
        </w:rPr>
        <w:t>Journal of business economics and management, </w:t>
      </w:r>
      <w:r w:rsidRPr="00237FED">
        <w:rPr>
          <w:rFonts w:asciiTheme="majorHAnsi" w:hAnsiTheme="majorHAnsi" w:cstheme="majorHAnsi"/>
          <w:b/>
          <w:bCs/>
          <w:sz w:val="24"/>
          <w:szCs w:val="24"/>
          <w:shd w:val="clear" w:color="auto" w:fill="FFFFFF"/>
        </w:rPr>
        <w:t>20</w:t>
      </w:r>
      <w:r w:rsidRPr="00237FED">
        <w:rPr>
          <w:rFonts w:asciiTheme="majorHAnsi" w:hAnsiTheme="majorHAnsi" w:cstheme="majorHAnsi"/>
          <w:sz w:val="24"/>
          <w:szCs w:val="24"/>
          <w:shd w:val="clear" w:color="auto" w:fill="FFFFFF"/>
        </w:rPr>
        <w:t>(4), pp. 648-673.</w:t>
      </w:r>
    </w:p>
    <w:p w14:paraId="4F378EA1" w14:textId="69097ED0" w:rsidR="00A92CBA" w:rsidRDefault="00A92CBA" w:rsidP="00CF502D">
      <w:pPr>
        <w:jc w:val="both"/>
        <w:rPr>
          <w:rFonts w:asciiTheme="majorHAnsi" w:hAnsiTheme="majorHAnsi" w:cstheme="majorHAnsi"/>
          <w:sz w:val="24"/>
          <w:szCs w:val="24"/>
          <w:shd w:val="clear" w:color="auto" w:fill="FFFFFF"/>
        </w:rPr>
      </w:pPr>
      <w:r w:rsidRPr="00A92CBA">
        <w:rPr>
          <w:rFonts w:asciiTheme="majorHAnsi" w:hAnsiTheme="majorHAnsi" w:cstheme="majorHAnsi"/>
          <w:sz w:val="24"/>
          <w:szCs w:val="24"/>
          <w:shd w:val="clear" w:color="auto" w:fill="FFFFFF"/>
        </w:rPr>
        <w:t>SANE, S., 2020. Effect of using project management tools and techniques on SMEs performance in developing country context. </w:t>
      </w:r>
      <w:r w:rsidRPr="00A92CBA">
        <w:rPr>
          <w:rFonts w:asciiTheme="majorHAnsi" w:hAnsiTheme="majorHAnsi" w:cstheme="majorHAnsi"/>
          <w:i/>
          <w:iCs/>
          <w:sz w:val="24"/>
          <w:szCs w:val="24"/>
          <w:shd w:val="clear" w:color="auto" w:fill="FFFFFF"/>
        </w:rPr>
        <w:t>International journal of managing projects in business, </w:t>
      </w:r>
      <w:r w:rsidRPr="00A92CBA">
        <w:rPr>
          <w:rFonts w:asciiTheme="majorHAnsi" w:hAnsiTheme="majorHAnsi" w:cstheme="majorHAnsi"/>
          <w:b/>
          <w:bCs/>
          <w:sz w:val="24"/>
          <w:szCs w:val="24"/>
          <w:shd w:val="clear" w:color="auto" w:fill="FFFFFF"/>
        </w:rPr>
        <w:t>13</w:t>
      </w:r>
      <w:r w:rsidRPr="00A92CBA">
        <w:rPr>
          <w:rFonts w:asciiTheme="majorHAnsi" w:hAnsiTheme="majorHAnsi" w:cstheme="majorHAnsi"/>
          <w:sz w:val="24"/>
          <w:szCs w:val="24"/>
          <w:shd w:val="clear" w:color="auto" w:fill="FFFFFF"/>
        </w:rPr>
        <w:t>(3), pp. 453-466.</w:t>
      </w:r>
    </w:p>
    <w:p w14:paraId="009F7118" w14:textId="31DC5BE4" w:rsidR="00CF45B1" w:rsidRDefault="00CF45B1" w:rsidP="00CF502D">
      <w:pPr>
        <w:shd w:val="clear" w:color="auto" w:fill="FFFFFF"/>
        <w:jc w:val="both"/>
        <w:rPr>
          <w:rFonts w:asciiTheme="majorHAnsi" w:eastAsia="Times New Roman" w:hAnsiTheme="majorHAnsi" w:cstheme="majorHAnsi"/>
          <w:color w:val="000000"/>
          <w:sz w:val="24"/>
          <w:szCs w:val="24"/>
          <w:lang w:eastAsia="en-GB"/>
        </w:rPr>
      </w:pPr>
      <w:r w:rsidRPr="00B35A61">
        <w:rPr>
          <w:rFonts w:asciiTheme="majorHAnsi" w:eastAsia="Times New Roman" w:hAnsiTheme="majorHAnsi" w:cstheme="majorHAnsi"/>
          <w:color w:val="000000"/>
          <w:sz w:val="24"/>
          <w:szCs w:val="24"/>
          <w:lang w:eastAsia="en-GB"/>
        </w:rPr>
        <w:t>M</w:t>
      </w:r>
      <w:r>
        <w:rPr>
          <w:rFonts w:asciiTheme="majorHAnsi" w:eastAsia="Times New Roman" w:hAnsiTheme="majorHAnsi" w:cstheme="majorHAnsi"/>
          <w:color w:val="000000"/>
          <w:sz w:val="24"/>
          <w:szCs w:val="24"/>
          <w:lang w:eastAsia="en-GB"/>
        </w:rPr>
        <w:t>ILSHINA</w:t>
      </w:r>
      <w:r w:rsidRPr="00B35A61">
        <w:rPr>
          <w:rFonts w:asciiTheme="majorHAnsi" w:eastAsia="Times New Roman" w:hAnsiTheme="majorHAnsi" w:cstheme="majorHAnsi"/>
          <w:color w:val="000000"/>
          <w:sz w:val="24"/>
          <w:szCs w:val="24"/>
          <w:lang w:eastAsia="en-GB"/>
        </w:rPr>
        <w:t>, Y.</w:t>
      </w:r>
      <w:r>
        <w:rPr>
          <w:rFonts w:asciiTheme="majorHAnsi" w:eastAsia="Times New Roman" w:hAnsiTheme="majorHAnsi" w:cstheme="majorHAnsi"/>
          <w:color w:val="000000"/>
          <w:sz w:val="24"/>
          <w:szCs w:val="24"/>
          <w:lang w:eastAsia="en-GB"/>
        </w:rPr>
        <w:t>,</w:t>
      </w:r>
      <w:r w:rsidRPr="00B35A61">
        <w:rPr>
          <w:rFonts w:asciiTheme="majorHAnsi" w:eastAsia="Times New Roman" w:hAnsiTheme="majorHAnsi" w:cstheme="majorHAnsi"/>
          <w:color w:val="000000"/>
          <w:sz w:val="24"/>
          <w:szCs w:val="24"/>
          <w:lang w:eastAsia="en-GB"/>
        </w:rPr>
        <w:t xml:space="preserve"> V</w:t>
      </w:r>
      <w:r w:rsidR="00501990">
        <w:rPr>
          <w:rFonts w:asciiTheme="majorHAnsi" w:eastAsia="Times New Roman" w:hAnsiTheme="majorHAnsi" w:cstheme="majorHAnsi"/>
          <w:color w:val="000000"/>
          <w:sz w:val="24"/>
          <w:szCs w:val="24"/>
          <w:lang w:eastAsia="en-GB"/>
        </w:rPr>
        <w:t>ISHNEVSKIY</w:t>
      </w:r>
      <w:r w:rsidRPr="00B35A61">
        <w:rPr>
          <w:rFonts w:asciiTheme="majorHAnsi" w:eastAsia="Times New Roman" w:hAnsiTheme="majorHAnsi" w:cstheme="majorHAnsi"/>
          <w:color w:val="000000"/>
          <w:sz w:val="24"/>
          <w:szCs w:val="24"/>
          <w:lang w:eastAsia="en-GB"/>
        </w:rPr>
        <w:t>, K.</w:t>
      </w:r>
      <w:r w:rsidR="00501990">
        <w:rPr>
          <w:rFonts w:asciiTheme="majorHAnsi" w:eastAsia="Times New Roman" w:hAnsiTheme="majorHAnsi" w:cstheme="majorHAnsi"/>
          <w:color w:val="000000"/>
          <w:sz w:val="24"/>
          <w:szCs w:val="24"/>
          <w:lang w:eastAsia="en-GB"/>
        </w:rPr>
        <w:t>,</w:t>
      </w:r>
      <w:r w:rsidRPr="00B35A61">
        <w:rPr>
          <w:rFonts w:asciiTheme="majorHAnsi" w:eastAsia="Times New Roman" w:hAnsiTheme="majorHAnsi" w:cstheme="majorHAnsi"/>
          <w:color w:val="000000"/>
          <w:sz w:val="24"/>
          <w:szCs w:val="24"/>
          <w:lang w:eastAsia="en-GB"/>
        </w:rPr>
        <w:t xml:space="preserve"> 2016.  Potentials of collaborative foresight for SMEs. </w:t>
      </w:r>
    </w:p>
    <w:p w14:paraId="2EB507ED" w14:textId="52831FED" w:rsidR="00A45812" w:rsidRPr="00B35A61" w:rsidRDefault="00A45812" w:rsidP="00A45812">
      <w:pPr>
        <w:shd w:val="clear" w:color="auto" w:fill="FFFFFF"/>
        <w:jc w:val="both"/>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t>FREEMAN, R.E.</w:t>
      </w:r>
      <w:r>
        <w:rPr>
          <w:rFonts w:asciiTheme="majorHAnsi" w:eastAsia="Times New Roman" w:hAnsiTheme="majorHAnsi" w:cstheme="majorHAnsi"/>
          <w:color w:val="000000"/>
          <w:sz w:val="24"/>
          <w:szCs w:val="24"/>
          <w:lang w:eastAsia="en-GB"/>
        </w:rPr>
        <w:t>,</w:t>
      </w:r>
      <w:r w:rsidRPr="00B35A61">
        <w:rPr>
          <w:rFonts w:asciiTheme="majorHAnsi" w:eastAsia="Times New Roman" w:hAnsiTheme="majorHAnsi" w:cstheme="majorHAnsi"/>
          <w:color w:val="000000"/>
          <w:sz w:val="24"/>
          <w:szCs w:val="24"/>
          <w:lang w:eastAsia="en-GB"/>
        </w:rPr>
        <w:t xml:space="preserve"> </w:t>
      </w:r>
      <w:r>
        <w:rPr>
          <w:rFonts w:asciiTheme="majorHAnsi" w:eastAsia="Times New Roman" w:hAnsiTheme="majorHAnsi" w:cstheme="majorHAnsi"/>
          <w:color w:val="000000"/>
          <w:sz w:val="24"/>
          <w:szCs w:val="24"/>
          <w:lang w:eastAsia="en-GB"/>
        </w:rPr>
        <w:t>1984</w:t>
      </w:r>
      <w:r w:rsidRPr="00B35A61">
        <w:rPr>
          <w:rFonts w:asciiTheme="majorHAnsi" w:eastAsia="Times New Roman" w:hAnsiTheme="majorHAnsi" w:cstheme="majorHAnsi"/>
          <w:color w:val="000000"/>
          <w:sz w:val="24"/>
          <w:szCs w:val="24"/>
          <w:lang w:eastAsia="en-GB"/>
        </w:rPr>
        <w:t xml:space="preserve">.  </w:t>
      </w:r>
      <w:r>
        <w:rPr>
          <w:rFonts w:asciiTheme="majorHAnsi" w:eastAsia="Times New Roman" w:hAnsiTheme="majorHAnsi" w:cstheme="majorHAnsi"/>
          <w:color w:val="000000"/>
          <w:sz w:val="24"/>
          <w:szCs w:val="24"/>
          <w:lang w:eastAsia="en-GB"/>
        </w:rPr>
        <w:t>Strategic Management: a stakeholder approach. Boston. MA: Pitman</w:t>
      </w:r>
      <w:r w:rsidRPr="00B35A61">
        <w:rPr>
          <w:rFonts w:asciiTheme="majorHAnsi" w:eastAsia="Times New Roman" w:hAnsiTheme="majorHAnsi" w:cstheme="majorHAnsi"/>
          <w:color w:val="000000"/>
          <w:sz w:val="24"/>
          <w:szCs w:val="24"/>
          <w:lang w:eastAsia="en-GB"/>
        </w:rPr>
        <w:t xml:space="preserve"> </w:t>
      </w:r>
    </w:p>
    <w:p w14:paraId="2424A11C" w14:textId="7EB51986" w:rsidR="0029612E" w:rsidRDefault="00CF45B1" w:rsidP="00CF502D">
      <w:pPr>
        <w:shd w:val="clear" w:color="auto" w:fill="FFFFFF"/>
        <w:jc w:val="both"/>
        <w:rPr>
          <w:rFonts w:asciiTheme="majorHAnsi" w:eastAsia="Times New Roman" w:hAnsiTheme="majorHAnsi" w:cstheme="majorHAnsi"/>
          <w:color w:val="000000"/>
          <w:sz w:val="24"/>
          <w:szCs w:val="24"/>
          <w:lang w:eastAsia="en-GB"/>
        </w:rPr>
      </w:pPr>
      <w:r w:rsidRPr="00B35A61">
        <w:rPr>
          <w:rFonts w:asciiTheme="majorHAnsi" w:eastAsia="Times New Roman" w:hAnsiTheme="majorHAnsi" w:cstheme="majorHAnsi"/>
          <w:color w:val="000000"/>
          <w:sz w:val="24"/>
          <w:szCs w:val="24"/>
          <w:lang w:eastAsia="en-GB"/>
        </w:rPr>
        <w:t>Technology Analysis &amp; Strategic Management, 30(6), 701–717.</w:t>
      </w:r>
    </w:p>
    <w:p w14:paraId="676E124F" w14:textId="273D88C8" w:rsidR="00A57787" w:rsidRDefault="0029612E" w:rsidP="00CF502D">
      <w:pPr>
        <w:shd w:val="clear" w:color="auto" w:fill="FFFFFF"/>
        <w:jc w:val="both"/>
        <w:rPr>
          <w:rFonts w:asciiTheme="majorHAnsi" w:hAnsiTheme="majorHAnsi" w:cstheme="majorHAnsi"/>
          <w:sz w:val="24"/>
          <w:szCs w:val="24"/>
          <w:shd w:val="clear" w:color="auto" w:fill="FFFFFF"/>
        </w:rPr>
      </w:pPr>
      <w:r w:rsidRPr="0029612E">
        <w:rPr>
          <w:rFonts w:asciiTheme="majorHAnsi" w:hAnsiTheme="majorHAnsi" w:cstheme="majorHAnsi"/>
          <w:sz w:val="24"/>
          <w:szCs w:val="24"/>
          <w:shd w:val="clear" w:color="auto" w:fill="FFFFFF"/>
        </w:rPr>
        <w:t>AUGUSTO FELÍCIO, J., 2012. Fundamentals of Strategy, 2nd edition20122Gerry Johnson, Richard Whittington and Kevan Scholes. Fundamentals of Strategy, 2nd edition. Essex: Pearson Education Limited 2012. 284 pp., ISBN: 978‐0‐273‐75725‐2. </w:t>
      </w:r>
      <w:r w:rsidRPr="0029612E">
        <w:rPr>
          <w:rFonts w:asciiTheme="majorHAnsi" w:hAnsiTheme="majorHAnsi" w:cstheme="majorHAnsi"/>
          <w:i/>
          <w:iCs/>
          <w:sz w:val="24"/>
          <w:szCs w:val="24"/>
          <w:shd w:val="clear" w:color="auto" w:fill="FFFFFF"/>
        </w:rPr>
        <w:t>Management decision, </w:t>
      </w:r>
      <w:r w:rsidRPr="0029612E">
        <w:rPr>
          <w:rFonts w:asciiTheme="majorHAnsi" w:hAnsiTheme="majorHAnsi" w:cstheme="majorHAnsi"/>
          <w:b/>
          <w:bCs/>
          <w:sz w:val="24"/>
          <w:szCs w:val="24"/>
          <w:shd w:val="clear" w:color="auto" w:fill="FFFFFF"/>
        </w:rPr>
        <w:t>50</w:t>
      </w:r>
      <w:r w:rsidRPr="0029612E">
        <w:rPr>
          <w:rFonts w:asciiTheme="majorHAnsi" w:hAnsiTheme="majorHAnsi" w:cstheme="majorHAnsi"/>
          <w:sz w:val="24"/>
          <w:szCs w:val="24"/>
          <w:shd w:val="clear" w:color="auto" w:fill="FFFFFF"/>
        </w:rPr>
        <w:t>(10), pp. 1917-1921.</w:t>
      </w:r>
    </w:p>
    <w:p w14:paraId="04AD4946" w14:textId="7067F41E" w:rsidR="00A57787" w:rsidRDefault="00A57787" w:rsidP="00CF502D">
      <w:pPr>
        <w:shd w:val="clear" w:color="auto" w:fill="FFFFFF"/>
        <w:jc w:val="both"/>
        <w:rPr>
          <w:rFonts w:asciiTheme="majorHAnsi" w:hAnsiTheme="majorHAnsi" w:cstheme="majorHAnsi"/>
          <w:sz w:val="24"/>
          <w:szCs w:val="24"/>
          <w:shd w:val="clear" w:color="auto" w:fill="FFFFFF"/>
        </w:rPr>
      </w:pPr>
      <w:r w:rsidRPr="00A57787">
        <w:rPr>
          <w:rFonts w:asciiTheme="majorHAnsi" w:hAnsiTheme="majorHAnsi" w:cstheme="majorHAnsi"/>
          <w:sz w:val="24"/>
          <w:szCs w:val="24"/>
          <w:shd w:val="clear" w:color="auto" w:fill="FFFFFF"/>
        </w:rPr>
        <w:t>NEWTON, K., MASON, R.O. and MITROFF, I.I., 1982. Challenging Strategic Planning Assumptions -- Theory, Cases and Techniques. </w:t>
      </w:r>
      <w:r w:rsidRPr="00A57787">
        <w:rPr>
          <w:rFonts w:asciiTheme="majorHAnsi" w:hAnsiTheme="majorHAnsi" w:cstheme="majorHAnsi"/>
          <w:i/>
          <w:iCs/>
          <w:sz w:val="24"/>
          <w:szCs w:val="24"/>
          <w:shd w:val="clear" w:color="auto" w:fill="FFFFFF"/>
        </w:rPr>
        <w:t>The Journal of the Operational Research Society, </w:t>
      </w:r>
      <w:r w:rsidRPr="00A57787">
        <w:rPr>
          <w:rFonts w:asciiTheme="majorHAnsi" w:hAnsiTheme="majorHAnsi" w:cstheme="majorHAnsi"/>
          <w:b/>
          <w:bCs/>
          <w:sz w:val="24"/>
          <w:szCs w:val="24"/>
          <w:shd w:val="clear" w:color="auto" w:fill="FFFFFF"/>
        </w:rPr>
        <w:t>33</w:t>
      </w:r>
      <w:r w:rsidRPr="00A57787">
        <w:rPr>
          <w:rFonts w:asciiTheme="majorHAnsi" w:hAnsiTheme="majorHAnsi" w:cstheme="majorHAnsi"/>
          <w:sz w:val="24"/>
          <w:szCs w:val="24"/>
          <w:shd w:val="clear" w:color="auto" w:fill="FFFFFF"/>
        </w:rPr>
        <w:t>(4), pp. 390.</w:t>
      </w:r>
    </w:p>
    <w:p w14:paraId="43AB0C07" w14:textId="1F33F4A8" w:rsidR="00787722" w:rsidRPr="00CF502D" w:rsidRDefault="003A65A3" w:rsidP="00CF502D">
      <w:pPr>
        <w:shd w:val="clear" w:color="auto" w:fill="FFFFFF"/>
        <w:jc w:val="both"/>
        <w:rPr>
          <w:rFonts w:asciiTheme="majorHAnsi" w:hAnsiTheme="majorHAnsi" w:cstheme="majorHAnsi"/>
          <w:sz w:val="24"/>
          <w:szCs w:val="24"/>
          <w:shd w:val="clear" w:color="auto" w:fill="FFFFFF"/>
        </w:rPr>
      </w:pPr>
      <w:r w:rsidRPr="00787722">
        <w:rPr>
          <w:rFonts w:asciiTheme="majorHAnsi" w:hAnsiTheme="majorHAnsi" w:cstheme="majorHAnsi"/>
          <w:sz w:val="24"/>
          <w:szCs w:val="24"/>
          <w:shd w:val="clear" w:color="auto" w:fill="FFFFFF"/>
        </w:rPr>
        <w:t>VARVASOVSZKY, Z. and BRUGHA, R., 2000. A stakeholder analysis. </w:t>
      </w:r>
      <w:r w:rsidRPr="00787722">
        <w:rPr>
          <w:rFonts w:asciiTheme="majorHAnsi" w:hAnsiTheme="majorHAnsi" w:cstheme="majorHAnsi"/>
          <w:i/>
          <w:iCs/>
          <w:sz w:val="24"/>
          <w:szCs w:val="24"/>
          <w:shd w:val="clear" w:color="auto" w:fill="FFFFFF"/>
        </w:rPr>
        <w:t>Health policy and planning; Health Policy Plan, </w:t>
      </w:r>
      <w:r w:rsidRPr="00787722">
        <w:rPr>
          <w:rFonts w:asciiTheme="majorHAnsi" w:hAnsiTheme="majorHAnsi" w:cstheme="majorHAnsi"/>
          <w:b/>
          <w:bCs/>
          <w:sz w:val="24"/>
          <w:szCs w:val="24"/>
          <w:shd w:val="clear" w:color="auto" w:fill="FFFFFF"/>
        </w:rPr>
        <w:t>15</w:t>
      </w:r>
      <w:r w:rsidRPr="00787722">
        <w:rPr>
          <w:rFonts w:asciiTheme="majorHAnsi" w:hAnsiTheme="majorHAnsi" w:cstheme="majorHAnsi"/>
          <w:sz w:val="24"/>
          <w:szCs w:val="24"/>
          <w:shd w:val="clear" w:color="auto" w:fill="FFFFFF"/>
        </w:rPr>
        <w:t>(3), pp. 338-345.</w:t>
      </w:r>
    </w:p>
    <w:p w14:paraId="2AFBA4D4" w14:textId="09947407" w:rsidR="00D70D44" w:rsidRDefault="00787722" w:rsidP="00CF502D">
      <w:pPr>
        <w:shd w:val="clear" w:color="auto" w:fill="FFFFFF"/>
        <w:jc w:val="both"/>
        <w:rPr>
          <w:rFonts w:asciiTheme="majorHAnsi" w:hAnsiTheme="majorHAnsi" w:cstheme="majorHAnsi"/>
          <w:sz w:val="24"/>
          <w:szCs w:val="24"/>
          <w:shd w:val="clear" w:color="auto" w:fill="FFFFFF"/>
        </w:rPr>
      </w:pPr>
      <w:r w:rsidRPr="00787722">
        <w:rPr>
          <w:rFonts w:asciiTheme="majorHAnsi" w:hAnsiTheme="majorHAnsi" w:cstheme="majorHAnsi"/>
          <w:sz w:val="24"/>
          <w:szCs w:val="24"/>
          <w:shd w:val="clear" w:color="auto" w:fill="FFFFFF"/>
        </w:rPr>
        <w:t xml:space="preserve">CLARKSON, M.B.E., 1995. A Stakeholder Framework for </w:t>
      </w:r>
      <w:r w:rsidRPr="00787722">
        <w:rPr>
          <w:rFonts w:asciiTheme="majorHAnsi" w:hAnsiTheme="majorHAnsi" w:cstheme="majorHAnsi"/>
          <w:sz w:val="24"/>
          <w:szCs w:val="24"/>
          <w:shd w:val="clear" w:color="auto" w:fill="FFFFFF"/>
        </w:rPr>
        <w:t>Analysing</w:t>
      </w:r>
      <w:r w:rsidRPr="00787722">
        <w:rPr>
          <w:rFonts w:asciiTheme="majorHAnsi" w:hAnsiTheme="majorHAnsi" w:cstheme="majorHAnsi"/>
          <w:sz w:val="24"/>
          <w:szCs w:val="24"/>
          <w:shd w:val="clear" w:color="auto" w:fill="FFFFFF"/>
        </w:rPr>
        <w:t xml:space="preserve"> and Evaluating Corporate Social Performance. </w:t>
      </w:r>
      <w:r w:rsidRPr="00787722">
        <w:rPr>
          <w:rFonts w:asciiTheme="majorHAnsi" w:hAnsiTheme="majorHAnsi" w:cstheme="majorHAnsi"/>
          <w:i/>
          <w:iCs/>
          <w:sz w:val="24"/>
          <w:szCs w:val="24"/>
          <w:shd w:val="clear" w:color="auto" w:fill="FFFFFF"/>
        </w:rPr>
        <w:t>The Academy of Management review, </w:t>
      </w:r>
      <w:r w:rsidRPr="00787722">
        <w:rPr>
          <w:rFonts w:asciiTheme="majorHAnsi" w:hAnsiTheme="majorHAnsi" w:cstheme="majorHAnsi"/>
          <w:b/>
          <w:bCs/>
          <w:sz w:val="24"/>
          <w:szCs w:val="24"/>
          <w:shd w:val="clear" w:color="auto" w:fill="FFFFFF"/>
        </w:rPr>
        <w:t>20</w:t>
      </w:r>
      <w:r w:rsidRPr="00787722">
        <w:rPr>
          <w:rFonts w:asciiTheme="majorHAnsi" w:hAnsiTheme="majorHAnsi" w:cstheme="majorHAnsi"/>
          <w:sz w:val="24"/>
          <w:szCs w:val="24"/>
          <w:shd w:val="clear" w:color="auto" w:fill="FFFFFF"/>
        </w:rPr>
        <w:t>(1), pp. 92-117.</w:t>
      </w:r>
    </w:p>
    <w:p w14:paraId="5166D3D4" w14:textId="6A0E5DCA" w:rsidR="00D70D44" w:rsidRDefault="00D70D44" w:rsidP="00CF502D">
      <w:pPr>
        <w:shd w:val="clear" w:color="auto" w:fill="FFFFFF"/>
        <w:jc w:val="both"/>
        <w:rPr>
          <w:rFonts w:asciiTheme="majorHAnsi" w:hAnsiTheme="majorHAnsi" w:cstheme="majorHAnsi"/>
          <w:sz w:val="24"/>
          <w:szCs w:val="24"/>
          <w:shd w:val="clear" w:color="auto" w:fill="FFFFFF"/>
        </w:rPr>
      </w:pPr>
      <w:r w:rsidRPr="00D70D44">
        <w:rPr>
          <w:rFonts w:asciiTheme="majorHAnsi" w:hAnsiTheme="majorHAnsi" w:cstheme="majorHAnsi"/>
          <w:sz w:val="24"/>
          <w:szCs w:val="24"/>
          <w:shd w:val="clear" w:color="auto" w:fill="FFFFFF"/>
        </w:rPr>
        <w:t>FASSIN, Y., 2009. The Stakeholder Model Refined. </w:t>
      </w:r>
      <w:r w:rsidRPr="00D70D44">
        <w:rPr>
          <w:rFonts w:asciiTheme="majorHAnsi" w:hAnsiTheme="majorHAnsi" w:cstheme="majorHAnsi"/>
          <w:i/>
          <w:iCs/>
          <w:sz w:val="24"/>
          <w:szCs w:val="24"/>
          <w:shd w:val="clear" w:color="auto" w:fill="FFFFFF"/>
        </w:rPr>
        <w:t>Journal of Business Ethics, </w:t>
      </w:r>
      <w:r w:rsidRPr="00D70D44">
        <w:rPr>
          <w:rFonts w:asciiTheme="majorHAnsi" w:hAnsiTheme="majorHAnsi" w:cstheme="majorHAnsi"/>
          <w:b/>
          <w:bCs/>
          <w:sz w:val="24"/>
          <w:szCs w:val="24"/>
          <w:shd w:val="clear" w:color="auto" w:fill="FFFFFF"/>
        </w:rPr>
        <w:t>84</w:t>
      </w:r>
      <w:r w:rsidRPr="00D70D44">
        <w:rPr>
          <w:rFonts w:asciiTheme="majorHAnsi" w:hAnsiTheme="majorHAnsi" w:cstheme="majorHAnsi"/>
          <w:sz w:val="24"/>
          <w:szCs w:val="24"/>
          <w:shd w:val="clear" w:color="auto" w:fill="FFFFFF"/>
        </w:rPr>
        <w:t>(1), pp. 113-135.</w:t>
      </w:r>
    </w:p>
    <w:p w14:paraId="4431078B" w14:textId="3851FEE8" w:rsidR="00315258" w:rsidRDefault="00315258" w:rsidP="00CF502D">
      <w:pPr>
        <w:shd w:val="clear" w:color="auto" w:fill="FFFFFF"/>
        <w:jc w:val="both"/>
        <w:rPr>
          <w:rFonts w:asciiTheme="majorHAnsi" w:hAnsiTheme="majorHAnsi" w:cstheme="majorHAnsi"/>
          <w:sz w:val="24"/>
          <w:szCs w:val="24"/>
          <w:shd w:val="clear" w:color="auto" w:fill="FFFFFF"/>
        </w:rPr>
      </w:pPr>
      <w:r w:rsidRPr="00315258">
        <w:rPr>
          <w:rFonts w:asciiTheme="majorHAnsi" w:hAnsiTheme="majorHAnsi" w:cstheme="majorHAnsi"/>
          <w:sz w:val="24"/>
          <w:szCs w:val="24"/>
          <w:shd w:val="clear" w:color="auto" w:fill="FFFFFF"/>
        </w:rPr>
        <w:t>DAVIES, C., 1982. </w:t>
      </w:r>
      <w:r w:rsidRPr="00315258">
        <w:rPr>
          <w:rFonts w:asciiTheme="majorHAnsi" w:hAnsiTheme="majorHAnsi" w:cstheme="majorHAnsi"/>
          <w:i/>
          <w:iCs/>
          <w:sz w:val="24"/>
          <w:szCs w:val="24"/>
          <w:shd w:val="clear" w:color="auto" w:fill="FFFFFF"/>
        </w:rPr>
        <w:t xml:space="preserve">Managing Development: The political dimension. Marc Lindenberg and Benjamin Crosby </w:t>
      </w:r>
      <w:proofErr w:type="spellStart"/>
      <w:r w:rsidRPr="00315258">
        <w:rPr>
          <w:rFonts w:asciiTheme="majorHAnsi" w:hAnsiTheme="majorHAnsi" w:cstheme="majorHAnsi"/>
          <w:i/>
          <w:iCs/>
          <w:sz w:val="24"/>
          <w:szCs w:val="24"/>
          <w:shd w:val="clear" w:color="auto" w:fill="FFFFFF"/>
        </w:rPr>
        <w:t>Kumarian</w:t>
      </w:r>
      <w:proofErr w:type="spellEnd"/>
      <w:r w:rsidRPr="00315258">
        <w:rPr>
          <w:rFonts w:asciiTheme="majorHAnsi" w:hAnsiTheme="majorHAnsi" w:cstheme="majorHAnsi"/>
          <w:i/>
          <w:iCs/>
          <w:sz w:val="24"/>
          <w:szCs w:val="24"/>
          <w:shd w:val="clear" w:color="auto" w:fill="FFFFFF"/>
        </w:rPr>
        <w:t xml:space="preserve"> Press, Connecticut, 1981, 217 pp. </w:t>
      </w:r>
      <w:r w:rsidRPr="00315258">
        <w:rPr>
          <w:rFonts w:asciiTheme="majorHAnsi" w:hAnsiTheme="majorHAnsi" w:cstheme="majorHAnsi"/>
          <w:sz w:val="24"/>
          <w:szCs w:val="24"/>
          <w:shd w:val="clear" w:color="auto" w:fill="FFFFFF"/>
        </w:rPr>
        <w:t>New York: John Wiley &amp; Sons, Ltd.</w:t>
      </w:r>
    </w:p>
    <w:p w14:paraId="3CACCF5E" w14:textId="631BE07C" w:rsidR="00B73796" w:rsidRDefault="00B73796" w:rsidP="00CF502D">
      <w:pPr>
        <w:shd w:val="clear" w:color="auto" w:fill="FFFFFF"/>
        <w:jc w:val="both"/>
        <w:rPr>
          <w:rFonts w:asciiTheme="majorHAnsi" w:hAnsiTheme="majorHAnsi" w:cstheme="majorHAnsi"/>
          <w:sz w:val="24"/>
          <w:szCs w:val="24"/>
          <w:shd w:val="clear" w:color="auto" w:fill="FFFFFF"/>
        </w:rPr>
      </w:pPr>
      <w:r w:rsidRPr="00B73796">
        <w:rPr>
          <w:rFonts w:asciiTheme="majorHAnsi" w:hAnsiTheme="majorHAnsi" w:cstheme="majorHAnsi"/>
          <w:sz w:val="24"/>
          <w:szCs w:val="24"/>
          <w:shd w:val="clear" w:color="auto" w:fill="FFFFFF"/>
        </w:rPr>
        <w:t>FERRARY, M., 2009. A Stakeholder's Perspective on Human Resource Management. </w:t>
      </w:r>
      <w:r w:rsidRPr="00B73796">
        <w:rPr>
          <w:rFonts w:asciiTheme="majorHAnsi" w:hAnsiTheme="majorHAnsi" w:cstheme="majorHAnsi"/>
          <w:i/>
          <w:iCs/>
          <w:sz w:val="24"/>
          <w:szCs w:val="24"/>
          <w:shd w:val="clear" w:color="auto" w:fill="FFFFFF"/>
        </w:rPr>
        <w:t>Journal of Business Ethics, </w:t>
      </w:r>
      <w:r w:rsidRPr="00B73796">
        <w:rPr>
          <w:rFonts w:asciiTheme="majorHAnsi" w:hAnsiTheme="majorHAnsi" w:cstheme="majorHAnsi"/>
          <w:b/>
          <w:bCs/>
          <w:sz w:val="24"/>
          <w:szCs w:val="24"/>
          <w:shd w:val="clear" w:color="auto" w:fill="FFFFFF"/>
        </w:rPr>
        <w:t>87</w:t>
      </w:r>
      <w:r w:rsidRPr="00B73796">
        <w:rPr>
          <w:rFonts w:asciiTheme="majorHAnsi" w:hAnsiTheme="majorHAnsi" w:cstheme="majorHAnsi"/>
          <w:sz w:val="24"/>
          <w:szCs w:val="24"/>
          <w:shd w:val="clear" w:color="auto" w:fill="FFFFFF"/>
        </w:rPr>
        <w:t>(1), pp. 31-43.</w:t>
      </w:r>
    </w:p>
    <w:p w14:paraId="3F7FEA16" w14:textId="7E0F4FA1" w:rsidR="00E71A76" w:rsidRDefault="00E71A76" w:rsidP="00CF502D">
      <w:pPr>
        <w:shd w:val="clear" w:color="auto" w:fill="FFFFFF"/>
        <w:jc w:val="both"/>
        <w:rPr>
          <w:rFonts w:asciiTheme="majorHAnsi" w:hAnsiTheme="majorHAnsi" w:cstheme="majorHAnsi"/>
          <w:sz w:val="24"/>
          <w:szCs w:val="24"/>
          <w:shd w:val="clear" w:color="auto" w:fill="FFFFFF"/>
        </w:rPr>
      </w:pPr>
      <w:r w:rsidRPr="00E71A76">
        <w:rPr>
          <w:rFonts w:asciiTheme="majorHAnsi" w:hAnsiTheme="majorHAnsi" w:cstheme="majorHAnsi"/>
          <w:sz w:val="24"/>
          <w:szCs w:val="24"/>
          <w:shd w:val="clear" w:color="auto" w:fill="FFFFFF"/>
        </w:rPr>
        <w:t xml:space="preserve">BLAIR, J.D., SLATON, </w:t>
      </w:r>
      <w:proofErr w:type="gramStart"/>
      <w:r w:rsidRPr="00E71A76">
        <w:rPr>
          <w:rFonts w:asciiTheme="majorHAnsi" w:hAnsiTheme="majorHAnsi" w:cstheme="majorHAnsi"/>
          <w:sz w:val="24"/>
          <w:szCs w:val="24"/>
          <w:shd w:val="clear" w:color="auto" w:fill="FFFFFF"/>
        </w:rPr>
        <w:t>C.R.</w:t>
      </w:r>
      <w:proofErr w:type="gramEnd"/>
      <w:r w:rsidRPr="00E71A76">
        <w:rPr>
          <w:rFonts w:asciiTheme="majorHAnsi" w:hAnsiTheme="majorHAnsi" w:cstheme="majorHAnsi"/>
          <w:sz w:val="24"/>
          <w:szCs w:val="24"/>
          <w:shd w:val="clear" w:color="auto" w:fill="FFFFFF"/>
        </w:rPr>
        <w:t xml:space="preserve"> and SAVAGE, G.T., 1990. Hospital-Physician Joint Ventures: A Strategic Approach For. </w:t>
      </w:r>
      <w:r w:rsidRPr="00E71A76">
        <w:rPr>
          <w:rFonts w:asciiTheme="majorHAnsi" w:hAnsiTheme="majorHAnsi" w:cstheme="majorHAnsi"/>
          <w:i/>
          <w:iCs/>
          <w:sz w:val="24"/>
          <w:szCs w:val="24"/>
          <w:shd w:val="clear" w:color="auto" w:fill="FFFFFF"/>
        </w:rPr>
        <w:t>Journal of healthcare management, </w:t>
      </w:r>
      <w:r w:rsidRPr="00E71A76">
        <w:rPr>
          <w:rFonts w:asciiTheme="majorHAnsi" w:hAnsiTheme="majorHAnsi" w:cstheme="majorHAnsi"/>
          <w:b/>
          <w:bCs/>
          <w:sz w:val="24"/>
          <w:szCs w:val="24"/>
          <w:shd w:val="clear" w:color="auto" w:fill="FFFFFF"/>
        </w:rPr>
        <w:t>35</w:t>
      </w:r>
      <w:r w:rsidRPr="00E71A76">
        <w:rPr>
          <w:rFonts w:asciiTheme="majorHAnsi" w:hAnsiTheme="majorHAnsi" w:cstheme="majorHAnsi"/>
          <w:sz w:val="24"/>
          <w:szCs w:val="24"/>
          <w:shd w:val="clear" w:color="auto" w:fill="FFFFFF"/>
        </w:rPr>
        <w:t>(1), pp. 3.</w:t>
      </w:r>
    </w:p>
    <w:p w14:paraId="2C6EBD4A" w14:textId="1B50C2A3" w:rsidR="00A15984" w:rsidRDefault="00A15984" w:rsidP="00CF502D">
      <w:pPr>
        <w:shd w:val="clear" w:color="auto" w:fill="FFFFFF"/>
        <w:jc w:val="both"/>
      </w:pPr>
      <w:hyperlink r:id="rId13" w:history="1">
        <w:r>
          <w:rPr>
            <w:rStyle w:val="Hyperlink"/>
            <w:rFonts w:ascii="Open Sans" w:hAnsi="Open Sans" w:cs="Open Sans"/>
            <w:color w:val="8EDEFF"/>
          </w:rPr>
          <w:t>https://www.frc.org.uk/getattachment/56920102-feeb-4da7-84f7-1061840af9f0/Combined-Code-Web-Optimized-June-200</w:t>
        </w:r>
        <w:r>
          <w:rPr>
            <w:rStyle w:val="Hyperlink"/>
            <w:rFonts w:ascii="Open Sans" w:hAnsi="Open Sans" w:cs="Open Sans"/>
            <w:color w:val="8EDEFF"/>
          </w:rPr>
          <w:t>8</w:t>
        </w:r>
        <w:r>
          <w:rPr>
            <w:rStyle w:val="Hyperlink"/>
            <w:rFonts w:ascii="Open Sans" w:hAnsi="Open Sans" w:cs="Open Sans"/>
            <w:color w:val="8EDEFF"/>
          </w:rPr>
          <w:t>.pdf</w:t>
        </w:r>
      </w:hyperlink>
    </w:p>
    <w:p w14:paraId="0447AD6D" w14:textId="490C138C" w:rsidR="00A15984" w:rsidRDefault="00A15984" w:rsidP="00CF502D">
      <w:pPr>
        <w:shd w:val="clear" w:color="auto" w:fill="FFFFFF"/>
        <w:jc w:val="both"/>
      </w:pPr>
      <w:hyperlink r:id="rId14" w:history="1">
        <w:r>
          <w:rPr>
            <w:rStyle w:val="Hyperlink"/>
            <w:rFonts w:ascii="Open Sans" w:hAnsi="Open Sans" w:cs="Open Sans"/>
            <w:color w:val="8EDEFF"/>
          </w:rPr>
          <w:t>https://www.dcgk.de/en/code/archive.html</w:t>
        </w:r>
      </w:hyperlink>
    </w:p>
    <w:p w14:paraId="6F56AF1C" w14:textId="4447CF25" w:rsidR="00883CD4" w:rsidRDefault="00883CD4" w:rsidP="00CF502D">
      <w:pPr>
        <w:shd w:val="clear" w:color="auto" w:fill="FFFFFF"/>
        <w:jc w:val="both"/>
        <w:rPr>
          <w:rFonts w:asciiTheme="majorHAnsi" w:hAnsiTheme="majorHAnsi" w:cstheme="majorHAnsi"/>
          <w:sz w:val="24"/>
          <w:szCs w:val="24"/>
          <w:shd w:val="clear" w:color="auto" w:fill="FFFFFF"/>
        </w:rPr>
      </w:pPr>
      <w:r w:rsidRPr="00883CD4">
        <w:rPr>
          <w:rFonts w:asciiTheme="majorHAnsi" w:hAnsiTheme="majorHAnsi" w:cstheme="majorHAnsi"/>
          <w:sz w:val="24"/>
          <w:szCs w:val="24"/>
          <w:shd w:val="clear" w:color="auto" w:fill="FFFFFF"/>
        </w:rPr>
        <w:t>KAUFMANN, S. and VALDERRAMA, M.T., 2008. Bank lending in Germany and the UK: are there differences between a bank-based and a market-based country? </w:t>
      </w:r>
      <w:r w:rsidRPr="00883CD4">
        <w:rPr>
          <w:rFonts w:asciiTheme="majorHAnsi" w:hAnsiTheme="majorHAnsi" w:cstheme="majorHAnsi"/>
          <w:i/>
          <w:iCs/>
          <w:sz w:val="24"/>
          <w:szCs w:val="24"/>
          <w:shd w:val="clear" w:color="auto" w:fill="FFFFFF"/>
        </w:rPr>
        <w:t xml:space="preserve">International journal of finance and economics; </w:t>
      </w:r>
      <w:proofErr w:type="spellStart"/>
      <w:proofErr w:type="gramStart"/>
      <w:r w:rsidRPr="00883CD4">
        <w:rPr>
          <w:rFonts w:asciiTheme="majorHAnsi" w:hAnsiTheme="majorHAnsi" w:cstheme="majorHAnsi"/>
          <w:i/>
          <w:iCs/>
          <w:sz w:val="24"/>
          <w:szCs w:val="24"/>
          <w:shd w:val="clear" w:color="auto" w:fill="FFFFFF"/>
        </w:rPr>
        <w:t>Int.J.Fin.Econ</w:t>
      </w:r>
      <w:proofErr w:type="spellEnd"/>
      <w:proofErr w:type="gramEnd"/>
      <w:r w:rsidRPr="00883CD4">
        <w:rPr>
          <w:rFonts w:asciiTheme="majorHAnsi" w:hAnsiTheme="majorHAnsi" w:cstheme="majorHAnsi"/>
          <w:i/>
          <w:iCs/>
          <w:sz w:val="24"/>
          <w:szCs w:val="24"/>
          <w:shd w:val="clear" w:color="auto" w:fill="FFFFFF"/>
        </w:rPr>
        <w:t>, </w:t>
      </w:r>
      <w:r w:rsidRPr="00883CD4">
        <w:rPr>
          <w:rFonts w:asciiTheme="majorHAnsi" w:hAnsiTheme="majorHAnsi" w:cstheme="majorHAnsi"/>
          <w:b/>
          <w:bCs/>
          <w:sz w:val="24"/>
          <w:szCs w:val="24"/>
          <w:shd w:val="clear" w:color="auto" w:fill="FFFFFF"/>
        </w:rPr>
        <w:t>13</w:t>
      </w:r>
      <w:r w:rsidRPr="00883CD4">
        <w:rPr>
          <w:rFonts w:asciiTheme="majorHAnsi" w:hAnsiTheme="majorHAnsi" w:cstheme="majorHAnsi"/>
          <w:sz w:val="24"/>
          <w:szCs w:val="24"/>
          <w:shd w:val="clear" w:color="auto" w:fill="FFFFFF"/>
        </w:rPr>
        <w:t>(3), pp. 266-279.</w:t>
      </w:r>
    </w:p>
    <w:p w14:paraId="11E290DE" w14:textId="6ABAE88E" w:rsidR="00883CD4" w:rsidRDefault="00883CD4" w:rsidP="00CF502D">
      <w:pPr>
        <w:shd w:val="clear" w:color="auto" w:fill="FFFFFF"/>
        <w:jc w:val="both"/>
        <w:rPr>
          <w:rFonts w:asciiTheme="majorHAnsi" w:hAnsiTheme="majorHAnsi" w:cstheme="majorHAnsi"/>
          <w:sz w:val="24"/>
          <w:szCs w:val="24"/>
          <w:shd w:val="clear" w:color="auto" w:fill="FFFFFF"/>
        </w:rPr>
      </w:pPr>
      <w:r w:rsidRPr="00883CD4">
        <w:rPr>
          <w:rFonts w:asciiTheme="majorHAnsi" w:hAnsiTheme="majorHAnsi" w:cstheme="majorHAnsi"/>
          <w:sz w:val="24"/>
          <w:szCs w:val="24"/>
          <w:shd w:val="clear" w:color="auto" w:fill="FFFFFF"/>
        </w:rPr>
        <w:t>ROBERTS, J., SANDERSON, P., SEIDL, D. and KRIVOKAPIC, A., 2020. The UK Corporate Governance Code Principle of ‘Comply or Explain’: Understanding Code Compliance as ‘Subjection’. </w:t>
      </w:r>
      <w:r w:rsidRPr="00883CD4">
        <w:rPr>
          <w:rFonts w:asciiTheme="majorHAnsi" w:hAnsiTheme="majorHAnsi" w:cstheme="majorHAnsi"/>
          <w:i/>
          <w:iCs/>
          <w:sz w:val="24"/>
          <w:szCs w:val="24"/>
          <w:shd w:val="clear" w:color="auto" w:fill="FFFFFF"/>
        </w:rPr>
        <w:t>Abacus (Sydney), </w:t>
      </w:r>
      <w:r w:rsidRPr="00883CD4">
        <w:rPr>
          <w:rFonts w:asciiTheme="majorHAnsi" w:hAnsiTheme="majorHAnsi" w:cstheme="majorHAnsi"/>
          <w:b/>
          <w:bCs/>
          <w:sz w:val="24"/>
          <w:szCs w:val="24"/>
          <w:shd w:val="clear" w:color="auto" w:fill="FFFFFF"/>
        </w:rPr>
        <w:t>56</w:t>
      </w:r>
      <w:r w:rsidRPr="00883CD4">
        <w:rPr>
          <w:rFonts w:asciiTheme="majorHAnsi" w:hAnsiTheme="majorHAnsi" w:cstheme="majorHAnsi"/>
          <w:sz w:val="24"/>
          <w:szCs w:val="24"/>
          <w:shd w:val="clear" w:color="auto" w:fill="FFFFFF"/>
        </w:rPr>
        <w:t>(4), pp. 602-626.</w:t>
      </w:r>
    </w:p>
    <w:p w14:paraId="71FA06D9" w14:textId="6C41B6B4" w:rsidR="00BA109C" w:rsidRPr="00ED2ACC" w:rsidRDefault="00ED2ACC" w:rsidP="00CF502D">
      <w:pPr>
        <w:shd w:val="clear" w:color="auto" w:fill="FFFFFF"/>
        <w:jc w:val="both"/>
        <w:rPr>
          <w:rFonts w:asciiTheme="majorHAnsi" w:hAnsiTheme="majorHAnsi" w:cstheme="majorHAnsi"/>
          <w:sz w:val="24"/>
          <w:szCs w:val="24"/>
          <w:shd w:val="clear" w:color="auto" w:fill="FFFFFF"/>
        </w:rPr>
      </w:pPr>
      <w:bookmarkStart w:id="9" w:name="_Hlk87798478"/>
      <w:r w:rsidRPr="00ED2ACC">
        <w:rPr>
          <w:rFonts w:asciiTheme="majorHAnsi" w:hAnsiTheme="majorHAnsi" w:cstheme="majorHAnsi"/>
          <w:sz w:val="24"/>
          <w:szCs w:val="24"/>
          <w:shd w:val="clear" w:color="auto" w:fill="FFFFFF"/>
        </w:rPr>
        <w:t xml:space="preserve">FOTTLER, M.D., BLAIR, J.D., WHITEHEAD, C.J., LAUS, M.D. and SAVAGE, G.T., 1989. Assessing Key Stakeholders: Who Matters </w:t>
      </w:r>
      <w:proofErr w:type="gramStart"/>
      <w:r w:rsidRPr="00ED2ACC">
        <w:rPr>
          <w:rFonts w:asciiTheme="majorHAnsi" w:hAnsiTheme="majorHAnsi" w:cstheme="majorHAnsi"/>
          <w:sz w:val="24"/>
          <w:szCs w:val="24"/>
          <w:shd w:val="clear" w:color="auto" w:fill="FFFFFF"/>
        </w:rPr>
        <w:t>To</w:t>
      </w:r>
      <w:proofErr w:type="gramEnd"/>
      <w:r w:rsidRPr="00ED2ACC">
        <w:rPr>
          <w:rFonts w:asciiTheme="majorHAnsi" w:hAnsiTheme="majorHAnsi" w:cstheme="majorHAnsi"/>
          <w:sz w:val="24"/>
          <w:szCs w:val="24"/>
          <w:shd w:val="clear" w:color="auto" w:fill="FFFFFF"/>
        </w:rPr>
        <w:t xml:space="preserve"> Hospitals And Why. </w:t>
      </w:r>
      <w:r w:rsidRPr="00ED2ACC">
        <w:rPr>
          <w:rFonts w:asciiTheme="majorHAnsi" w:hAnsiTheme="majorHAnsi" w:cstheme="majorHAnsi"/>
          <w:i/>
          <w:iCs/>
          <w:sz w:val="24"/>
          <w:szCs w:val="24"/>
          <w:shd w:val="clear" w:color="auto" w:fill="FFFFFF"/>
        </w:rPr>
        <w:t>Journal of healthcare management, </w:t>
      </w:r>
      <w:r w:rsidRPr="00ED2ACC">
        <w:rPr>
          <w:rFonts w:asciiTheme="majorHAnsi" w:hAnsiTheme="majorHAnsi" w:cstheme="majorHAnsi"/>
          <w:b/>
          <w:bCs/>
          <w:sz w:val="24"/>
          <w:szCs w:val="24"/>
          <w:shd w:val="clear" w:color="auto" w:fill="FFFFFF"/>
        </w:rPr>
        <w:t>34</w:t>
      </w:r>
      <w:r w:rsidRPr="00ED2ACC">
        <w:rPr>
          <w:rFonts w:asciiTheme="majorHAnsi" w:hAnsiTheme="majorHAnsi" w:cstheme="majorHAnsi"/>
          <w:sz w:val="24"/>
          <w:szCs w:val="24"/>
          <w:shd w:val="clear" w:color="auto" w:fill="FFFFFF"/>
        </w:rPr>
        <w:t>(4), pp. 525.</w:t>
      </w:r>
    </w:p>
    <w:bookmarkEnd w:id="9"/>
    <w:p w14:paraId="2DA3BE8D" w14:textId="7587F9E6" w:rsidR="00DA79DA" w:rsidRPr="00ED2ACC" w:rsidRDefault="00DA79DA" w:rsidP="00DA79DA">
      <w:pPr>
        <w:shd w:val="clear" w:color="auto" w:fill="FFFFFF"/>
        <w:jc w:val="both"/>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BLAIR, J.D., </w:t>
      </w:r>
      <w:r w:rsidRPr="00ED2ACC">
        <w:rPr>
          <w:rFonts w:asciiTheme="majorHAnsi" w:hAnsiTheme="majorHAnsi" w:cstheme="majorHAnsi"/>
          <w:sz w:val="24"/>
          <w:szCs w:val="24"/>
          <w:shd w:val="clear" w:color="auto" w:fill="FFFFFF"/>
        </w:rPr>
        <w:t>FOTTLER, M.D., 199</w:t>
      </w:r>
      <w:r>
        <w:rPr>
          <w:rFonts w:asciiTheme="majorHAnsi" w:hAnsiTheme="majorHAnsi" w:cstheme="majorHAnsi"/>
          <w:sz w:val="24"/>
          <w:szCs w:val="24"/>
          <w:shd w:val="clear" w:color="auto" w:fill="FFFFFF"/>
        </w:rPr>
        <w:t>0</w:t>
      </w:r>
      <w:r w:rsidRPr="00ED2ACC">
        <w:rPr>
          <w:rFonts w:asciiTheme="majorHAnsi" w:hAnsiTheme="majorHAnsi" w:cstheme="majorHAnsi"/>
          <w:sz w:val="24"/>
          <w:szCs w:val="24"/>
          <w:shd w:val="clear" w:color="auto" w:fill="FFFFFF"/>
        </w:rPr>
        <w:t xml:space="preserve">. </w:t>
      </w:r>
      <w:r>
        <w:rPr>
          <w:rFonts w:asciiTheme="majorHAnsi" w:hAnsiTheme="majorHAnsi" w:cstheme="majorHAnsi"/>
          <w:sz w:val="24"/>
          <w:szCs w:val="24"/>
          <w:shd w:val="clear" w:color="auto" w:fill="FFFFFF"/>
        </w:rPr>
        <w:t xml:space="preserve">Challenges in health care management: strategic perspectives for managing key stakeholders. San-Francisco, CA: Jossey-Bass </w:t>
      </w:r>
    </w:p>
    <w:p w14:paraId="53C13675" w14:textId="77777777" w:rsidR="00883CD4" w:rsidRPr="00883CD4" w:rsidRDefault="00883CD4" w:rsidP="00CF502D">
      <w:pPr>
        <w:shd w:val="clear" w:color="auto" w:fill="FFFFFF"/>
        <w:jc w:val="both"/>
        <w:rPr>
          <w:rFonts w:asciiTheme="majorHAnsi" w:hAnsiTheme="majorHAnsi" w:cstheme="majorHAnsi"/>
          <w:sz w:val="24"/>
          <w:szCs w:val="24"/>
        </w:rPr>
      </w:pPr>
    </w:p>
    <w:p w14:paraId="1BFC78AC" w14:textId="77777777" w:rsidR="00501990" w:rsidRPr="00B35A61" w:rsidRDefault="00501990" w:rsidP="00CF45B1">
      <w:pPr>
        <w:shd w:val="clear" w:color="auto" w:fill="FFFFFF"/>
        <w:spacing w:after="0" w:line="240" w:lineRule="auto"/>
        <w:jc w:val="both"/>
        <w:rPr>
          <w:rFonts w:asciiTheme="majorHAnsi" w:eastAsia="Times New Roman" w:hAnsiTheme="majorHAnsi" w:cstheme="majorHAnsi"/>
          <w:color w:val="000000"/>
          <w:sz w:val="24"/>
          <w:szCs w:val="24"/>
          <w:lang w:eastAsia="en-GB"/>
        </w:rPr>
      </w:pPr>
    </w:p>
    <w:p w14:paraId="44C364C9" w14:textId="74A0C014" w:rsidR="00780652" w:rsidRDefault="00891D67" w:rsidP="00780652">
      <w:pPr>
        <w:pStyle w:val="Heading2"/>
        <w:rPr>
          <w:rFonts w:ascii="Arial Narrow" w:hAnsi="Arial Narrow" w:cs="Arial Narrow"/>
          <w:color w:val="000000"/>
          <w:sz w:val="18"/>
          <w:szCs w:val="18"/>
        </w:rPr>
      </w:pPr>
      <w:bookmarkStart w:id="10" w:name="_Toc87799056"/>
      <w:r>
        <w:t>Bibliography</w:t>
      </w:r>
      <w:bookmarkEnd w:id="10"/>
      <w:r>
        <w:t xml:space="preserve"> </w:t>
      </w:r>
    </w:p>
    <w:p w14:paraId="0023DFE8" w14:textId="79FB094A" w:rsidR="00F47DC4" w:rsidRDefault="00392229" w:rsidP="009D2ACA">
      <w:pPr>
        <w:rPr>
          <w:rFonts w:asciiTheme="majorHAnsi" w:hAnsiTheme="majorHAnsi" w:cstheme="majorHAnsi"/>
          <w:color w:val="212529"/>
          <w:sz w:val="24"/>
          <w:szCs w:val="24"/>
          <w:shd w:val="clear" w:color="auto" w:fill="FFFFFF"/>
        </w:rPr>
      </w:pPr>
      <w:r w:rsidRPr="00392229">
        <w:rPr>
          <w:rFonts w:asciiTheme="majorHAnsi" w:hAnsiTheme="majorHAnsi" w:cstheme="majorHAnsi"/>
          <w:color w:val="212529"/>
          <w:sz w:val="24"/>
          <w:szCs w:val="24"/>
          <w:shd w:val="clear" w:color="auto" w:fill="FFFFFF"/>
        </w:rPr>
        <w:t>Brenntag AG (2018), "Brenntag AG Annual Report", Published in 2018.</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Euromonitor (2018), "Basic Materials Sector Analysis ", Published in 2018.</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A. D. Chandler, Strategy and Structure (Cambridge, Mass.: MIT Press, 1962)</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L. Wrigley, Divisional Autonomy and Diversification (PhD, Harvard Business School, 1970)</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M. E. Porter, Competitive Strategy(New York: Free Press, 1980)</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O. E. Williamson, Markets and Hierarchies(New York: Free Press, 1975)</w:t>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rPr>
        <w:br/>
      </w:r>
      <w:r w:rsidRPr="00392229">
        <w:rPr>
          <w:rFonts w:asciiTheme="majorHAnsi" w:hAnsiTheme="majorHAnsi" w:cstheme="majorHAnsi"/>
          <w:color w:val="212529"/>
          <w:sz w:val="24"/>
          <w:szCs w:val="24"/>
          <w:shd w:val="clear" w:color="auto" w:fill="FFFFFF"/>
        </w:rPr>
        <w:t>R. E. White, Generic Business Strategies, Organizational Context and Performance: An Empirical Investigation, Strategic Management Journal7 (1986)</w:t>
      </w:r>
    </w:p>
    <w:p w14:paraId="5897CE23"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proofErr w:type="spellStart"/>
      <w:r w:rsidRPr="001B2CEB">
        <w:rPr>
          <w:rFonts w:asciiTheme="majorHAnsi" w:eastAsia="Times New Roman" w:hAnsiTheme="majorHAnsi" w:cstheme="majorHAnsi"/>
          <w:color w:val="222222"/>
          <w:sz w:val="24"/>
          <w:szCs w:val="24"/>
          <w:lang w:eastAsia="en-GB"/>
        </w:rPr>
        <w:t>Varvasovszky</w:t>
      </w:r>
      <w:proofErr w:type="spellEnd"/>
      <w:r w:rsidRPr="001B2CEB">
        <w:rPr>
          <w:rFonts w:asciiTheme="majorHAnsi" w:eastAsia="Times New Roman" w:hAnsiTheme="majorHAnsi" w:cstheme="majorHAnsi"/>
          <w:color w:val="222222"/>
          <w:sz w:val="24"/>
          <w:szCs w:val="24"/>
          <w:lang w:eastAsia="en-GB"/>
        </w:rPr>
        <w:t xml:space="preserve"> Z, </w:t>
      </w:r>
      <w:proofErr w:type="spellStart"/>
      <w:r w:rsidRPr="001B2CEB">
        <w:rPr>
          <w:rFonts w:asciiTheme="majorHAnsi" w:eastAsia="Times New Roman" w:hAnsiTheme="majorHAnsi" w:cstheme="majorHAnsi"/>
          <w:color w:val="222222"/>
          <w:sz w:val="24"/>
          <w:szCs w:val="24"/>
          <w:lang w:eastAsia="en-GB"/>
        </w:rPr>
        <w:t>Brugha</w:t>
      </w:r>
      <w:proofErr w:type="spellEnd"/>
      <w:r w:rsidRPr="001B2CEB">
        <w:rPr>
          <w:rFonts w:asciiTheme="majorHAnsi" w:eastAsia="Times New Roman" w:hAnsiTheme="majorHAnsi" w:cstheme="majorHAnsi"/>
          <w:color w:val="222222"/>
          <w:sz w:val="24"/>
          <w:szCs w:val="24"/>
          <w:lang w:eastAsia="en-GB"/>
        </w:rPr>
        <w:t xml:space="preserve"> R. 2000. How to do (or not to do) a stakeholder analysis. Health Policy and Planning 15: 338-45.</w:t>
      </w:r>
    </w:p>
    <w:p w14:paraId="52CBE7BC"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proofErr w:type="spellStart"/>
      <w:r w:rsidRPr="001B2CEB">
        <w:rPr>
          <w:rFonts w:asciiTheme="majorHAnsi" w:eastAsia="Times New Roman" w:hAnsiTheme="majorHAnsi" w:cstheme="majorHAnsi"/>
          <w:color w:val="222222"/>
          <w:sz w:val="24"/>
          <w:szCs w:val="24"/>
          <w:lang w:eastAsia="en-GB"/>
        </w:rPr>
        <w:t>Varvasovszky</w:t>
      </w:r>
      <w:proofErr w:type="spellEnd"/>
      <w:r w:rsidRPr="001B2CEB">
        <w:rPr>
          <w:rFonts w:asciiTheme="majorHAnsi" w:eastAsia="Times New Roman" w:hAnsiTheme="majorHAnsi" w:cstheme="majorHAnsi"/>
          <w:color w:val="222222"/>
          <w:sz w:val="24"/>
          <w:szCs w:val="24"/>
          <w:lang w:eastAsia="en-GB"/>
        </w:rPr>
        <w:t xml:space="preserve"> Z, McKee M. 1998. An analysis of alcohol policy in Hungary. Who is in charge? Addiction 93(12): 1815-27.</w:t>
      </w:r>
    </w:p>
    <w:p w14:paraId="7385FB06"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r w:rsidRPr="001B2CEB">
        <w:rPr>
          <w:rFonts w:asciiTheme="majorHAnsi" w:eastAsia="Times New Roman" w:hAnsiTheme="majorHAnsi" w:cstheme="majorHAnsi"/>
          <w:color w:val="222222"/>
          <w:sz w:val="24"/>
          <w:szCs w:val="24"/>
          <w:lang w:eastAsia="en-GB"/>
        </w:rPr>
        <w:t xml:space="preserve">Walt G. 1994. Can interest groups influence government policy? Health policy: an introduction to process and power. </w:t>
      </w:r>
      <w:proofErr w:type="spellStart"/>
      <w:proofErr w:type="gramStart"/>
      <w:r w:rsidRPr="001B2CEB">
        <w:rPr>
          <w:rFonts w:asciiTheme="majorHAnsi" w:eastAsia="Times New Roman" w:hAnsiTheme="majorHAnsi" w:cstheme="majorHAnsi"/>
          <w:color w:val="222222"/>
          <w:sz w:val="24"/>
          <w:szCs w:val="24"/>
          <w:lang w:eastAsia="en-GB"/>
        </w:rPr>
        <w:t>London:Zed</w:t>
      </w:r>
      <w:proofErr w:type="spellEnd"/>
      <w:proofErr w:type="gramEnd"/>
      <w:r w:rsidRPr="001B2CEB">
        <w:rPr>
          <w:rFonts w:asciiTheme="majorHAnsi" w:eastAsia="Times New Roman" w:hAnsiTheme="majorHAnsi" w:cstheme="majorHAnsi"/>
          <w:color w:val="222222"/>
          <w:sz w:val="24"/>
          <w:szCs w:val="24"/>
          <w:lang w:eastAsia="en-GB"/>
        </w:rPr>
        <w:t xml:space="preserve"> Publications.</w:t>
      </w:r>
    </w:p>
    <w:p w14:paraId="75FC0C50"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r w:rsidRPr="001B2CEB">
        <w:rPr>
          <w:rFonts w:asciiTheme="majorHAnsi" w:eastAsia="Times New Roman" w:hAnsiTheme="majorHAnsi" w:cstheme="majorHAnsi"/>
          <w:color w:val="222222"/>
          <w:sz w:val="24"/>
          <w:szCs w:val="24"/>
          <w:lang w:eastAsia="en-GB"/>
        </w:rPr>
        <w:lastRenderedPageBreak/>
        <w:t>Walt G, Gilson L. 1994. Reforming the health sector in developing countries: the central role of policy analysis. Health Policy and Planning 9: 353-70.</w:t>
      </w:r>
    </w:p>
    <w:p w14:paraId="61715212"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r w:rsidRPr="001B2CEB">
        <w:rPr>
          <w:rFonts w:asciiTheme="majorHAnsi" w:eastAsia="Times New Roman" w:hAnsiTheme="majorHAnsi" w:cstheme="majorHAnsi"/>
          <w:color w:val="222222"/>
          <w:sz w:val="24"/>
          <w:szCs w:val="24"/>
          <w:lang w:eastAsia="en-GB"/>
        </w:rPr>
        <w:t>Walt G. 1998. Globalisation of international health. Lancet 351(9100): 434-7.</w:t>
      </w:r>
    </w:p>
    <w:p w14:paraId="536663DD" w14:textId="77777777" w:rsidR="009D2ACA" w:rsidRPr="001B2CEB" w:rsidRDefault="009D2ACA" w:rsidP="009D2ACA">
      <w:pPr>
        <w:shd w:val="clear" w:color="auto" w:fill="FFFFFF"/>
        <w:jc w:val="both"/>
        <w:rPr>
          <w:rFonts w:asciiTheme="majorHAnsi" w:eastAsia="Times New Roman" w:hAnsiTheme="majorHAnsi" w:cstheme="majorHAnsi"/>
          <w:color w:val="222222"/>
          <w:sz w:val="24"/>
          <w:szCs w:val="24"/>
          <w:lang w:eastAsia="en-GB"/>
        </w:rPr>
      </w:pPr>
      <w:r w:rsidRPr="001B2CEB">
        <w:rPr>
          <w:rFonts w:asciiTheme="majorHAnsi" w:eastAsia="Times New Roman" w:hAnsiTheme="majorHAnsi" w:cstheme="majorHAnsi"/>
          <w:color w:val="222222"/>
          <w:sz w:val="24"/>
          <w:szCs w:val="24"/>
          <w:lang w:eastAsia="en-GB"/>
        </w:rPr>
        <w:t>Weiss C. 1977. Using social research in public policy making. Lanham, MD: Lexington Books.</w:t>
      </w:r>
    </w:p>
    <w:p w14:paraId="2EA0598A" w14:textId="67741F31" w:rsidR="009D2ACA" w:rsidRDefault="00C24F5B" w:rsidP="00C24F5B">
      <w:pPr>
        <w:jc w:val="both"/>
        <w:rPr>
          <w:rFonts w:asciiTheme="majorHAnsi" w:hAnsiTheme="majorHAnsi" w:cstheme="majorHAnsi"/>
          <w:sz w:val="24"/>
          <w:szCs w:val="24"/>
          <w:shd w:val="clear" w:color="auto" w:fill="FFFFFF"/>
        </w:rPr>
      </w:pPr>
      <w:r w:rsidRPr="00C24F5B">
        <w:rPr>
          <w:rFonts w:asciiTheme="majorHAnsi" w:hAnsiTheme="majorHAnsi" w:cstheme="majorHAnsi"/>
          <w:sz w:val="24"/>
          <w:szCs w:val="24"/>
          <w:shd w:val="clear" w:color="auto" w:fill="FFFFFF"/>
        </w:rPr>
        <w:t>RIST, L. and MOEN, J., 2013. Sustainability in forest management and a new role for resilience thinking. </w:t>
      </w:r>
      <w:r w:rsidRPr="00C24F5B">
        <w:rPr>
          <w:rFonts w:asciiTheme="majorHAnsi" w:hAnsiTheme="majorHAnsi" w:cstheme="majorHAnsi"/>
          <w:i/>
          <w:iCs/>
          <w:sz w:val="24"/>
          <w:szCs w:val="24"/>
          <w:shd w:val="clear" w:color="auto" w:fill="FFFFFF"/>
        </w:rPr>
        <w:t>Forest Ecology and Management, </w:t>
      </w:r>
      <w:r w:rsidRPr="00C24F5B">
        <w:rPr>
          <w:rFonts w:asciiTheme="majorHAnsi" w:hAnsiTheme="majorHAnsi" w:cstheme="majorHAnsi"/>
          <w:b/>
          <w:bCs/>
          <w:sz w:val="24"/>
          <w:szCs w:val="24"/>
          <w:shd w:val="clear" w:color="auto" w:fill="FFFFFF"/>
        </w:rPr>
        <w:t>310</w:t>
      </w:r>
      <w:r w:rsidRPr="00C24F5B">
        <w:rPr>
          <w:rFonts w:asciiTheme="majorHAnsi" w:hAnsiTheme="majorHAnsi" w:cstheme="majorHAnsi"/>
          <w:sz w:val="24"/>
          <w:szCs w:val="24"/>
          <w:shd w:val="clear" w:color="auto" w:fill="FFFFFF"/>
        </w:rPr>
        <w:t>, pp. 416-427.</w:t>
      </w:r>
    </w:p>
    <w:p w14:paraId="6CDD8054" w14:textId="4ABAEC2B" w:rsidR="00C24F5B" w:rsidRDefault="009D4A93" w:rsidP="00C24F5B">
      <w:pPr>
        <w:jc w:val="both"/>
        <w:rPr>
          <w:rFonts w:asciiTheme="majorHAnsi" w:hAnsiTheme="majorHAnsi" w:cstheme="majorHAnsi"/>
          <w:sz w:val="24"/>
          <w:szCs w:val="24"/>
          <w:shd w:val="clear" w:color="auto" w:fill="FFFFFF"/>
        </w:rPr>
      </w:pPr>
      <w:r w:rsidRPr="009D4A93">
        <w:rPr>
          <w:rFonts w:asciiTheme="majorHAnsi" w:hAnsiTheme="majorHAnsi" w:cstheme="majorHAnsi"/>
          <w:sz w:val="24"/>
          <w:szCs w:val="24"/>
          <w:shd w:val="clear" w:color="auto" w:fill="FFFFFF"/>
        </w:rPr>
        <w:t>PITT, M. and KOUFOPOULOS, D.N., 2017. </w:t>
      </w:r>
      <w:r w:rsidRPr="009D4A93">
        <w:rPr>
          <w:rFonts w:asciiTheme="majorHAnsi" w:hAnsiTheme="majorHAnsi" w:cstheme="majorHAnsi"/>
          <w:i/>
          <w:iCs/>
          <w:sz w:val="24"/>
          <w:szCs w:val="24"/>
          <w:shd w:val="clear" w:color="auto" w:fill="FFFFFF"/>
        </w:rPr>
        <w:t>Essentials of strategic management. </w:t>
      </w:r>
      <w:r w:rsidRPr="009D4A93">
        <w:rPr>
          <w:rFonts w:asciiTheme="majorHAnsi" w:hAnsiTheme="majorHAnsi" w:cstheme="majorHAnsi"/>
          <w:sz w:val="24"/>
          <w:szCs w:val="24"/>
          <w:shd w:val="clear" w:color="auto" w:fill="FFFFFF"/>
        </w:rPr>
        <w:t xml:space="preserve">1 </w:t>
      </w:r>
      <w:proofErr w:type="spellStart"/>
      <w:r w:rsidRPr="009D4A93">
        <w:rPr>
          <w:rFonts w:asciiTheme="majorHAnsi" w:hAnsiTheme="majorHAnsi" w:cstheme="majorHAnsi"/>
          <w:sz w:val="24"/>
          <w:szCs w:val="24"/>
          <w:shd w:val="clear" w:color="auto" w:fill="FFFFFF"/>
        </w:rPr>
        <w:t>edn</w:t>
      </w:r>
      <w:proofErr w:type="spellEnd"/>
      <w:r w:rsidRPr="009D4A93">
        <w:rPr>
          <w:rFonts w:asciiTheme="majorHAnsi" w:hAnsiTheme="majorHAnsi" w:cstheme="majorHAnsi"/>
          <w:sz w:val="24"/>
          <w:szCs w:val="24"/>
          <w:shd w:val="clear" w:color="auto" w:fill="FFFFFF"/>
        </w:rPr>
        <w:t xml:space="preserve">. </w:t>
      </w:r>
      <w:proofErr w:type="gramStart"/>
      <w:r w:rsidRPr="009D4A93">
        <w:rPr>
          <w:rFonts w:asciiTheme="majorHAnsi" w:hAnsiTheme="majorHAnsi" w:cstheme="majorHAnsi"/>
          <w:sz w:val="24"/>
          <w:szCs w:val="24"/>
          <w:shd w:val="clear" w:color="auto" w:fill="FFFFFF"/>
        </w:rPr>
        <w:t>London ;</w:t>
      </w:r>
      <w:proofErr w:type="gramEnd"/>
      <w:r w:rsidRPr="009D4A93">
        <w:rPr>
          <w:rFonts w:asciiTheme="majorHAnsi" w:hAnsiTheme="majorHAnsi" w:cstheme="majorHAnsi"/>
          <w:sz w:val="24"/>
          <w:szCs w:val="24"/>
          <w:shd w:val="clear" w:color="auto" w:fill="FFFFFF"/>
        </w:rPr>
        <w:t>: SAGE.</w:t>
      </w:r>
    </w:p>
    <w:p w14:paraId="00031207" w14:textId="02BE70A0" w:rsidR="009D4A93" w:rsidRDefault="009D4A93" w:rsidP="00C24F5B">
      <w:pPr>
        <w:jc w:val="both"/>
        <w:rPr>
          <w:rFonts w:asciiTheme="majorHAnsi" w:hAnsiTheme="majorHAnsi" w:cstheme="majorHAnsi"/>
          <w:sz w:val="24"/>
          <w:szCs w:val="24"/>
          <w:shd w:val="clear" w:color="auto" w:fill="FFFFFF"/>
        </w:rPr>
      </w:pPr>
      <w:r w:rsidRPr="009D4A93">
        <w:rPr>
          <w:rFonts w:asciiTheme="majorHAnsi" w:hAnsiTheme="majorHAnsi" w:cstheme="majorHAnsi"/>
          <w:sz w:val="24"/>
          <w:szCs w:val="24"/>
          <w:shd w:val="clear" w:color="auto" w:fill="FFFFFF"/>
        </w:rPr>
        <w:t>PARNELL, JOHN A. (JOHN ALAN), 2017. </w:t>
      </w:r>
      <w:r w:rsidRPr="009D4A93">
        <w:rPr>
          <w:rFonts w:asciiTheme="majorHAnsi" w:hAnsiTheme="majorHAnsi" w:cstheme="majorHAnsi"/>
          <w:i/>
          <w:iCs/>
          <w:sz w:val="24"/>
          <w:szCs w:val="24"/>
          <w:shd w:val="clear" w:color="auto" w:fill="FFFFFF"/>
        </w:rPr>
        <w:t>Strategic management: theory and practice. </w:t>
      </w:r>
      <w:r w:rsidRPr="009D4A93">
        <w:rPr>
          <w:rFonts w:asciiTheme="majorHAnsi" w:hAnsiTheme="majorHAnsi" w:cstheme="majorHAnsi"/>
          <w:sz w:val="24"/>
          <w:szCs w:val="24"/>
          <w:shd w:val="clear" w:color="auto" w:fill="FFFFFF"/>
        </w:rPr>
        <w:t>Los Angeles: SAGE.</w:t>
      </w:r>
    </w:p>
    <w:p w14:paraId="1C6FA94B" w14:textId="2F8152B3" w:rsidR="009D4A93" w:rsidRDefault="009D4A93" w:rsidP="00C24F5B">
      <w:pPr>
        <w:jc w:val="both"/>
        <w:rPr>
          <w:rFonts w:asciiTheme="majorHAnsi" w:hAnsiTheme="majorHAnsi" w:cstheme="majorHAnsi"/>
          <w:i/>
          <w:iCs/>
          <w:sz w:val="24"/>
          <w:szCs w:val="24"/>
          <w:shd w:val="clear" w:color="auto" w:fill="FFFFFF"/>
        </w:rPr>
      </w:pPr>
      <w:r w:rsidRPr="009D4A93">
        <w:rPr>
          <w:rFonts w:asciiTheme="majorHAnsi" w:hAnsiTheme="majorHAnsi" w:cstheme="majorHAnsi"/>
          <w:sz w:val="24"/>
          <w:szCs w:val="24"/>
          <w:shd w:val="clear" w:color="auto" w:fill="FFFFFF"/>
        </w:rPr>
        <w:t>The Academy of Management review. 1976. </w:t>
      </w:r>
      <w:r w:rsidRPr="009D4A93">
        <w:rPr>
          <w:rFonts w:asciiTheme="majorHAnsi" w:hAnsiTheme="majorHAnsi" w:cstheme="majorHAnsi"/>
          <w:i/>
          <w:iCs/>
          <w:sz w:val="24"/>
          <w:szCs w:val="24"/>
          <w:shd w:val="clear" w:color="auto" w:fill="FFFFFF"/>
        </w:rPr>
        <w:t>Academy of Management review (Online)</w:t>
      </w:r>
      <w:r w:rsidRPr="009D4A93">
        <w:rPr>
          <w:rFonts w:asciiTheme="majorHAnsi" w:hAnsiTheme="majorHAnsi" w:cstheme="majorHAnsi"/>
          <w:i/>
          <w:iCs/>
          <w:sz w:val="24"/>
          <w:szCs w:val="24"/>
          <w:shd w:val="clear" w:color="auto" w:fill="FFFFFF"/>
        </w:rPr>
        <w:t>.</w:t>
      </w:r>
    </w:p>
    <w:p w14:paraId="0F4E6303" w14:textId="2674BE02" w:rsidR="009D4A93" w:rsidRDefault="009D4A93" w:rsidP="00C24F5B">
      <w:pPr>
        <w:jc w:val="both"/>
        <w:rPr>
          <w:rFonts w:asciiTheme="majorHAnsi" w:hAnsiTheme="majorHAnsi" w:cstheme="majorHAnsi"/>
          <w:i/>
          <w:iCs/>
          <w:sz w:val="24"/>
          <w:szCs w:val="24"/>
          <w:shd w:val="clear" w:color="auto" w:fill="FFFFFF"/>
        </w:rPr>
      </w:pPr>
      <w:r w:rsidRPr="009D4A93">
        <w:rPr>
          <w:rFonts w:asciiTheme="majorHAnsi" w:hAnsiTheme="majorHAnsi" w:cstheme="majorHAnsi"/>
          <w:sz w:val="24"/>
          <w:szCs w:val="24"/>
          <w:shd w:val="clear" w:color="auto" w:fill="FFFFFF"/>
        </w:rPr>
        <w:t>The Academy of Management journal. 1963. </w:t>
      </w:r>
      <w:r w:rsidRPr="009D4A93">
        <w:rPr>
          <w:rFonts w:asciiTheme="majorHAnsi" w:hAnsiTheme="majorHAnsi" w:cstheme="majorHAnsi"/>
          <w:i/>
          <w:iCs/>
          <w:sz w:val="24"/>
          <w:szCs w:val="24"/>
          <w:shd w:val="clear" w:color="auto" w:fill="FFFFFF"/>
        </w:rPr>
        <w:t>Academy of Management journal (Online)</w:t>
      </w:r>
      <w:r w:rsidRPr="009D4A93">
        <w:rPr>
          <w:rFonts w:asciiTheme="majorHAnsi" w:hAnsiTheme="majorHAnsi" w:cstheme="majorHAnsi"/>
          <w:i/>
          <w:iCs/>
          <w:sz w:val="24"/>
          <w:szCs w:val="24"/>
          <w:shd w:val="clear" w:color="auto" w:fill="FFFFFF"/>
        </w:rPr>
        <w:t>.</w:t>
      </w:r>
    </w:p>
    <w:p w14:paraId="039129FA" w14:textId="77777777" w:rsidR="00832A50" w:rsidRDefault="00832A50" w:rsidP="00832A50">
      <w:pPr>
        <w:shd w:val="clear" w:color="auto" w:fill="FFFFFF"/>
        <w:jc w:val="both"/>
        <w:rPr>
          <w:rFonts w:asciiTheme="majorHAnsi" w:hAnsiTheme="majorHAnsi" w:cstheme="majorHAnsi"/>
          <w:sz w:val="24"/>
          <w:szCs w:val="24"/>
          <w:shd w:val="clear" w:color="auto" w:fill="FFFFFF"/>
        </w:rPr>
      </w:pPr>
      <w:r w:rsidRPr="00BA109C">
        <w:rPr>
          <w:rFonts w:asciiTheme="majorHAnsi" w:hAnsiTheme="majorHAnsi" w:cstheme="majorHAnsi"/>
          <w:sz w:val="24"/>
          <w:szCs w:val="24"/>
          <w:shd w:val="clear" w:color="auto" w:fill="FFFFFF"/>
        </w:rPr>
        <w:t>MATT, D.T., MODRÁK, V. and ZSIFKOVITS, H., 2020. </w:t>
      </w:r>
      <w:r w:rsidRPr="00BA109C">
        <w:rPr>
          <w:rFonts w:asciiTheme="majorHAnsi" w:hAnsiTheme="majorHAnsi" w:cstheme="majorHAnsi"/>
          <w:i/>
          <w:iCs/>
          <w:sz w:val="24"/>
          <w:szCs w:val="24"/>
          <w:shd w:val="clear" w:color="auto" w:fill="FFFFFF"/>
        </w:rPr>
        <w:t>Industry 4.0 for SMEs Challenges, Opportunities and Requirements. </w:t>
      </w:r>
      <w:r w:rsidRPr="00BA109C">
        <w:rPr>
          <w:rFonts w:asciiTheme="majorHAnsi" w:hAnsiTheme="majorHAnsi" w:cstheme="majorHAnsi"/>
          <w:sz w:val="24"/>
          <w:szCs w:val="24"/>
          <w:shd w:val="clear" w:color="auto" w:fill="FFFFFF"/>
        </w:rPr>
        <w:t xml:space="preserve">1 </w:t>
      </w:r>
      <w:proofErr w:type="spellStart"/>
      <w:r w:rsidRPr="00BA109C">
        <w:rPr>
          <w:rFonts w:asciiTheme="majorHAnsi" w:hAnsiTheme="majorHAnsi" w:cstheme="majorHAnsi"/>
          <w:sz w:val="24"/>
          <w:szCs w:val="24"/>
          <w:shd w:val="clear" w:color="auto" w:fill="FFFFFF"/>
        </w:rPr>
        <w:t>edn</w:t>
      </w:r>
      <w:proofErr w:type="spellEnd"/>
      <w:r w:rsidRPr="00BA109C">
        <w:rPr>
          <w:rFonts w:asciiTheme="majorHAnsi" w:hAnsiTheme="majorHAnsi" w:cstheme="majorHAnsi"/>
          <w:sz w:val="24"/>
          <w:szCs w:val="24"/>
          <w:shd w:val="clear" w:color="auto" w:fill="FFFFFF"/>
        </w:rPr>
        <w:t>. Cham: Springer International Publishing.</w:t>
      </w:r>
    </w:p>
    <w:p w14:paraId="73040C25" w14:textId="4137E356" w:rsidR="00832A50" w:rsidRDefault="00832A50" w:rsidP="00832A50">
      <w:pPr>
        <w:shd w:val="clear" w:color="auto" w:fill="FFFFFF"/>
        <w:jc w:val="both"/>
        <w:rPr>
          <w:rFonts w:asciiTheme="majorHAnsi" w:hAnsiTheme="majorHAnsi" w:cstheme="majorHAnsi"/>
          <w:sz w:val="24"/>
          <w:szCs w:val="24"/>
          <w:shd w:val="clear" w:color="auto" w:fill="FFFFFF"/>
        </w:rPr>
      </w:pPr>
      <w:r w:rsidRPr="00BA109C">
        <w:rPr>
          <w:rFonts w:asciiTheme="majorHAnsi" w:hAnsiTheme="majorHAnsi" w:cstheme="majorHAnsi"/>
          <w:sz w:val="24"/>
          <w:szCs w:val="24"/>
          <w:shd w:val="clear" w:color="auto" w:fill="FFFFFF"/>
        </w:rPr>
        <w:t>JONES, O. and TILLEY, F., 2003. </w:t>
      </w:r>
      <w:r w:rsidRPr="00BA109C">
        <w:rPr>
          <w:rFonts w:asciiTheme="majorHAnsi" w:hAnsiTheme="majorHAnsi" w:cstheme="majorHAnsi"/>
          <w:i/>
          <w:iCs/>
          <w:sz w:val="24"/>
          <w:szCs w:val="24"/>
          <w:shd w:val="clear" w:color="auto" w:fill="FFFFFF"/>
        </w:rPr>
        <w:t>Competitive advantage in SMEs organising for innovation and change. </w:t>
      </w:r>
      <w:r w:rsidRPr="00BA109C">
        <w:rPr>
          <w:rFonts w:asciiTheme="majorHAnsi" w:hAnsiTheme="majorHAnsi" w:cstheme="majorHAnsi"/>
          <w:sz w:val="24"/>
          <w:szCs w:val="24"/>
          <w:shd w:val="clear" w:color="auto" w:fill="FFFFFF"/>
        </w:rPr>
        <w:t>Hoboken, NJ: J. Wiley.</w:t>
      </w:r>
    </w:p>
    <w:p w14:paraId="18192759" w14:textId="7C8AD7B3" w:rsidR="005805B5" w:rsidRDefault="005805B5" w:rsidP="00832A50">
      <w:pPr>
        <w:shd w:val="clear" w:color="auto" w:fill="FFFFFF"/>
        <w:jc w:val="both"/>
        <w:rPr>
          <w:rFonts w:asciiTheme="majorHAnsi" w:hAnsiTheme="majorHAnsi" w:cstheme="majorHAnsi"/>
          <w:color w:val="333333"/>
          <w:sz w:val="24"/>
          <w:szCs w:val="24"/>
        </w:rPr>
      </w:pPr>
      <w:proofErr w:type="spellStart"/>
      <w:r w:rsidRPr="005805B5">
        <w:rPr>
          <w:rFonts w:asciiTheme="majorHAnsi" w:hAnsiTheme="majorHAnsi" w:cstheme="majorHAnsi"/>
          <w:color w:val="333333"/>
          <w:sz w:val="24"/>
          <w:szCs w:val="24"/>
        </w:rPr>
        <w:t>Tulus</w:t>
      </w:r>
      <w:proofErr w:type="spellEnd"/>
      <w:r w:rsidRPr="005805B5">
        <w:rPr>
          <w:rFonts w:asciiTheme="majorHAnsi" w:hAnsiTheme="majorHAnsi" w:cstheme="majorHAnsi"/>
          <w:color w:val="333333"/>
          <w:sz w:val="24"/>
          <w:szCs w:val="24"/>
        </w:rPr>
        <w:t xml:space="preserve"> T and Liu Xiang F 2007 </w:t>
      </w:r>
      <w:r w:rsidRPr="005805B5">
        <w:rPr>
          <w:rFonts w:asciiTheme="majorHAnsi" w:hAnsiTheme="majorHAnsi" w:cstheme="majorHAnsi"/>
          <w:color w:val="333333"/>
          <w:sz w:val="24"/>
          <w:szCs w:val="24"/>
          <w:bdr w:val="none" w:sz="0" w:space="0" w:color="auto" w:frame="1"/>
        </w:rPr>
        <w:t>ERIA Related Joint Research of SME Project, IDE-JETRO: SME Development in Indonesia and China</w:t>
      </w:r>
      <w:r w:rsidRPr="005805B5">
        <w:rPr>
          <w:rFonts w:asciiTheme="majorHAnsi" w:hAnsiTheme="majorHAnsi" w:cstheme="majorHAnsi"/>
          <w:color w:val="333333"/>
          <w:sz w:val="24"/>
          <w:szCs w:val="24"/>
        </w:rPr>
        <w:t> 1-29</w:t>
      </w:r>
    </w:p>
    <w:p w14:paraId="7581E4A3" w14:textId="1864FBDF" w:rsidR="00DA79DA" w:rsidRDefault="00DA79DA" w:rsidP="00832A50">
      <w:pPr>
        <w:shd w:val="clear" w:color="auto" w:fill="FFFFFF"/>
        <w:jc w:val="both"/>
        <w:rPr>
          <w:rFonts w:asciiTheme="majorHAnsi" w:hAnsiTheme="majorHAnsi" w:cstheme="majorHAnsi"/>
          <w:sz w:val="24"/>
          <w:szCs w:val="24"/>
          <w:shd w:val="clear" w:color="auto" w:fill="FFFFFF"/>
        </w:rPr>
      </w:pPr>
      <w:r w:rsidRPr="00DA79DA">
        <w:rPr>
          <w:rFonts w:asciiTheme="majorHAnsi" w:hAnsiTheme="majorHAnsi" w:cstheme="majorHAnsi"/>
          <w:sz w:val="24"/>
          <w:szCs w:val="24"/>
          <w:shd w:val="clear" w:color="auto" w:fill="FFFFFF"/>
        </w:rPr>
        <w:t>RO, S. and ZIOBROWSKI, A.J., 2009. Does Focus Really Matter? Specialized vs. Diversified REITs. </w:t>
      </w:r>
      <w:r w:rsidRPr="00DA79DA">
        <w:rPr>
          <w:rFonts w:asciiTheme="majorHAnsi" w:hAnsiTheme="majorHAnsi" w:cstheme="majorHAnsi"/>
          <w:i/>
          <w:iCs/>
          <w:sz w:val="24"/>
          <w:szCs w:val="24"/>
          <w:shd w:val="clear" w:color="auto" w:fill="FFFFFF"/>
        </w:rPr>
        <w:t>The journal of real estate finance and economics, </w:t>
      </w:r>
      <w:r w:rsidRPr="00DA79DA">
        <w:rPr>
          <w:rFonts w:asciiTheme="majorHAnsi" w:hAnsiTheme="majorHAnsi" w:cstheme="majorHAnsi"/>
          <w:b/>
          <w:bCs/>
          <w:sz w:val="24"/>
          <w:szCs w:val="24"/>
          <w:shd w:val="clear" w:color="auto" w:fill="FFFFFF"/>
        </w:rPr>
        <w:t>42</w:t>
      </w:r>
      <w:r w:rsidRPr="00DA79DA">
        <w:rPr>
          <w:rFonts w:asciiTheme="majorHAnsi" w:hAnsiTheme="majorHAnsi" w:cstheme="majorHAnsi"/>
          <w:sz w:val="24"/>
          <w:szCs w:val="24"/>
          <w:shd w:val="clear" w:color="auto" w:fill="FFFFFF"/>
        </w:rPr>
        <w:t>(1), pp. 68-83.</w:t>
      </w:r>
    </w:p>
    <w:p w14:paraId="751F4D56" w14:textId="46B0FB43" w:rsidR="00DA79DA" w:rsidRPr="00D50865" w:rsidRDefault="00D50865" w:rsidP="00832A50">
      <w:pPr>
        <w:shd w:val="clear" w:color="auto" w:fill="FFFFFF"/>
        <w:jc w:val="both"/>
        <w:rPr>
          <w:rFonts w:asciiTheme="majorHAnsi" w:hAnsiTheme="majorHAnsi" w:cstheme="majorHAnsi"/>
          <w:sz w:val="24"/>
          <w:szCs w:val="24"/>
        </w:rPr>
      </w:pPr>
      <w:r w:rsidRPr="00D50865">
        <w:rPr>
          <w:rFonts w:asciiTheme="majorHAnsi" w:hAnsiTheme="majorHAnsi" w:cstheme="majorHAnsi"/>
          <w:sz w:val="24"/>
          <w:szCs w:val="24"/>
          <w:shd w:val="clear" w:color="auto" w:fill="FFFFFF"/>
        </w:rPr>
        <w:t>FREEMAN, R.E., HARRISON, J.S. and WICKS, A.C., 2007. </w:t>
      </w:r>
      <w:r w:rsidRPr="00D50865">
        <w:rPr>
          <w:rFonts w:asciiTheme="majorHAnsi" w:hAnsiTheme="majorHAnsi" w:cstheme="majorHAnsi"/>
          <w:i/>
          <w:iCs/>
          <w:sz w:val="24"/>
          <w:szCs w:val="24"/>
          <w:shd w:val="clear" w:color="auto" w:fill="FFFFFF"/>
        </w:rPr>
        <w:t xml:space="preserve">Managing for </w:t>
      </w:r>
      <w:proofErr w:type="gramStart"/>
      <w:r w:rsidRPr="00D50865">
        <w:rPr>
          <w:rFonts w:asciiTheme="majorHAnsi" w:hAnsiTheme="majorHAnsi" w:cstheme="majorHAnsi"/>
          <w:i/>
          <w:iCs/>
          <w:sz w:val="24"/>
          <w:szCs w:val="24"/>
          <w:shd w:val="clear" w:color="auto" w:fill="FFFFFF"/>
        </w:rPr>
        <w:t>stakeholders</w:t>
      </w:r>
      <w:proofErr w:type="gramEnd"/>
      <w:r w:rsidRPr="00D50865">
        <w:rPr>
          <w:rFonts w:asciiTheme="majorHAnsi" w:hAnsiTheme="majorHAnsi" w:cstheme="majorHAnsi"/>
          <w:i/>
          <w:iCs/>
          <w:sz w:val="24"/>
          <w:szCs w:val="24"/>
          <w:shd w:val="clear" w:color="auto" w:fill="FFFFFF"/>
        </w:rPr>
        <w:t xml:space="preserve"> survival, reputation, and success. </w:t>
      </w:r>
      <w:r w:rsidRPr="00D50865">
        <w:rPr>
          <w:rFonts w:asciiTheme="majorHAnsi" w:hAnsiTheme="majorHAnsi" w:cstheme="majorHAnsi"/>
          <w:sz w:val="24"/>
          <w:szCs w:val="24"/>
          <w:shd w:val="clear" w:color="auto" w:fill="FFFFFF"/>
        </w:rPr>
        <w:t>New Haven: Yale University Press.</w:t>
      </w:r>
    </w:p>
    <w:p w14:paraId="1FDB25C2" w14:textId="2287A581" w:rsidR="005805B5" w:rsidRDefault="00565D36" w:rsidP="00832A50">
      <w:pPr>
        <w:shd w:val="clear" w:color="auto" w:fill="FFFFFF"/>
        <w:jc w:val="both"/>
        <w:rPr>
          <w:rFonts w:asciiTheme="majorHAnsi" w:hAnsiTheme="majorHAnsi" w:cstheme="majorHAnsi"/>
          <w:sz w:val="24"/>
          <w:szCs w:val="24"/>
          <w:shd w:val="clear" w:color="auto" w:fill="FFFFFF"/>
        </w:rPr>
      </w:pPr>
      <w:r w:rsidRPr="00565D36">
        <w:rPr>
          <w:rFonts w:asciiTheme="majorHAnsi" w:hAnsiTheme="majorHAnsi" w:cstheme="majorHAnsi"/>
          <w:sz w:val="24"/>
          <w:szCs w:val="24"/>
          <w:shd w:val="clear" w:color="auto" w:fill="FFFFFF"/>
        </w:rPr>
        <w:t>MAUND, A., 2018. </w:t>
      </w:r>
      <w:r w:rsidRPr="00565D36">
        <w:rPr>
          <w:rFonts w:asciiTheme="majorHAnsi" w:hAnsiTheme="majorHAnsi" w:cstheme="majorHAnsi"/>
          <w:i/>
          <w:iCs/>
          <w:sz w:val="24"/>
          <w:szCs w:val="24"/>
          <w:shd w:val="clear" w:color="auto" w:fill="FFFFFF"/>
        </w:rPr>
        <w:t>BA in leadership and management: skills for the workplace student yearbook, 1st year. </w:t>
      </w:r>
      <w:r w:rsidRPr="00565D36">
        <w:rPr>
          <w:rFonts w:asciiTheme="majorHAnsi" w:hAnsiTheme="majorHAnsi" w:cstheme="majorHAnsi"/>
          <w:sz w:val="24"/>
          <w:szCs w:val="24"/>
          <w:shd w:val="clear" w:color="auto" w:fill="FFFFFF"/>
        </w:rPr>
        <w:t>London: SAGE.</w:t>
      </w:r>
    </w:p>
    <w:p w14:paraId="416C3251" w14:textId="17DDA368" w:rsidR="00565D36" w:rsidRDefault="00565D36" w:rsidP="00832A50">
      <w:pPr>
        <w:shd w:val="clear" w:color="auto" w:fill="FFFFFF"/>
        <w:jc w:val="both"/>
        <w:rPr>
          <w:rFonts w:asciiTheme="majorHAnsi" w:hAnsiTheme="majorHAnsi" w:cstheme="majorHAnsi"/>
          <w:sz w:val="24"/>
          <w:szCs w:val="24"/>
          <w:shd w:val="clear" w:color="auto" w:fill="FFFFFF"/>
        </w:rPr>
      </w:pPr>
      <w:r w:rsidRPr="00565D36">
        <w:rPr>
          <w:rFonts w:asciiTheme="majorHAnsi" w:hAnsiTheme="majorHAnsi" w:cstheme="majorHAnsi"/>
          <w:sz w:val="24"/>
          <w:szCs w:val="24"/>
          <w:shd w:val="clear" w:color="auto" w:fill="FFFFFF"/>
        </w:rPr>
        <w:t>MAUND, A., SCHRIEK, M. and TINKLER, P.K., 2017. </w:t>
      </w:r>
      <w:r w:rsidRPr="00565D36">
        <w:rPr>
          <w:rFonts w:asciiTheme="majorHAnsi" w:hAnsiTheme="majorHAnsi" w:cstheme="majorHAnsi"/>
          <w:i/>
          <w:iCs/>
          <w:sz w:val="24"/>
          <w:szCs w:val="24"/>
          <w:shd w:val="clear" w:color="auto" w:fill="FFFFFF"/>
        </w:rPr>
        <w:t>Certificate in higher education: skills for the workplace student yearbook. </w:t>
      </w:r>
      <w:r w:rsidRPr="00565D36">
        <w:rPr>
          <w:rFonts w:asciiTheme="majorHAnsi" w:hAnsiTheme="majorHAnsi" w:cstheme="majorHAnsi"/>
          <w:sz w:val="24"/>
          <w:szCs w:val="24"/>
          <w:shd w:val="clear" w:color="auto" w:fill="FFFFFF"/>
        </w:rPr>
        <w:t>London: Sage.</w:t>
      </w:r>
    </w:p>
    <w:p w14:paraId="2CD27FF5" w14:textId="77777777" w:rsidR="00565D36" w:rsidRPr="00565D36" w:rsidRDefault="00565D36" w:rsidP="00832A50">
      <w:pPr>
        <w:shd w:val="clear" w:color="auto" w:fill="FFFFFF"/>
        <w:jc w:val="both"/>
        <w:rPr>
          <w:rFonts w:asciiTheme="majorHAnsi" w:hAnsiTheme="majorHAnsi" w:cstheme="majorHAnsi"/>
          <w:sz w:val="24"/>
          <w:szCs w:val="24"/>
          <w:shd w:val="clear" w:color="auto" w:fill="FFFFFF"/>
        </w:rPr>
      </w:pPr>
    </w:p>
    <w:p w14:paraId="67AA1915" w14:textId="77777777" w:rsidR="00832A50" w:rsidRPr="00832A50" w:rsidRDefault="00832A50" w:rsidP="00C24F5B">
      <w:pPr>
        <w:jc w:val="both"/>
        <w:rPr>
          <w:rFonts w:asciiTheme="majorHAnsi" w:hAnsiTheme="majorHAnsi" w:cstheme="majorHAnsi"/>
          <w:sz w:val="24"/>
          <w:szCs w:val="24"/>
          <w:shd w:val="clear" w:color="auto" w:fill="FFFFFF"/>
        </w:rPr>
      </w:pPr>
    </w:p>
    <w:p w14:paraId="75739503" w14:textId="77777777" w:rsidR="009D4A93" w:rsidRPr="009D4A93" w:rsidRDefault="009D4A93" w:rsidP="00C24F5B">
      <w:pPr>
        <w:jc w:val="both"/>
        <w:rPr>
          <w:rFonts w:asciiTheme="majorHAnsi" w:hAnsiTheme="majorHAnsi" w:cstheme="majorHAnsi"/>
          <w:b/>
          <w:bCs/>
          <w:sz w:val="24"/>
          <w:szCs w:val="24"/>
          <w:shd w:val="clear" w:color="auto" w:fill="FFFFFF"/>
        </w:rPr>
      </w:pPr>
    </w:p>
    <w:p w14:paraId="7CA157F0" w14:textId="77777777" w:rsidR="00392229" w:rsidRPr="00392229" w:rsidRDefault="00392229" w:rsidP="009D2ACA">
      <w:pPr>
        <w:rPr>
          <w:rFonts w:asciiTheme="majorHAnsi" w:hAnsiTheme="majorHAnsi" w:cstheme="majorHAnsi"/>
          <w:sz w:val="24"/>
          <w:szCs w:val="24"/>
        </w:rPr>
      </w:pPr>
    </w:p>
    <w:bookmarkEnd w:id="2"/>
    <w:p w14:paraId="3F110435" w14:textId="77777777" w:rsidR="003F69D6" w:rsidRDefault="003F69D6" w:rsidP="00D2291D">
      <w:pPr>
        <w:spacing w:line="360" w:lineRule="auto"/>
        <w:rPr>
          <w:rFonts w:ascii="Arial" w:hAnsi="Arial" w:cs="Arial"/>
          <w:sz w:val="24"/>
          <w:szCs w:val="24"/>
        </w:rPr>
      </w:pPr>
    </w:p>
    <w:p w14:paraId="52CE686E" w14:textId="64317B43" w:rsidR="003F69D6" w:rsidRDefault="002049FE" w:rsidP="000C3BF0">
      <w:pPr>
        <w:pStyle w:val="Heading2"/>
      </w:pPr>
      <w:bookmarkStart w:id="11" w:name="_Toc87799057"/>
      <w:r>
        <w:lastRenderedPageBreak/>
        <w:t>Appendix 1</w:t>
      </w:r>
      <w:bookmarkEnd w:id="11"/>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16"/>
    <w:rsid w:val="00016992"/>
    <w:rsid w:val="000178FF"/>
    <w:rsid w:val="000179D8"/>
    <w:rsid w:val="00045C47"/>
    <w:rsid w:val="000578CE"/>
    <w:rsid w:val="0006008A"/>
    <w:rsid w:val="000653F1"/>
    <w:rsid w:val="00083424"/>
    <w:rsid w:val="00096739"/>
    <w:rsid w:val="000A61C9"/>
    <w:rsid w:val="000A6361"/>
    <w:rsid w:val="000C3BF0"/>
    <w:rsid w:val="000C5E1B"/>
    <w:rsid w:val="000E2AB8"/>
    <w:rsid w:val="000E703D"/>
    <w:rsid w:val="001130F2"/>
    <w:rsid w:val="0015027C"/>
    <w:rsid w:val="001828EE"/>
    <w:rsid w:val="001836B1"/>
    <w:rsid w:val="001A52A5"/>
    <w:rsid w:val="001B72A7"/>
    <w:rsid w:val="001C09A4"/>
    <w:rsid w:val="001C2120"/>
    <w:rsid w:val="001D5EDA"/>
    <w:rsid w:val="001E5FC6"/>
    <w:rsid w:val="001F20D7"/>
    <w:rsid w:val="001F5437"/>
    <w:rsid w:val="002049FE"/>
    <w:rsid w:val="0021380A"/>
    <w:rsid w:val="002154CB"/>
    <w:rsid w:val="00237FED"/>
    <w:rsid w:val="002520B4"/>
    <w:rsid w:val="00252E68"/>
    <w:rsid w:val="00255FC4"/>
    <w:rsid w:val="00276A31"/>
    <w:rsid w:val="00284720"/>
    <w:rsid w:val="00285583"/>
    <w:rsid w:val="00285D09"/>
    <w:rsid w:val="0029612E"/>
    <w:rsid w:val="00296FAF"/>
    <w:rsid w:val="002C4CAC"/>
    <w:rsid w:val="002D0F0D"/>
    <w:rsid w:val="002D4E64"/>
    <w:rsid w:val="0030173B"/>
    <w:rsid w:val="0030202B"/>
    <w:rsid w:val="00315258"/>
    <w:rsid w:val="00322C2E"/>
    <w:rsid w:val="003250DE"/>
    <w:rsid w:val="00331B7F"/>
    <w:rsid w:val="003751F2"/>
    <w:rsid w:val="00380225"/>
    <w:rsid w:val="003860FB"/>
    <w:rsid w:val="00391011"/>
    <w:rsid w:val="00392229"/>
    <w:rsid w:val="003A4F15"/>
    <w:rsid w:val="003A65A3"/>
    <w:rsid w:val="003B2D0F"/>
    <w:rsid w:val="003B602D"/>
    <w:rsid w:val="003C3B33"/>
    <w:rsid w:val="003C4A80"/>
    <w:rsid w:val="003C51B0"/>
    <w:rsid w:val="003D34E8"/>
    <w:rsid w:val="003E68E6"/>
    <w:rsid w:val="003F64EA"/>
    <w:rsid w:val="003F69D6"/>
    <w:rsid w:val="0041585C"/>
    <w:rsid w:val="00436B9A"/>
    <w:rsid w:val="004460F1"/>
    <w:rsid w:val="0046229B"/>
    <w:rsid w:val="00481CB5"/>
    <w:rsid w:val="0048502F"/>
    <w:rsid w:val="004F03CD"/>
    <w:rsid w:val="00501990"/>
    <w:rsid w:val="0051013F"/>
    <w:rsid w:val="00513050"/>
    <w:rsid w:val="00514181"/>
    <w:rsid w:val="005225BF"/>
    <w:rsid w:val="005241EB"/>
    <w:rsid w:val="00555322"/>
    <w:rsid w:val="00565D36"/>
    <w:rsid w:val="005805B5"/>
    <w:rsid w:val="00586056"/>
    <w:rsid w:val="0059562E"/>
    <w:rsid w:val="00601837"/>
    <w:rsid w:val="006259BF"/>
    <w:rsid w:val="0062657F"/>
    <w:rsid w:val="00634AE8"/>
    <w:rsid w:val="00635DBB"/>
    <w:rsid w:val="00645B20"/>
    <w:rsid w:val="00670D2E"/>
    <w:rsid w:val="00671CBC"/>
    <w:rsid w:val="006745CC"/>
    <w:rsid w:val="006832B1"/>
    <w:rsid w:val="006B2157"/>
    <w:rsid w:val="006B2EE5"/>
    <w:rsid w:val="006F3029"/>
    <w:rsid w:val="00712414"/>
    <w:rsid w:val="00715A8B"/>
    <w:rsid w:val="0071788D"/>
    <w:rsid w:val="0075131B"/>
    <w:rsid w:val="00780652"/>
    <w:rsid w:val="00787722"/>
    <w:rsid w:val="007A0F0B"/>
    <w:rsid w:val="007A7DB8"/>
    <w:rsid w:val="007E734B"/>
    <w:rsid w:val="007F6D91"/>
    <w:rsid w:val="00806CDA"/>
    <w:rsid w:val="00812D37"/>
    <w:rsid w:val="008138EC"/>
    <w:rsid w:val="00832A50"/>
    <w:rsid w:val="008346D5"/>
    <w:rsid w:val="0085410D"/>
    <w:rsid w:val="00867401"/>
    <w:rsid w:val="00870424"/>
    <w:rsid w:val="00883CD4"/>
    <w:rsid w:val="00885114"/>
    <w:rsid w:val="00891D67"/>
    <w:rsid w:val="008A1155"/>
    <w:rsid w:val="008B498D"/>
    <w:rsid w:val="008C2930"/>
    <w:rsid w:val="008E1632"/>
    <w:rsid w:val="008E29F3"/>
    <w:rsid w:val="008F2B5B"/>
    <w:rsid w:val="00900C14"/>
    <w:rsid w:val="009556EE"/>
    <w:rsid w:val="00964538"/>
    <w:rsid w:val="009B3062"/>
    <w:rsid w:val="009D0524"/>
    <w:rsid w:val="009D2ACA"/>
    <w:rsid w:val="009D4A93"/>
    <w:rsid w:val="00A133B3"/>
    <w:rsid w:val="00A15984"/>
    <w:rsid w:val="00A3471E"/>
    <w:rsid w:val="00A3674F"/>
    <w:rsid w:val="00A4397C"/>
    <w:rsid w:val="00A43CC0"/>
    <w:rsid w:val="00A45277"/>
    <w:rsid w:val="00A45812"/>
    <w:rsid w:val="00A51F56"/>
    <w:rsid w:val="00A57787"/>
    <w:rsid w:val="00A614CD"/>
    <w:rsid w:val="00A90A1F"/>
    <w:rsid w:val="00A91384"/>
    <w:rsid w:val="00A92CBA"/>
    <w:rsid w:val="00A930CB"/>
    <w:rsid w:val="00A976D8"/>
    <w:rsid w:val="00AB4149"/>
    <w:rsid w:val="00AD170D"/>
    <w:rsid w:val="00AD3EC2"/>
    <w:rsid w:val="00AE79EE"/>
    <w:rsid w:val="00AE7A21"/>
    <w:rsid w:val="00AF2875"/>
    <w:rsid w:val="00AF62BF"/>
    <w:rsid w:val="00B02818"/>
    <w:rsid w:val="00B12885"/>
    <w:rsid w:val="00B220CB"/>
    <w:rsid w:val="00B26C7E"/>
    <w:rsid w:val="00B6475F"/>
    <w:rsid w:val="00B70209"/>
    <w:rsid w:val="00B73796"/>
    <w:rsid w:val="00B8055D"/>
    <w:rsid w:val="00B80C98"/>
    <w:rsid w:val="00BA109C"/>
    <w:rsid w:val="00BB0627"/>
    <w:rsid w:val="00BB07BE"/>
    <w:rsid w:val="00BD301F"/>
    <w:rsid w:val="00BD3AA5"/>
    <w:rsid w:val="00BF2C08"/>
    <w:rsid w:val="00C0488E"/>
    <w:rsid w:val="00C04BC5"/>
    <w:rsid w:val="00C208F4"/>
    <w:rsid w:val="00C24F5B"/>
    <w:rsid w:val="00C53B1A"/>
    <w:rsid w:val="00C57D45"/>
    <w:rsid w:val="00C62352"/>
    <w:rsid w:val="00C74EB7"/>
    <w:rsid w:val="00C80AF8"/>
    <w:rsid w:val="00C9032C"/>
    <w:rsid w:val="00CB5D03"/>
    <w:rsid w:val="00CC6920"/>
    <w:rsid w:val="00CF293C"/>
    <w:rsid w:val="00CF45B1"/>
    <w:rsid w:val="00CF502D"/>
    <w:rsid w:val="00CF644C"/>
    <w:rsid w:val="00CF716E"/>
    <w:rsid w:val="00D01FF9"/>
    <w:rsid w:val="00D14017"/>
    <w:rsid w:val="00D15FF5"/>
    <w:rsid w:val="00D22610"/>
    <w:rsid w:val="00D2291D"/>
    <w:rsid w:val="00D450BB"/>
    <w:rsid w:val="00D50865"/>
    <w:rsid w:val="00D62B28"/>
    <w:rsid w:val="00D67E1F"/>
    <w:rsid w:val="00D70D44"/>
    <w:rsid w:val="00DA3853"/>
    <w:rsid w:val="00DA79DA"/>
    <w:rsid w:val="00DD22B1"/>
    <w:rsid w:val="00DD3304"/>
    <w:rsid w:val="00DF21D0"/>
    <w:rsid w:val="00E070C9"/>
    <w:rsid w:val="00E10448"/>
    <w:rsid w:val="00E24560"/>
    <w:rsid w:val="00E33CC4"/>
    <w:rsid w:val="00E642D3"/>
    <w:rsid w:val="00E71A76"/>
    <w:rsid w:val="00E750E6"/>
    <w:rsid w:val="00E82EAC"/>
    <w:rsid w:val="00E91684"/>
    <w:rsid w:val="00E9394F"/>
    <w:rsid w:val="00EA29B8"/>
    <w:rsid w:val="00EB1FDF"/>
    <w:rsid w:val="00EC45EF"/>
    <w:rsid w:val="00EC64A7"/>
    <w:rsid w:val="00EC674C"/>
    <w:rsid w:val="00ED2ACC"/>
    <w:rsid w:val="00EF3ED4"/>
    <w:rsid w:val="00F334D8"/>
    <w:rsid w:val="00F43F8A"/>
    <w:rsid w:val="00F46162"/>
    <w:rsid w:val="00F47DC4"/>
    <w:rsid w:val="00F53EF8"/>
    <w:rsid w:val="00F75D71"/>
    <w:rsid w:val="00F81F78"/>
    <w:rsid w:val="00FA3DD1"/>
    <w:rsid w:val="00FA3F78"/>
    <w:rsid w:val="00FB42C7"/>
    <w:rsid w:val="00FC4F27"/>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character" w:styleId="FollowedHyperlink">
    <w:name w:val="FollowedHyperlink"/>
    <w:basedOn w:val="DefaultParagraphFont"/>
    <w:uiPriority w:val="99"/>
    <w:semiHidden/>
    <w:unhideWhenUsed/>
    <w:rsid w:val="00A15984"/>
    <w:rPr>
      <w:color w:val="954F72" w:themeColor="followedHyperlink"/>
      <w:u w:val="single"/>
    </w:rPr>
  </w:style>
  <w:style w:type="character" w:styleId="Strong">
    <w:name w:val="Strong"/>
    <w:basedOn w:val="DefaultParagraphFont"/>
    <w:uiPriority w:val="22"/>
    <w:qFormat/>
    <w:rsid w:val="00CB5D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7321954">
      <w:bodyDiv w:val="1"/>
      <w:marLeft w:val="0"/>
      <w:marRight w:val="0"/>
      <w:marTop w:val="0"/>
      <w:marBottom w:val="0"/>
      <w:divBdr>
        <w:top w:val="none" w:sz="0" w:space="0" w:color="auto"/>
        <w:left w:val="none" w:sz="0" w:space="0" w:color="auto"/>
        <w:bottom w:val="none" w:sz="0" w:space="0" w:color="auto"/>
        <w:right w:val="none" w:sz="0" w:space="0" w:color="auto"/>
      </w:divBdr>
      <w:divsChild>
        <w:div w:id="557595944">
          <w:marLeft w:val="0"/>
          <w:marRight w:val="0"/>
          <w:marTop w:val="0"/>
          <w:marBottom w:val="0"/>
          <w:divBdr>
            <w:top w:val="none" w:sz="0" w:space="0" w:color="auto"/>
            <w:left w:val="none" w:sz="0" w:space="0" w:color="auto"/>
            <w:bottom w:val="none" w:sz="0" w:space="0" w:color="auto"/>
            <w:right w:val="none" w:sz="0" w:space="0" w:color="auto"/>
          </w:divBdr>
        </w:div>
        <w:div w:id="880478176">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6203385">
      <w:bodyDiv w:val="1"/>
      <w:marLeft w:val="0"/>
      <w:marRight w:val="0"/>
      <w:marTop w:val="0"/>
      <w:marBottom w:val="0"/>
      <w:divBdr>
        <w:top w:val="none" w:sz="0" w:space="0" w:color="auto"/>
        <w:left w:val="none" w:sz="0" w:space="0" w:color="auto"/>
        <w:bottom w:val="none" w:sz="0" w:space="0" w:color="auto"/>
        <w:right w:val="none" w:sz="0" w:space="0" w:color="auto"/>
      </w:divBdr>
      <w:divsChild>
        <w:div w:id="1631665897">
          <w:marLeft w:val="0"/>
          <w:marRight w:val="0"/>
          <w:marTop w:val="0"/>
          <w:marBottom w:val="0"/>
          <w:divBdr>
            <w:top w:val="none" w:sz="0" w:space="0" w:color="auto"/>
            <w:left w:val="none" w:sz="0" w:space="0" w:color="auto"/>
            <w:bottom w:val="none" w:sz="0" w:space="0" w:color="auto"/>
            <w:right w:val="none" w:sz="0" w:space="0" w:color="auto"/>
          </w:divBdr>
          <w:divsChild>
            <w:div w:id="797452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rc.org.uk/getattachment/56920102-feeb-4da7-84f7-1061840af9f0/Combined-Code-Web-Optimized-June-2008.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onlinelibrary.wiley.com/doi/full/10.1002/ijfe.205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onlinelibrary.wiley.com/doi/full/10.1002/ijfe.2053"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moodle.uwtsd.ac.uk/course/view.php?id=4009"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dcgk.de/en/code/archiv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687B87-0E79-4251-8FCD-B8389CC4C3BD}">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17</Pages>
  <Words>5568</Words>
  <Characters>31741</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37235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Crina-Flavia Razoare</cp:lastModifiedBy>
  <cp:revision>65</cp:revision>
  <dcterms:created xsi:type="dcterms:W3CDTF">2019-09-18T04:26:00Z</dcterms:created>
  <dcterms:modified xsi:type="dcterms:W3CDTF">2021-11-14T16:29:00Z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