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906DC" w14:textId="77777777" w:rsidR="00306248" w:rsidRPr="00306248" w:rsidRDefault="00306248" w:rsidP="00306248">
      <w:pPr>
        <w:rPr>
          <w:rFonts w:ascii="Century Gothic" w:hAnsi="Century Gothic"/>
          <w:sz w:val="20"/>
          <w:szCs w:val="20"/>
        </w:rPr>
      </w:pPr>
      <w:r w:rsidRPr="00306248">
        <w:rPr>
          <w:rFonts w:ascii="Century Gothic" w:hAnsi="Century Gothic"/>
          <w:sz w:val="20"/>
          <w:szCs w:val="20"/>
        </w:rPr>
        <w:t xml:space="preserve">1. </w:t>
      </w:r>
      <w:r w:rsidRPr="00306248">
        <w:rPr>
          <w:rFonts w:ascii="Century Gothic" w:hAnsi="Century Gothic"/>
          <w:sz w:val="20"/>
          <w:szCs w:val="20"/>
        </w:rPr>
        <w:tab/>
        <w:t>Brexit: Measuring the Impact upon Skilled Labour in the UK Construction Industry</w:t>
      </w:r>
    </w:p>
    <w:p w14:paraId="0828E970" w14:textId="77777777" w:rsidR="00306248" w:rsidRDefault="00306248" w:rsidP="00306248">
      <w:pPr>
        <w:rPr>
          <w:rFonts w:ascii="Century Gothic" w:hAnsi="Century Gothic"/>
          <w:sz w:val="20"/>
          <w:szCs w:val="20"/>
        </w:rPr>
      </w:pPr>
      <w:r w:rsidRPr="00306248">
        <w:rPr>
          <w:rFonts w:ascii="Century Gothic" w:hAnsi="Century Gothic"/>
          <w:sz w:val="20"/>
          <w:szCs w:val="20"/>
        </w:rPr>
        <w:t>This study highlights the UK construction industry’s reliance on EU skilled labour and explores how Brexit has disrupted workforce availability. The authors argue that restrictions on free movement have led to labour shortages, increasing project costs due to higher wages and recruitment challenges. The paper emphasizes that foreign workers are less attracted to UK construction roles post-Brexit, which has long-term implications for cost control and project delivery. It suggests that future research should focus on predicting labour supply and demand trends to mitigate risks.</w:t>
      </w:r>
    </w:p>
    <w:p w14:paraId="3F3CAEFD" w14:textId="7DC3D66A" w:rsidR="00306248" w:rsidRDefault="00306248" w:rsidP="00306248">
      <w:pPr>
        <w:rPr>
          <w:rFonts w:ascii="Century Gothic" w:hAnsi="Century Gothic"/>
          <w:sz w:val="20"/>
          <w:szCs w:val="20"/>
        </w:rPr>
      </w:pPr>
      <w:hyperlink r:id="rId4" w:history="1">
        <w:r w:rsidRPr="00973C51">
          <w:rPr>
            <w:rStyle w:val="Hyperlink"/>
            <w:rFonts w:ascii="Century Gothic" w:hAnsi="Century Gothic"/>
            <w:sz w:val="20"/>
            <w:szCs w:val="20"/>
          </w:rPr>
          <w:t>https://www.open-access.bcu.ac.uk/5017/1/Brexit.pdf</w:t>
        </w:r>
      </w:hyperlink>
      <w:r>
        <w:rPr>
          <w:rFonts w:ascii="Century Gothic" w:hAnsi="Century Gothic"/>
          <w:sz w:val="20"/>
          <w:szCs w:val="20"/>
        </w:rPr>
        <w:t xml:space="preserve"> </w:t>
      </w:r>
    </w:p>
    <w:p w14:paraId="4873A5C5" w14:textId="77777777" w:rsidR="00306248" w:rsidRPr="00306248" w:rsidRDefault="00306248" w:rsidP="00306248">
      <w:pPr>
        <w:rPr>
          <w:rFonts w:ascii="Century Gothic" w:hAnsi="Century Gothic"/>
          <w:sz w:val="20"/>
          <w:szCs w:val="20"/>
        </w:rPr>
      </w:pPr>
    </w:p>
    <w:p w14:paraId="2490140E" w14:textId="77777777" w:rsidR="00306248" w:rsidRPr="00306248" w:rsidRDefault="00306248" w:rsidP="00306248">
      <w:pPr>
        <w:rPr>
          <w:rFonts w:ascii="Century Gothic" w:hAnsi="Century Gothic"/>
          <w:sz w:val="20"/>
          <w:szCs w:val="20"/>
        </w:rPr>
      </w:pPr>
      <w:r w:rsidRPr="00306248">
        <w:rPr>
          <w:rFonts w:ascii="Century Gothic" w:hAnsi="Century Gothic"/>
          <w:sz w:val="20"/>
          <w:szCs w:val="20"/>
        </w:rPr>
        <w:t xml:space="preserve">2. </w:t>
      </w:r>
      <w:r w:rsidRPr="00306248">
        <w:rPr>
          <w:rFonts w:ascii="Century Gothic" w:hAnsi="Century Gothic"/>
          <w:sz w:val="20"/>
          <w:szCs w:val="20"/>
        </w:rPr>
        <w:tab/>
      </w:r>
      <w:proofErr w:type="spellStart"/>
      <w:r w:rsidRPr="00306248">
        <w:rPr>
          <w:rFonts w:ascii="Century Gothic" w:hAnsi="Century Gothic"/>
          <w:sz w:val="20"/>
          <w:szCs w:val="20"/>
        </w:rPr>
        <w:t>Analyzing</w:t>
      </w:r>
      <w:proofErr w:type="spellEnd"/>
      <w:r w:rsidRPr="00306248">
        <w:rPr>
          <w:rFonts w:ascii="Century Gothic" w:hAnsi="Century Gothic"/>
          <w:sz w:val="20"/>
          <w:szCs w:val="20"/>
        </w:rPr>
        <w:t xml:space="preserve"> the Effect of Brexit on the British Construction Industry Using Fuzzy Sets Theory</w:t>
      </w:r>
    </w:p>
    <w:p w14:paraId="465E1090" w14:textId="77777777" w:rsidR="00306248" w:rsidRDefault="00306248" w:rsidP="00306248">
      <w:pPr>
        <w:rPr>
          <w:rFonts w:ascii="Century Gothic" w:hAnsi="Century Gothic"/>
          <w:sz w:val="20"/>
          <w:szCs w:val="20"/>
        </w:rPr>
      </w:pPr>
      <w:r w:rsidRPr="00306248">
        <w:rPr>
          <w:rFonts w:ascii="Century Gothic" w:hAnsi="Century Gothic"/>
          <w:sz w:val="20"/>
          <w:szCs w:val="20"/>
        </w:rPr>
        <w:t>This research applies fuzzy sets theory to evaluate Brexit’s macroeconomic impact on construction. It finds that Brexit introduced significant uncertainty into procurement, supply chains, and investment decisions, making cost forecasting more complex. The study shows that material costs rose due to currency fluctuations and trade barriers, while project managers struggled to adapt to unpredictable market conditions. The authors conclude that Brexit amplified systemic risks, requiring more robust cost-control strategies.</w:t>
      </w:r>
    </w:p>
    <w:p w14:paraId="40E0C67B" w14:textId="0060DBF7" w:rsidR="00306248" w:rsidRDefault="00306248" w:rsidP="00306248">
      <w:pPr>
        <w:rPr>
          <w:rFonts w:ascii="Century Gothic" w:hAnsi="Century Gothic"/>
          <w:sz w:val="20"/>
          <w:szCs w:val="20"/>
        </w:rPr>
      </w:pPr>
      <w:hyperlink r:id="rId5" w:history="1">
        <w:r w:rsidRPr="00973C51">
          <w:rPr>
            <w:rStyle w:val="Hyperlink"/>
            <w:rFonts w:ascii="Century Gothic" w:hAnsi="Century Gothic"/>
            <w:sz w:val="20"/>
            <w:szCs w:val="20"/>
          </w:rPr>
          <w:t>https://www.frontiersin.org/journals/built-environment/articles/10.3389/fbuil.2020.00008/full</w:t>
        </w:r>
      </w:hyperlink>
      <w:r>
        <w:rPr>
          <w:rFonts w:ascii="Century Gothic" w:hAnsi="Century Gothic"/>
          <w:sz w:val="20"/>
          <w:szCs w:val="20"/>
        </w:rPr>
        <w:t xml:space="preserve"> </w:t>
      </w:r>
    </w:p>
    <w:p w14:paraId="3495BE59" w14:textId="77777777" w:rsidR="00306248" w:rsidRPr="00306248" w:rsidRDefault="00306248" w:rsidP="00306248">
      <w:pPr>
        <w:rPr>
          <w:rFonts w:ascii="Century Gothic" w:hAnsi="Century Gothic"/>
          <w:sz w:val="20"/>
          <w:szCs w:val="20"/>
        </w:rPr>
      </w:pPr>
    </w:p>
    <w:p w14:paraId="21AE35FD" w14:textId="77777777" w:rsidR="00306248" w:rsidRPr="00306248" w:rsidRDefault="00306248" w:rsidP="00306248">
      <w:pPr>
        <w:rPr>
          <w:rFonts w:ascii="Century Gothic" w:hAnsi="Century Gothic"/>
          <w:sz w:val="20"/>
          <w:szCs w:val="20"/>
        </w:rPr>
      </w:pPr>
      <w:r w:rsidRPr="00306248">
        <w:rPr>
          <w:rFonts w:ascii="Century Gothic" w:hAnsi="Century Gothic"/>
          <w:sz w:val="20"/>
          <w:szCs w:val="20"/>
        </w:rPr>
        <w:t xml:space="preserve">3. </w:t>
      </w:r>
      <w:r w:rsidRPr="00306248">
        <w:rPr>
          <w:rFonts w:ascii="Century Gothic" w:hAnsi="Century Gothic"/>
          <w:sz w:val="20"/>
          <w:szCs w:val="20"/>
        </w:rPr>
        <w:tab/>
        <w:t>BREXIT: Assessing the Impact on the UK Construction Industry &amp; Mitigating Identified Risks</w:t>
      </w:r>
    </w:p>
    <w:p w14:paraId="3359DDF0" w14:textId="77777777" w:rsidR="00306248" w:rsidRDefault="00306248" w:rsidP="00306248">
      <w:pPr>
        <w:rPr>
          <w:rFonts w:ascii="Century Gothic" w:hAnsi="Century Gothic"/>
          <w:sz w:val="20"/>
          <w:szCs w:val="20"/>
        </w:rPr>
      </w:pPr>
      <w:r w:rsidRPr="00306248">
        <w:rPr>
          <w:rFonts w:ascii="Century Gothic" w:hAnsi="Century Gothic"/>
          <w:sz w:val="20"/>
          <w:szCs w:val="20"/>
        </w:rPr>
        <w:t>This paper assesses Brexit’s effects on construction output, which contributes £113 billion annually to the UK economy. It identifies key vulnerabilities such as dependence on migrant labour, EU funding, and imported materials. The authors argue that Brexit has increased costs through supply chain disruptions and tariffs, while also limiting access to EU financial support for infrastructure projects. They propose risk mitigation strategies including diversification of suppliers and investment in domestic skills training.</w:t>
      </w:r>
    </w:p>
    <w:p w14:paraId="594BB643" w14:textId="75DE077D" w:rsidR="00306248" w:rsidRDefault="00306248" w:rsidP="00306248">
      <w:pPr>
        <w:rPr>
          <w:rFonts w:ascii="Century Gothic" w:hAnsi="Century Gothic"/>
          <w:sz w:val="20"/>
          <w:szCs w:val="20"/>
        </w:rPr>
      </w:pPr>
      <w:hyperlink r:id="rId6" w:history="1">
        <w:r w:rsidRPr="00973C51">
          <w:rPr>
            <w:rStyle w:val="Hyperlink"/>
            <w:rFonts w:ascii="Century Gothic" w:hAnsi="Century Gothic"/>
            <w:sz w:val="20"/>
            <w:szCs w:val="20"/>
          </w:rPr>
          <w:t>http://www.ieomsociety.org/ieom2020/papers/89.pdf</w:t>
        </w:r>
      </w:hyperlink>
      <w:r>
        <w:rPr>
          <w:rFonts w:ascii="Century Gothic" w:hAnsi="Century Gothic"/>
          <w:sz w:val="20"/>
          <w:szCs w:val="20"/>
        </w:rPr>
        <w:t xml:space="preserve"> </w:t>
      </w:r>
    </w:p>
    <w:p w14:paraId="26961328" w14:textId="77777777" w:rsidR="00306248" w:rsidRPr="00306248" w:rsidRDefault="00306248" w:rsidP="00306248">
      <w:pPr>
        <w:rPr>
          <w:rFonts w:ascii="Century Gothic" w:hAnsi="Century Gothic"/>
          <w:sz w:val="20"/>
          <w:szCs w:val="20"/>
        </w:rPr>
      </w:pPr>
    </w:p>
    <w:p w14:paraId="19A40E6A" w14:textId="77777777" w:rsidR="00306248" w:rsidRPr="00306248" w:rsidRDefault="00306248" w:rsidP="00306248">
      <w:pPr>
        <w:rPr>
          <w:rFonts w:ascii="Century Gothic" w:hAnsi="Century Gothic"/>
          <w:sz w:val="20"/>
          <w:szCs w:val="20"/>
        </w:rPr>
      </w:pPr>
      <w:r w:rsidRPr="00306248">
        <w:rPr>
          <w:rFonts w:ascii="Century Gothic" w:hAnsi="Century Gothic"/>
          <w:sz w:val="20"/>
          <w:szCs w:val="20"/>
        </w:rPr>
        <w:t xml:space="preserve">4. </w:t>
      </w:r>
      <w:r w:rsidRPr="00306248">
        <w:rPr>
          <w:rFonts w:ascii="Century Gothic" w:hAnsi="Century Gothic"/>
          <w:sz w:val="20"/>
          <w:szCs w:val="20"/>
        </w:rPr>
        <w:tab/>
        <w:t>Five Years On: How Brexit Dismantled Britain’s Construction Boom</w:t>
      </w:r>
    </w:p>
    <w:p w14:paraId="45C9C443" w14:textId="77777777" w:rsidR="00306248" w:rsidRDefault="00306248" w:rsidP="00306248">
      <w:pPr>
        <w:rPr>
          <w:rFonts w:ascii="Century Gothic" w:hAnsi="Century Gothic"/>
          <w:sz w:val="20"/>
          <w:szCs w:val="20"/>
        </w:rPr>
      </w:pPr>
      <w:r w:rsidRPr="00306248">
        <w:rPr>
          <w:rFonts w:ascii="Century Gothic" w:hAnsi="Century Gothic"/>
          <w:sz w:val="20"/>
          <w:szCs w:val="20"/>
        </w:rPr>
        <w:t>Although more industry-focused than purely academic, this article provides a longitudinal perspective on Brexit’s aftermath. It documents how labour shortages, supply chain delays, and reduced investment have eroded the UK’s construction growth. The piece notes that Brexit uncertainty stalled business investment, leaving UK construction lagging behind other G7 nations. For cost control, the article underscores that project budgets have been strained by inflationary pressures and reduced investor confidence.</w:t>
      </w:r>
    </w:p>
    <w:p w14:paraId="467C34E1" w14:textId="16F8EA4F" w:rsidR="00306248" w:rsidRDefault="00306248" w:rsidP="00306248">
      <w:pPr>
        <w:rPr>
          <w:rFonts w:ascii="Century Gothic" w:hAnsi="Century Gothic"/>
          <w:sz w:val="20"/>
          <w:szCs w:val="20"/>
        </w:rPr>
      </w:pPr>
      <w:hyperlink r:id="rId7" w:history="1">
        <w:r w:rsidRPr="00973C51">
          <w:rPr>
            <w:rStyle w:val="Hyperlink"/>
            <w:rFonts w:ascii="Century Gothic" w:hAnsi="Century Gothic"/>
            <w:sz w:val="20"/>
            <w:szCs w:val="20"/>
          </w:rPr>
          <w:t>https://www.constructionmagazine.uk/2025/01/five-years-on-how-brexit-dismantled.html</w:t>
        </w:r>
      </w:hyperlink>
      <w:r>
        <w:rPr>
          <w:rFonts w:ascii="Century Gothic" w:hAnsi="Century Gothic"/>
          <w:sz w:val="20"/>
          <w:szCs w:val="20"/>
        </w:rPr>
        <w:t xml:space="preserve"> </w:t>
      </w:r>
    </w:p>
    <w:p w14:paraId="38D31394" w14:textId="77777777" w:rsidR="00306248" w:rsidRPr="00306248" w:rsidRDefault="00306248" w:rsidP="00306248">
      <w:pPr>
        <w:rPr>
          <w:rFonts w:ascii="Century Gothic" w:hAnsi="Century Gothic"/>
          <w:sz w:val="20"/>
          <w:szCs w:val="20"/>
        </w:rPr>
      </w:pPr>
    </w:p>
    <w:p w14:paraId="687B0A51" w14:textId="77777777" w:rsidR="00306248" w:rsidRPr="00306248" w:rsidRDefault="00306248" w:rsidP="00306248">
      <w:pPr>
        <w:rPr>
          <w:rFonts w:ascii="Century Gothic" w:hAnsi="Century Gothic"/>
          <w:sz w:val="20"/>
          <w:szCs w:val="20"/>
        </w:rPr>
      </w:pPr>
      <w:r w:rsidRPr="00306248">
        <w:rPr>
          <w:rFonts w:ascii="Century Gothic" w:hAnsi="Century Gothic"/>
          <w:sz w:val="20"/>
          <w:szCs w:val="20"/>
        </w:rPr>
        <w:t xml:space="preserve">5. </w:t>
      </w:r>
      <w:r w:rsidRPr="00306248">
        <w:rPr>
          <w:rFonts w:ascii="Century Gothic" w:hAnsi="Century Gothic"/>
          <w:sz w:val="20"/>
          <w:szCs w:val="20"/>
        </w:rPr>
        <w:tab/>
        <w:t>What Will Be the Impact of Brexit on the UK Construction Industry?</w:t>
      </w:r>
    </w:p>
    <w:p w14:paraId="122EA52E" w14:textId="5347A64F" w:rsidR="00735874" w:rsidRDefault="00306248" w:rsidP="00306248">
      <w:pPr>
        <w:rPr>
          <w:rFonts w:ascii="Century Gothic" w:hAnsi="Century Gothic"/>
          <w:sz w:val="20"/>
          <w:szCs w:val="20"/>
        </w:rPr>
      </w:pPr>
      <w:r w:rsidRPr="00306248">
        <w:rPr>
          <w:rFonts w:ascii="Century Gothic" w:hAnsi="Century Gothic"/>
          <w:sz w:val="20"/>
          <w:szCs w:val="20"/>
        </w:rPr>
        <w:t>This paper takes a holistic view, situating Brexit within broader global and technological trends. It argues that Brexit’s regulatory changes—such as zoning and land-use restrictions—</w:t>
      </w:r>
      <w:r w:rsidRPr="00306248">
        <w:rPr>
          <w:rFonts w:ascii="Century Gothic" w:hAnsi="Century Gothic"/>
          <w:sz w:val="20"/>
          <w:szCs w:val="20"/>
        </w:rPr>
        <w:lastRenderedPageBreak/>
        <w:t>compound existing challenges in construction planning. The study highlights both pros and cons: while Brexit may allow more flexible domestic regulation, it also increases costs through trade barriers and reduced access to EU markets. The author concludes that Brexit’s impact must be considered alongside other structural shifts, making cost control a multidimensional challenge.</w:t>
      </w:r>
    </w:p>
    <w:p w14:paraId="62D7C2DA" w14:textId="77777777" w:rsidR="00306248" w:rsidRDefault="00306248" w:rsidP="00306248">
      <w:pPr>
        <w:rPr>
          <w:rFonts w:ascii="Century Gothic" w:hAnsi="Century Gothic"/>
          <w:sz w:val="20"/>
          <w:szCs w:val="20"/>
        </w:rPr>
      </w:pPr>
    </w:p>
    <w:p w14:paraId="654950A4" w14:textId="244C09C3" w:rsidR="00306248" w:rsidRPr="00BA6A7D" w:rsidRDefault="00306248" w:rsidP="00306248">
      <w:pPr>
        <w:rPr>
          <w:rFonts w:ascii="Century Gothic" w:hAnsi="Century Gothic"/>
          <w:sz w:val="20"/>
          <w:szCs w:val="20"/>
        </w:rPr>
      </w:pPr>
      <w:hyperlink r:id="rId8" w:history="1">
        <w:r w:rsidRPr="00973C51">
          <w:rPr>
            <w:rStyle w:val="Hyperlink"/>
            <w:rFonts w:ascii="Century Gothic" w:hAnsi="Century Gothic"/>
            <w:sz w:val="20"/>
            <w:szCs w:val="20"/>
          </w:rPr>
          <w:t>https://benfieldgroup.uk/wp-content/uploads/2021/10/Affects-of-Brexit-on-UK-Construction-Sept-2018.pdf</w:t>
        </w:r>
      </w:hyperlink>
      <w:r>
        <w:rPr>
          <w:rFonts w:ascii="Century Gothic" w:hAnsi="Century Gothic"/>
          <w:sz w:val="20"/>
          <w:szCs w:val="20"/>
        </w:rPr>
        <w:t xml:space="preserve"> </w:t>
      </w:r>
    </w:p>
    <w:sectPr w:rsidR="00306248" w:rsidRPr="00BA6A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248"/>
    <w:rsid w:val="00306248"/>
    <w:rsid w:val="00735874"/>
    <w:rsid w:val="007572D2"/>
    <w:rsid w:val="00920993"/>
    <w:rsid w:val="00AB0BA1"/>
    <w:rsid w:val="00BA6A7D"/>
    <w:rsid w:val="00CC3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2CEDD"/>
  <w15:chartTrackingRefBased/>
  <w15:docId w15:val="{050ABD91-DD42-4FB2-8AD8-76020E89B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24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0624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0624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62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62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62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62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62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62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24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0624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624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624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624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62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62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62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6248"/>
    <w:rPr>
      <w:rFonts w:eastAsiaTheme="majorEastAsia" w:cstheme="majorBidi"/>
      <w:color w:val="272727" w:themeColor="text1" w:themeTint="D8"/>
    </w:rPr>
  </w:style>
  <w:style w:type="paragraph" w:styleId="Title">
    <w:name w:val="Title"/>
    <w:basedOn w:val="Normal"/>
    <w:next w:val="Normal"/>
    <w:link w:val="TitleChar"/>
    <w:uiPriority w:val="10"/>
    <w:qFormat/>
    <w:rsid w:val="003062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62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62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62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6248"/>
    <w:pPr>
      <w:spacing w:before="160"/>
      <w:jc w:val="center"/>
    </w:pPr>
    <w:rPr>
      <w:i/>
      <w:iCs/>
      <w:color w:val="404040" w:themeColor="text1" w:themeTint="BF"/>
    </w:rPr>
  </w:style>
  <w:style w:type="character" w:customStyle="1" w:styleId="QuoteChar">
    <w:name w:val="Quote Char"/>
    <w:basedOn w:val="DefaultParagraphFont"/>
    <w:link w:val="Quote"/>
    <w:uiPriority w:val="29"/>
    <w:rsid w:val="00306248"/>
    <w:rPr>
      <w:i/>
      <w:iCs/>
      <w:color w:val="404040" w:themeColor="text1" w:themeTint="BF"/>
    </w:rPr>
  </w:style>
  <w:style w:type="paragraph" w:styleId="ListParagraph">
    <w:name w:val="List Paragraph"/>
    <w:basedOn w:val="Normal"/>
    <w:uiPriority w:val="34"/>
    <w:qFormat/>
    <w:rsid w:val="00306248"/>
    <w:pPr>
      <w:ind w:left="720"/>
      <w:contextualSpacing/>
    </w:pPr>
  </w:style>
  <w:style w:type="character" w:styleId="IntenseEmphasis">
    <w:name w:val="Intense Emphasis"/>
    <w:basedOn w:val="DefaultParagraphFont"/>
    <w:uiPriority w:val="21"/>
    <w:qFormat/>
    <w:rsid w:val="00306248"/>
    <w:rPr>
      <w:i/>
      <w:iCs/>
      <w:color w:val="2F5496" w:themeColor="accent1" w:themeShade="BF"/>
    </w:rPr>
  </w:style>
  <w:style w:type="paragraph" w:styleId="IntenseQuote">
    <w:name w:val="Intense Quote"/>
    <w:basedOn w:val="Normal"/>
    <w:next w:val="Normal"/>
    <w:link w:val="IntenseQuoteChar"/>
    <w:uiPriority w:val="30"/>
    <w:qFormat/>
    <w:rsid w:val="003062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6248"/>
    <w:rPr>
      <w:i/>
      <w:iCs/>
      <w:color w:val="2F5496" w:themeColor="accent1" w:themeShade="BF"/>
    </w:rPr>
  </w:style>
  <w:style w:type="character" w:styleId="IntenseReference">
    <w:name w:val="Intense Reference"/>
    <w:basedOn w:val="DefaultParagraphFont"/>
    <w:uiPriority w:val="32"/>
    <w:qFormat/>
    <w:rsid w:val="00306248"/>
    <w:rPr>
      <w:b/>
      <w:bCs/>
      <w:smallCaps/>
      <w:color w:val="2F5496" w:themeColor="accent1" w:themeShade="BF"/>
      <w:spacing w:val="5"/>
    </w:rPr>
  </w:style>
  <w:style w:type="character" w:styleId="Hyperlink">
    <w:name w:val="Hyperlink"/>
    <w:basedOn w:val="DefaultParagraphFont"/>
    <w:uiPriority w:val="99"/>
    <w:unhideWhenUsed/>
    <w:rsid w:val="00306248"/>
    <w:rPr>
      <w:color w:val="0563C1" w:themeColor="hyperlink"/>
      <w:u w:val="single"/>
    </w:rPr>
  </w:style>
  <w:style w:type="character" w:styleId="UnresolvedMention">
    <w:name w:val="Unresolved Mention"/>
    <w:basedOn w:val="DefaultParagraphFont"/>
    <w:uiPriority w:val="99"/>
    <w:semiHidden/>
    <w:unhideWhenUsed/>
    <w:rsid w:val="003062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nfieldgroup.uk/wp-content/uploads/2021/10/Affects-of-Brexit-on-UK-Construction-Sept-2018.pdf" TargetMode="External"/><Relationship Id="rId3" Type="http://schemas.openxmlformats.org/officeDocument/2006/relationships/webSettings" Target="webSettings.xml"/><Relationship Id="rId7" Type="http://schemas.openxmlformats.org/officeDocument/2006/relationships/hyperlink" Target="https://www.constructionmagazine.uk/2025/01/five-years-on-how-brexit-dismantled.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eomsociety.org/ieom2020/papers/89.pdf" TargetMode="External"/><Relationship Id="rId5" Type="http://schemas.openxmlformats.org/officeDocument/2006/relationships/hyperlink" Target="https://www.frontiersin.org/journals/built-environment/articles/10.3389/fbuil.2020.00008/full" TargetMode="External"/><Relationship Id="rId10" Type="http://schemas.openxmlformats.org/officeDocument/2006/relationships/theme" Target="theme/theme1.xml"/><Relationship Id="rId4" Type="http://schemas.openxmlformats.org/officeDocument/2006/relationships/hyperlink" Target="https://www.open-access.bcu.ac.uk/5017/1/Brexit.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640</Words>
  <Characters>3337</Characters>
  <Application>Microsoft Office Word</Application>
  <DocSecurity>0</DocSecurity>
  <Lines>115</Lines>
  <Paragraphs>53</Paragraphs>
  <ScaleCrop>false</ScaleCrop>
  <Company>Tilbury Douglas</Company>
  <LinksUpToDate>false</LinksUpToDate>
  <CharactersWithSpaces>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Lewis</dc:creator>
  <cp:keywords/>
  <dc:description/>
  <cp:lastModifiedBy>Joseph Lewis</cp:lastModifiedBy>
  <cp:revision>1</cp:revision>
  <dcterms:created xsi:type="dcterms:W3CDTF">2025-12-08T10:24:00Z</dcterms:created>
  <dcterms:modified xsi:type="dcterms:W3CDTF">2025-12-08T10:31:00Z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2025-12-08T10:31:43Z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369dc073-c570-4f64-9f92-84551103afb1</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