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Autospacing="0" w:afterAutospacing="0"/>
        <w:ind w:left="-180" w:right="-334"/>
      </w:pPr>
      <w:bookmarkStart w:id="0" w:name="OLE_LINK6"/>
      <w:r>
        <w:rPr>
          <w:lang w:eastAsia="en-GB"/>
        </w:rPr>
        <w:drawing>
          <wp:inline distT="0" distB="0" distL="114300" distR="114300">
            <wp:extent cx="2058035" cy="856615"/>
            <wp:effectExtent l="0" t="0" r="12065" b="698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>
      <w:pPr>
        <w:rPr>
          <w:rFonts w:ascii="Arial" w:hAnsi="Arial" w:cs="Arial"/>
          <w:sz w:val="28"/>
          <w:szCs w:val="28"/>
          <w:lang w:val="cy-GB"/>
        </w:rPr>
      </w:pPr>
    </w:p>
    <w:p>
      <w:pPr>
        <w:pStyle w:val="2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>
      <w:pPr>
        <w:pStyle w:val="2"/>
        <w:jc w:val="center"/>
        <w:rPr>
          <w:rFonts w:ascii="Trebuchet MS" w:hAnsi="Trebuchet MS"/>
        </w:rPr>
      </w:pPr>
    </w:p>
    <w:tbl>
      <w:tblPr>
        <w:tblStyle w:val="7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423"/>
        <w:gridCol w:w="1557"/>
        <w:gridCol w:w="286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Siyao Zeng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788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hint="eastAsia" w:ascii="Arial" w:hAnsi="Arial" w:cs="Arial"/>
                <w:sz w:val="22"/>
                <w:szCs w:val="22"/>
              </w:rPr>
              <w:t>SICH3003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>
            <w:pPr>
              <w:pStyle w:val="5"/>
              <w:spacing w:beforeAutospacing="0" w:afterAutospacing="0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180438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802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Professor Chia-Feng Hsieh 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hint="eastAsia" w:ascii="Arial" w:hAnsi="Arial" w:cs="Arial"/>
                <w:sz w:val="22"/>
                <w:szCs w:val="22"/>
              </w:rPr>
              <w:t>th January, 2019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tcBorders>
              <w:bottom w:val="single" w:color="000000" w:sz="4" w:space="0"/>
            </w:tcBorders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hint="eastAsia"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√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shd w:val="clear" w:color="auto" w:fill="D9D9D9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Siyao Zeng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2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/>
                <w:b/>
              </w:rPr>
            </w:pPr>
          </w:p>
          <w:p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Style w:val="7"/>
              <w:tblW w:w="863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0"/>
              <w:gridCol w:w="166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68" w:type="dxa"/>
            <w:gridSpan w:val="3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 on process on arriving at agreed mark: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bookmarkEnd w:id="0"/>
    </w:tbl>
    <w:p/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  <w:r>
        <w:rPr>
          <w:rFonts w:hint="eastAsia" w:ascii="DFKai-SB" w:hAnsi="DFKai-SB" w:eastAsia="DFKai-SB" w:cs="DFKai-SB"/>
          <w:sz w:val="36"/>
          <w:szCs w:val="36"/>
          <w:lang w:eastAsia="zh-TW"/>
        </w:rPr>
        <w:t>背誦內容</w:t>
      </w:r>
    </w:p>
    <w:p>
      <w:pPr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注：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  <w:t>黃色：卡頓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  <w:t>紅色：背錯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</w:pPr>
      <w:bookmarkStart w:id="7" w:name="_GoBack"/>
      <w:bookmarkEnd w:id="7"/>
    </w:p>
    <w:p>
      <w:pPr>
        <w:rPr>
          <w:rFonts w:hint="eastAsia" w:ascii="PMingLiU" w:hAnsi="PMingLiU" w:eastAsia="PMingLiU" w:cs="PMingLiU"/>
          <w:sz w:val="28"/>
          <w:szCs w:val="28"/>
          <w:lang w:eastAsia="zh-TW"/>
        </w:rPr>
      </w:pPr>
      <w:r>
        <w:rPr>
          <w:rFonts w:hint="eastAsia" w:ascii="PMingLiU" w:hAnsi="PMingLiU" w:eastAsia="PMingLiU" w:cs="PMingLiU"/>
          <w:sz w:val="28"/>
          <w:szCs w:val="28"/>
          <w:lang w:eastAsia="zh-TW"/>
        </w:rPr>
        <w:t>《大學》背誦：</w:t>
      </w:r>
    </w:p>
    <w:p>
      <w:pPr>
        <w:numPr>
          <w:ilvl w:val="0"/>
          <w:numId w:val="1"/>
        </w:numPr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大學之道，在明明德，在親民，在止於至善。知止而后有定，定而后能靜，靜而后能安，安而后能慮，慮而后能得。物有本末，事有終始，知所先後，則近道矣。</w:t>
      </w:r>
    </w:p>
    <w:p>
      <w:p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古之欲明明德於天下者，先治其國；欲治其國者，先齊其家；欲齊其家者，先脩其身；欲脩其身者，先正其心；欲正其心者，先誠其意；欲誠其意者，先致其知，致知在格物。物格而後知至，知至而後意誠，意誠而後心正，心正而後身脩，身脩而後家齊，家齊而後國治，國治而後天下平。</w:t>
      </w:r>
    </w:p>
    <w:p>
      <w:p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自天子以至於庶人，壹是皆以脩身為本。其本亂而末治者否矣，其所厚者薄，而其所薄者厚，未之有也！</w:t>
      </w:r>
    </w:p>
    <w:p>
      <w:p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此謂知本，此謂知之至也。</w:t>
      </w:r>
    </w:p>
    <w:p>
      <w:p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所謂誠其意者，毋自欺也，如惡惡臭，如好好色，此之謂自謙，故君子必慎其獨也！小人閑居為不善，無所不至，見君子而後厭然，掩其不善，而著其善。人之視己，如見其肺肝然，則何益矣！此謂誠於中，形於外，故君子必慎其獨也。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曾子曰：「十目所視，十手所指，其嚴乎！」富潤屋，德潤身，心廣體胖，故君子必誠其意。</w:t>
      </w:r>
    </w:p>
    <w:p>
      <w:p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《秦誓》曰：「若有一介臣，斷斷兮無他技，其心休休焉，其如有容焉。人之有技，若己有之；人之彥聖，其心好之，不啻若自其口出。實能容之，以能保我子孫黎民，尚亦有利哉！人之有技，媢嫉以惡之；人之彥聖，而違之俾不通。實不能容，以不能保我子孫黎民，亦曰殆哉！」唯仁人放流之，迸諸四夷，不與同中國，此謂唯仁人為能愛人，能惡人。見賢而不能舉，舉而不能先，命也；見不善而不能退，退而不能遠，過也。好人之所惡，惡人之所好，是謂拂人之性，災必逮夫身。是故君子有大道，必忠信以得之，驕泰以失之。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《中庸》背誦：</w:t>
      </w:r>
    </w:p>
    <w:p>
      <w:pPr>
        <w:numPr>
          <w:ilvl w:val="0"/>
          <w:numId w:val="3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天命之謂性，率性之謂道，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CN"/>
        </w:rPr>
        <w:t>脩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道之謂教。道也者，不可須臾離也，可離非道也。是故君子戒慎乎其所不睹，恐懼乎其所不聞。莫見乎隱，莫顯乎微。故君子慎其獨也。喜怒哀樂之未發，謂之中；發而皆中節，謂之和；中也者，天下之大本也；和也者，天下之達道也。致中和，天地位焉，萬物育焉。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仲尼曰：「君子中庸，小人反中庸。君子之中庸也，君子而時中；小人之中庸也，小人而無忌憚也。」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4"/>
        </w:numPr>
        <w:spacing w:line="360" w:lineRule="auto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哀公問政。子曰：「文、武之政，布在方策，其人存，則其政舉；其人亡，則其政息。人道敏政，地道敏樹。夫政也者，蒲盧也。故為政在人，取人以身，脩身以道，脩道以仁。仁者人也，親親為大；義者宜也，尊賢為大。親親之殺，尊賢之等，禮所生也。在下位不獲乎上，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yellow"/>
          <w:shd w:val="clear" w:color="auto" w:fill="FFFFFF"/>
          <w:lang w:val="en-US" w:eastAsia="zh-CN"/>
        </w:rPr>
        <w:t>(卡頓18秒)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民不可得而治矣！故君子不可以不脩身；思脩身，不可以不事親；思事親，不可以不知人；思知人，不可以不知天。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天下之達道五，所以行之者三，曰：君臣也，父子也，夫婦也，昆弟也，朋友之交也，五者天下之達道也。知仁勇三者，天下之達德也，所以行之者一也。或生而知之，或學而知之，或困而知之，及其知之，一也；或安而行之，或利而行之，或勉強而行之，及其成功，一也。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widowControl w:val="0"/>
        <w:numPr>
          <w:ilvl w:val="0"/>
          <w:numId w:val="4"/>
        </w:numPr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自誠明，謂之性；自明誠，謂之教。誠則明矣，明則誠矣。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唯天下至誠，為能盡其性；能盡其性，則能盡人之性；能盡人之性，則能盡物之性；能盡物之性，則可以贊天地之化育；可以贊天地之化育，則可以與天地參矣。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widowControl w:val="0"/>
        <w:numPr>
          <w:ilvl w:val="0"/>
          <w:numId w:val="4"/>
        </w:numPr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子曰：「愚而好自用，賤而好自專，生乎今之世，反古之道。如此者，災及其身者也。」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非天子，不議禮，不制度，不考文。今天下車同軌，書同文，行同倫。雖有其位，苟無其德，不敢作禮樂焉；雖有其德，苟無其位，亦不敢作禮樂焉。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子曰：「吾說夏禮，杞不足徵也。吾學殷禮，有宋存焉；吾學周禮，今用之，吾從周。」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《論語》背誦：</w:t>
      </w:r>
    </w:p>
    <w:p>
      <w:pPr>
        <w:numPr>
          <w:ilvl w:val="0"/>
          <w:numId w:val="5"/>
        </w:numPr>
        <w:tabs>
          <w:tab w:val="clear" w:pos="312"/>
        </w:tabs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顏淵第十二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〉 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顏淵問仁。子曰：「克己復禮為仁。一日克己復禮，天下歸仁焉。為仁由己，而由人乎哉？」顏淵曰：「請問其目。」子曰：「非禮勿視，非禮勿聽，非禮勿言，非禮勿動。」顏淵曰：「回雖不敏，請事斯語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仲弓問仁。子曰：「出門如見大賓，使民如承大祭。己所不欲，勿施於人。在邦無怨，在家無怨。」仲弓曰：「雍雖不敏，請事斯語矣。」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司馬牛問仁。子曰：「仁者其言也訒。」曰：「其言也訒，斯謂之仁已乎？」子曰：「為之難，言之得無訒乎？」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司馬牛問君子。子曰：「君子不憂不懼。」曰：「不憂不懼，斯謂之君子已乎？」子曰：「內省不疚，夫何憂何懼？」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2.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衛靈公第十五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〉 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子張問行。子曰：「言忠信，行篤敬，雖蠻貊之邦行矣；言不忠信，行不篤敬，雖州里行乎哉？立，則見其參於前也；在輿，則見其倚於衡也。夫然後行。」子張書諸紳。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子曰：「直哉史魚！邦有道，如矢；邦無道，如矢。」君子哉蘧伯玉！邦有道，則仕；邦無道，則可卷而懷之。」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子曰：「可與言而不與之言，失人；不可與言而與之言，失言。知者不失人，亦不失言。」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子曰：「志士仁人，無求生以害仁，有殺身以成仁。」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子貢問為仁。子曰：「工欲善其事，必先利其器。居是邦也，事其大夫之賢者，友其士之仁者。」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顏淵問為邦。子曰：「行夏之時，乘殷之輅，服周之冕，樂則韶舞。放鄭聲，遠佞人。鄭聲淫，佞人殆。」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3.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季氏第十六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〉 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孔子曰：「益者三友，損者三友。友直，友諒，友多聞，益矣。友便辟，友善柔，友便佞，損矣。」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孔子曰：「益者三樂，損者三樂。樂節禮樂，樂道人之善，樂多賢友，益矣。樂驕樂，樂佚遊，樂宴樂，損矣。」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孔子曰：「侍於君子有三愆：言未及之而言謂之躁，言及之而不言謂之隱，未見顏色而言謂之瞽。」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孔子曰：「君子有三戒：少之時，血氣未定，戒之在色；及其壯也，血氣方剛，戒之在鬭；及其老也，血氣既衰，戒之在得。」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孔子曰：「君子有三畏：畏天命，畏大人，畏聖人之言。小人不知天命而不畏也，狎大人，侮聖人之言。」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孔子曰：「生而知之者，上也；學而知之者，次也；困而學之，又其次也；困而不學，民斯為下矣。」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孔子曰：「君子有九思：視思明，聽思聰，色思溫，貌思恭，言思忠，事思敬，疑思問，忿思難，見得思義。」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《孟子》背誦：</w:t>
      </w:r>
    </w:p>
    <w:p>
      <w:pPr>
        <w:rPr>
          <w:rFonts w:hint="eastAsia" w:ascii="DFKai-SB" w:hAnsi="DFKai-SB" w:eastAsia="宋体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1.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盡心章句上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〉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孟子曰：「孔子登東山而小魯，登太山而小天下。故觀於海者難為水，遊於聖人之門者難為言。觀水有術，必觀其瀾。日月有明，容光必照焉。流水之為物也，不盈科不行；君子之志於道也，不成章不達。」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rPr>
          <w:rFonts w:hint="eastAsia" w:ascii="DFKai-SB" w:hAnsi="DFKai-SB" w:eastAsia="DFKai-SB" w:cs="DFKai-SB"/>
          <w:sz w:val="28"/>
          <w:szCs w:val="28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2.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告子章句上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〉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孟子曰：「無或乎王之不智也，雖有天下易生之物也，一日暴之、十日寒之，未有能生者也。吾見亦罕矣，吾退而寒之者至矣，吾如有萌焉何哉？今夫弈之為數，小數也；不專心致志，則不得也。弈秋，通國之善弈者也。使弈秋誨二人弈，其一人專心致志，惟弈秋之為聽。一人雖聽之，一心以為有鴻鵠將至，思援弓繳而射之，雖與之俱學，弗若之矣。為是其智弗若與？曰非然也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numPr>
          <w:ilvl w:val="0"/>
          <w:numId w:val="5"/>
        </w:numPr>
        <w:ind w:left="0" w:leftChars="0" w:firstLine="0" w:firstLineChars="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離婁章句上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〉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孟子曰：「不仁者可與言哉？安其危而利其菑，樂其所以亡者。不仁而可與言，則何亡國敗家之有？有孺子歌曰：『滄浪之水清兮，可以濯我纓；滄浪之水濁兮，可以濯我足。』孔子曰：『小子聽之！清斯濯纓，濁斯濯足矣，自取之也。』夫人必自侮，然後人侮之；家必自毀，而後人毀之；國必自伐，而後人伐之。《太甲》曰：『天作孽，猶可違；自作孽，不可活。』此之謂也。」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5"/>
        </w:numPr>
        <w:ind w:left="0" w:leftChars="0" w:firstLine="0" w:firstLineChars="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公孫丑章句上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〉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孟子曰：「人皆有不忍人之心。先王有不忍人之心，斯有不忍人之政矣。以不忍人之心，行不忍人之政，治天下可運之掌上。所以謂人皆有不忍人之心者，今人乍見孺子將入於井，皆有怵惕惻隱之心。非所以內交於孺子之父母也，非所以要譽於鄉黨朋友也，非惡其聲而然也。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而自謂不能者，自賊者也；謂其君不能者，賊其君者也。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>
      <w:pPr>
        <w:numPr>
          <w:ilvl w:val="0"/>
          <w:numId w:val="0"/>
        </w:numPr>
        <w:ind w:leftChars="0" w:firstLine="720" w:firstLineChars="200"/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孔子曰：「益者三樂，損者三樂。樂節禮樂，樂道人之善，樂多賢友，益矣。樂驕樂，樂佚遊，樂宴樂，損矣。」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淺釋：</w:t>
      </w:r>
    </w:p>
    <w:p>
      <w:pPr>
        <w:ind w:firstLine="560" w:firstLineChars="200"/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孔子說，有益于身心的事情有三件， 有三種有損害的快樂的事情。以禮樂節度為快樂。因為禮是講秩序，樂是講協調。如果一個人用禮來節制自己的言行舉止，用樂來調服自己的七情，他的性情，總之他就會得到很大的快樂。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樂道人之善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的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道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通引導的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導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。意思是樂於引導人向善。比如說我在學禮樂，這是一條善道，我得到了益處，我也希望能夠引導更多的人來學禮樂，這就是大家一起走在善的路上。這就是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樂道人之善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樂多賢友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就是以有很多賢者、很多德行好的朋友為快樂，就是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能親仁，無限好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的意思。因為近朱者赤，近墨者黑，親近賢人，自己肯定會得到益處，所以這也是很有益處的樂事。</w:t>
      </w:r>
    </w:p>
    <w:p>
      <w:pPr>
        <w:ind w:firstLine="560" w:firstLineChars="200"/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樂驕樂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就是以驕傲為快樂。不論是以學問驕人，還是以富貴驕人，這都是有損于自己的，對自己很不利。但是如果一個人不僅不知道以驕傲為快樂是有害的，反而以驕傲為快樂，那麼這個損害就非常大了。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樂宴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val="en-US" w:eastAsia="zh-CN"/>
        </w:rPr>
        <w:t>樂（口誤說成了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</w:rPr>
        <w:t>『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val="en-US" w:eastAsia="zh-CN"/>
        </w:rPr>
        <w:t>遊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</w:rPr>
        <w:t>』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val="en-US" w:eastAsia="zh-CN"/>
        </w:rPr>
        <w:t>）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就是喜歡跟朋友吃飯請客，聚會喝酒。以酒食聚會為快樂的話，這也是有害于自己的。朋友的酒食聚會不可久留。中間還有個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「樂佚遊」</w:t>
      </w:r>
      <w:r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CN"/>
        </w:rPr>
        <w:t>《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論語講要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CN"/>
        </w:rPr>
        <w:t>》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中解釋說，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「樂佚遊」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的含義很廣泛，可以解釋為生活沒有規律，工作沒有秩序，一切陷於混亂，出入沒有節度。如果一個人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「樂驕樂，樂佚遊，樂宴樂」</w:t>
      </w: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val="en-US" w:eastAsia="zh-CN"/>
        </w:rPr>
        <w:t>的話，那就對自己損害很大了。</w:t>
      </w:r>
    </w:p>
    <w:p>
      <w:pPr>
        <w:ind w:firstLine="560" w:firstLineChars="200"/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ind w:firstLine="560" w:firstLineChars="200"/>
        <w:rPr>
          <w:rFonts w:hint="eastAsia" w:ascii="PMingLiU" w:hAnsi="PMingLiU" w:eastAsia="宋体" w:cs="PMingLiU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numPr>
          <w:ilvl w:val="0"/>
          <w:numId w:val="0"/>
        </w:numPr>
        <w:ind w:leftChars="0" w:firstLine="720" w:firstLineChars="200"/>
        <w:jc w:val="both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</w:p>
    <w:p>
      <w:pPr>
        <w:numPr>
          <w:ilvl w:val="0"/>
          <w:numId w:val="0"/>
        </w:numPr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BCE1E8"/>
    <w:multiLevelType w:val="singleLevel"/>
    <w:tmpl w:val="DCBCE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5D2C260"/>
    <w:multiLevelType w:val="singleLevel"/>
    <w:tmpl w:val="15D2C26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86DE600"/>
    <w:multiLevelType w:val="singleLevel"/>
    <w:tmpl w:val="486DE60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63F964D3"/>
    <w:multiLevelType w:val="singleLevel"/>
    <w:tmpl w:val="63F964D3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73D8DFBB"/>
    <w:multiLevelType w:val="singleLevel"/>
    <w:tmpl w:val="73D8DFB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934D42"/>
    <w:rsid w:val="062B3F08"/>
    <w:rsid w:val="0E5C6A83"/>
    <w:rsid w:val="11513A34"/>
    <w:rsid w:val="15366690"/>
    <w:rsid w:val="162437A8"/>
    <w:rsid w:val="17A74E44"/>
    <w:rsid w:val="18AD436A"/>
    <w:rsid w:val="1A863FF0"/>
    <w:rsid w:val="1DB9784C"/>
    <w:rsid w:val="1EE9183D"/>
    <w:rsid w:val="21D90A6F"/>
    <w:rsid w:val="236511E9"/>
    <w:rsid w:val="251843AE"/>
    <w:rsid w:val="2F1D1992"/>
    <w:rsid w:val="305D4419"/>
    <w:rsid w:val="30A668EC"/>
    <w:rsid w:val="343427EC"/>
    <w:rsid w:val="3EEC381C"/>
    <w:rsid w:val="48DE1338"/>
    <w:rsid w:val="4A934D42"/>
    <w:rsid w:val="4A9E6F60"/>
    <w:rsid w:val="524C7922"/>
    <w:rsid w:val="52E82073"/>
    <w:rsid w:val="52EF7B54"/>
    <w:rsid w:val="55372523"/>
    <w:rsid w:val="5C4549F3"/>
    <w:rsid w:val="5EA97D44"/>
    <w:rsid w:val="5FC24ACD"/>
    <w:rsid w:val="6044788F"/>
    <w:rsid w:val="6ED85027"/>
    <w:rsid w:val="70201B82"/>
    <w:rsid w:val="705420FD"/>
    <w:rsid w:val="79937537"/>
    <w:rsid w:val="7C77067C"/>
    <w:rsid w:val="7E7D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ind w:left="720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2019-01-09T11:23:00Z</dcterms:created>
  <dc:creator>曾思瑶</dc:creator>
  <cp:lastModifiedBy>曾思瑶</cp:lastModifiedBy>
  <dcterms:modified xsi:type="dcterms:W3CDTF">2019-01-10T11:51:37Z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2052-11.1.0.8236</vt:lpwstr>
  </property>
</Properties>
</file>