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4A0469" w14:textId="77777777" w:rsidR="00470923" w:rsidRPr="00E54E06" w:rsidRDefault="00470923" w:rsidP="00470923">
      <w:pPr>
        <w:rPr>
          <w:rFonts w:cstheme="minorHAnsi"/>
        </w:rPr>
      </w:pPr>
    </w:p>
    <w:p w14:paraId="17A209D0" w14:textId="274C1D66" w:rsidR="00470923" w:rsidRPr="00014BBA" w:rsidRDefault="00470923" w:rsidP="00030FBC">
      <w:pPr>
        <w:jc w:val="center"/>
        <w:rPr>
          <w:rFonts w:cstheme="minorHAnsi"/>
          <w:b/>
          <w:bCs/>
          <w:sz w:val="24"/>
          <w:szCs w:val="24"/>
        </w:rPr>
      </w:pPr>
      <w:r w:rsidRPr="00014BBA">
        <w:rPr>
          <w:rFonts w:cstheme="minorHAnsi"/>
          <w:b/>
          <w:bCs/>
          <w:sz w:val="24"/>
          <w:szCs w:val="24"/>
        </w:rPr>
        <w:t>HPLA7017 Assignment 1: Literary Analysis of Chapters 27 and 28 of Petronius’ Satyricon</w:t>
      </w:r>
    </w:p>
    <w:p w14:paraId="3E5F37F8" w14:textId="1F7EA63F" w:rsidR="00470923" w:rsidRPr="00BC7171" w:rsidRDefault="00470923" w:rsidP="00470923">
      <w:pPr>
        <w:rPr>
          <w:rFonts w:cstheme="minorHAnsi"/>
          <w:sz w:val="24"/>
          <w:szCs w:val="24"/>
        </w:rPr>
      </w:pPr>
      <w:r w:rsidRPr="00BC7171">
        <w:rPr>
          <w:rFonts w:cstheme="minorHAnsi"/>
          <w:sz w:val="24"/>
          <w:szCs w:val="24"/>
        </w:rPr>
        <w:t xml:space="preserve">This analysis of chapters 27 and 28 of Petronius’ Satyricon attempts to draw out some of the salient literary features while placing them within the broader narrative </w:t>
      </w:r>
      <w:r w:rsidR="00BD423D">
        <w:rPr>
          <w:rFonts w:cstheme="minorHAnsi"/>
          <w:sz w:val="24"/>
          <w:szCs w:val="24"/>
        </w:rPr>
        <w:t xml:space="preserve">and scholarly discussion </w:t>
      </w:r>
      <w:r w:rsidRPr="00BC7171">
        <w:rPr>
          <w:rFonts w:cstheme="minorHAnsi"/>
          <w:sz w:val="24"/>
          <w:szCs w:val="24"/>
        </w:rPr>
        <w:t>of the Satyricon. These chapters are significant in that they form the beginning of a major event</w:t>
      </w:r>
      <w:r w:rsidR="001720A0">
        <w:rPr>
          <w:rFonts w:cstheme="minorHAnsi"/>
          <w:sz w:val="24"/>
          <w:szCs w:val="24"/>
        </w:rPr>
        <w:t xml:space="preserve">, the </w:t>
      </w:r>
      <w:r w:rsidR="001720A0" w:rsidRPr="001720A0">
        <w:rPr>
          <w:rFonts w:cstheme="minorHAnsi"/>
          <w:i/>
          <w:iCs/>
          <w:sz w:val="24"/>
          <w:szCs w:val="24"/>
        </w:rPr>
        <w:t xml:space="preserve">Cena </w:t>
      </w:r>
      <w:proofErr w:type="spellStart"/>
      <w:r w:rsidR="001720A0" w:rsidRPr="001720A0">
        <w:rPr>
          <w:rFonts w:cstheme="minorHAnsi"/>
          <w:i/>
          <w:iCs/>
          <w:sz w:val="24"/>
          <w:szCs w:val="24"/>
        </w:rPr>
        <w:t>Trimalchionis</w:t>
      </w:r>
      <w:proofErr w:type="spellEnd"/>
      <w:r w:rsidRPr="00BC7171">
        <w:rPr>
          <w:rFonts w:cstheme="minorHAnsi"/>
          <w:sz w:val="24"/>
          <w:szCs w:val="24"/>
        </w:rPr>
        <w:t xml:space="preserve">, but they are part of a longer, though largely incomplete, linear first-person narrative. At the end of chapter 26, Encolpius and his two friends, recovering from a violent orgy at Quartilla’s, are invited to a feast at Trimalchio’s house. Upon arrival, in chapter 27, they see </w:t>
      </w:r>
      <w:proofErr w:type="gramStart"/>
      <w:r w:rsidRPr="00BC7171">
        <w:rPr>
          <w:rFonts w:cstheme="minorHAnsi"/>
          <w:sz w:val="24"/>
          <w:szCs w:val="24"/>
        </w:rPr>
        <w:t>Trimalchio</w:t>
      </w:r>
      <w:proofErr w:type="gramEnd"/>
      <w:r w:rsidRPr="00BC7171">
        <w:rPr>
          <w:rFonts w:cstheme="minorHAnsi"/>
          <w:sz w:val="24"/>
          <w:szCs w:val="24"/>
        </w:rPr>
        <w:t xml:space="preserve"> and various servants engaged in a range of activities. In chapter 28 they move on to the baths where Trimalchio is pampered with perfumed oils and carried out on a litter to the sound of a slave playing a pipe. </w:t>
      </w:r>
    </w:p>
    <w:p w14:paraId="65F302E7" w14:textId="71E6E0DC" w:rsidR="00470923" w:rsidRPr="00BC7171" w:rsidRDefault="00470923" w:rsidP="00470923">
      <w:pPr>
        <w:rPr>
          <w:rFonts w:cstheme="minorHAnsi"/>
          <w:sz w:val="24"/>
          <w:szCs w:val="24"/>
        </w:rPr>
      </w:pPr>
      <w:r w:rsidRPr="00BC7171">
        <w:rPr>
          <w:rFonts w:cstheme="minorHAnsi"/>
          <w:sz w:val="24"/>
          <w:szCs w:val="24"/>
        </w:rPr>
        <w:t xml:space="preserve">The chapters are also important for </w:t>
      </w:r>
      <w:r w:rsidR="00564314">
        <w:rPr>
          <w:rFonts w:cstheme="minorHAnsi"/>
          <w:sz w:val="24"/>
          <w:szCs w:val="24"/>
        </w:rPr>
        <w:t>their</w:t>
      </w:r>
      <w:r w:rsidRPr="00BC7171">
        <w:rPr>
          <w:rFonts w:cstheme="minorHAnsi"/>
          <w:sz w:val="24"/>
          <w:szCs w:val="24"/>
        </w:rPr>
        <w:t xml:space="preserve"> excellent snapshot of the range of people Trimalchio, the newly enriched freedman, employs in his close personal retinue. In 27 we get the good-looking, long-haired slaves</w:t>
      </w:r>
      <w:r w:rsidRPr="00BC7171">
        <w:rPr>
          <w:rFonts w:cstheme="minorHAnsi"/>
          <w:i/>
          <w:iCs/>
          <w:sz w:val="24"/>
          <w:szCs w:val="24"/>
        </w:rPr>
        <w:t xml:space="preserve"> (</w:t>
      </w:r>
      <w:proofErr w:type="spellStart"/>
      <w:r w:rsidRPr="00BC7171">
        <w:rPr>
          <w:rFonts w:cstheme="minorHAnsi"/>
          <w:i/>
          <w:iCs/>
          <w:sz w:val="24"/>
          <w:szCs w:val="24"/>
        </w:rPr>
        <w:t>pueri</w:t>
      </w:r>
      <w:proofErr w:type="spellEnd"/>
      <w:r w:rsidRPr="00BC7171">
        <w:rPr>
          <w:rFonts w:cstheme="minorHAnsi"/>
          <w:i/>
          <w:iCs/>
          <w:sz w:val="24"/>
          <w:szCs w:val="24"/>
        </w:rPr>
        <w:t>)</w:t>
      </w:r>
      <w:r w:rsidRPr="00BC7171">
        <w:rPr>
          <w:rFonts w:cstheme="minorHAnsi"/>
          <w:sz w:val="24"/>
          <w:szCs w:val="24"/>
        </w:rPr>
        <w:t xml:space="preserve"> playing ball with him; the eunuchs (</w:t>
      </w:r>
      <w:r w:rsidRPr="00BC7171">
        <w:rPr>
          <w:rFonts w:cstheme="minorHAnsi"/>
          <w:i/>
          <w:iCs/>
          <w:sz w:val="24"/>
          <w:szCs w:val="24"/>
        </w:rPr>
        <w:t>spadones</w:t>
      </w:r>
      <w:r w:rsidRPr="00BC7171">
        <w:rPr>
          <w:rFonts w:cstheme="minorHAnsi"/>
          <w:sz w:val="24"/>
          <w:szCs w:val="24"/>
        </w:rPr>
        <w:t>), who were more expensive and of higher status than the slaves and thus display Trimalchio’s own wealthy status, and, although it was to a eunuch that he snapped his fingers to hold the chamber pot for him to urinate into, it was the hair of a more lowly</w:t>
      </w:r>
      <w:r w:rsidRPr="00BC7171">
        <w:rPr>
          <w:rFonts w:cstheme="minorHAnsi"/>
          <w:i/>
          <w:iCs/>
          <w:sz w:val="24"/>
          <w:szCs w:val="24"/>
        </w:rPr>
        <w:t xml:space="preserve"> </w:t>
      </w:r>
      <w:r w:rsidRPr="00BC7171">
        <w:rPr>
          <w:rFonts w:cstheme="minorHAnsi"/>
          <w:sz w:val="24"/>
          <w:szCs w:val="24"/>
        </w:rPr>
        <w:t>slave</w:t>
      </w:r>
      <w:r w:rsidRPr="00BC7171">
        <w:rPr>
          <w:rFonts w:cstheme="minorHAnsi"/>
          <w:i/>
          <w:iCs/>
          <w:sz w:val="24"/>
          <w:szCs w:val="24"/>
        </w:rPr>
        <w:t xml:space="preserve"> </w:t>
      </w:r>
      <w:r w:rsidRPr="00BC7171">
        <w:rPr>
          <w:rFonts w:cstheme="minorHAnsi"/>
          <w:sz w:val="24"/>
          <w:szCs w:val="24"/>
        </w:rPr>
        <w:t>on whom he wiped his hands.  And in 28 we see the three physicians (</w:t>
      </w:r>
      <w:proofErr w:type="spellStart"/>
      <w:r w:rsidRPr="00BC7171">
        <w:rPr>
          <w:rFonts w:cstheme="minorHAnsi"/>
          <w:i/>
          <w:iCs/>
          <w:sz w:val="24"/>
          <w:szCs w:val="24"/>
        </w:rPr>
        <w:t>iatralipta</w:t>
      </w:r>
      <w:proofErr w:type="spellEnd"/>
      <w:r w:rsidRPr="00BC7171">
        <w:rPr>
          <w:rFonts w:cstheme="minorHAnsi"/>
          <w:sz w:val="24"/>
          <w:szCs w:val="24"/>
        </w:rPr>
        <w:t>) drinking and spilling his wine; the four medal-wearing couriers (</w:t>
      </w:r>
      <w:proofErr w:type="spellStart"/>
      <w:r w:rsidRPr="00BC7171">
        <w:rPr>
          <w:rFonts w:cstheme="minorHAnsi"/>
          <w:i/>
          <w:iCs/>
          <w:sz w:val="24"/>
          <w:szCs w:val="24"/>
        </w:rPr>
        <w:t>cursori</w:t>
      </w:r>
      <w:proofErr w:type="spellEnd"/>
      <w:r w:rsidRPr="00BC7171">
        <w:rPr>
          <w:rFonts w:cstheme="minorHAnsi"/>
          <w:sz w:val="24"/>
          <w:szCs w:val="24"/>
        </w:rPr>
        <w:t xml:space="preserve">) preceding his litter; his favourite young boy (again a </w:t>
      </w:r>
      <w:proofErr w:type="spellStart"/>
      <w:r w:rsidRPr="00BC7171">
        <w:rPr>
          <w:rFonts w:cstheme="minorHAnsi"/>
          <w:i/>
          <w:iCs/>
          <w:sz w:val="24"/>
          <w:szCs w:val="24"/>
        </w:rPr>
        <w:t>puer</w:t>
      </w:r>
      <w:proofErr w:type="spellEnd"/>
      <w:r w:rsidRPr="00BC7171">
        <w:rPr>
          <w:rFonts w:cstheme="minorHAnsi"/>
          <w:sz w:val="24"/>
          <w:szCs w:val="24"/>
        </w:rPr>
        <w:t>), later identified as Croesus, and described variously as old</w:t>
      </w:r>
      <w:r w:rsidRPr="00BC7171">
        <w:rPr>
          <w:rFonts w:cstheme="minorHAnsi"/>
          <w:i/>
          <w:iCs/>
          <w:sz w:val="24"/>
          <w:szCs w:val="24"/>
        </w:rPr>
        <w:t xml:space="preserve"> (</w:t>
      </w:r>
      <w:proofErr w:type="spellStart"/>
      <w:r w:rsidRPr="00BC7171">
        <w:rPr>
          <w:rFonts w:cstheme="minorHAnsi"/>
          <w:i/>
          <w:iCs/>
          <w:sz w:val="24"/>
          <w:szCs w:val="24"/>
        </w:rPr>
        <w:t>vetulus</w:t>
      </w:r>
      <w:proofErr w:type="spellEnd"/>
      <w:r w:rsidRPr="00BC7171">
        <w:rPr>
          <w:rFonts w:cstheme="minorHAnsi"/>
          <w:sz w:val="24"/>
          <w:szCs w:val="24"/>
        </w:rPr>
        <w:t>), watery-</w:t>
      </w:r>
      <w:proofErr w:type="gramStart"/>
      <w:r w:rsidRPr="00BC7171">
        <w:rPr>
          <w:rFonts w:cstheme="minorHAnsi"/>
          <w:sz w:val="24"/>
          <w:szCs w:val="24"/>
        </w:rPr>
        <w:t>eyed ,</w:t>
      </w:r>
      <w:proofErr w:type="gramEnd"/>
      <w:r w:rsidRPr="00BC7171">
        <w:rPr>
          <w:rFonts w:cstheme="minorHAnsi"/>
          <w:i/>
          <w:iCs/>
          <w:sz w:val="24"/>
          <w:szCs w:val="24"/>
        </w:rPr>
        <w:t xml:space="preserve"> (</w:t>
      </w:r>
      <w:proofErr w:type="spellStart"/>
      <w:r w:rsidRPr="00BC7171">
        <w:rPr>
          <w:rFonts w:cstheme="minorHAnsi"/>
          <w:i/>
          <w:iCs/>
          <w:sz w:val="24"/>
          <w:szCs w:val="24"/>
        </w:rPr>
        <w:t>lippus</w:t>
      </w:r>
      <w:proofErr w:type="spellEnd"/>
      <w:r w:rsidRPr="00BC7171">
        <w:rPr>
          <w:rFonts w:cstheme="minorHAnsi"/>
          <w:sz w:val="24"/>
          <w:szCs w:val="24"/>
        </w:rPr>
        <w:t>) and as having bad teeth; a musician (</w:t>
      </w:r>
      <w:proofErr w:type="spellStart"/>
      <w:r w:rsidRPr="00BC7171">
        <w:rPr>
          <w:rFonts w:cstheme="minorHAnsi"/>
          <w:i/>
          <w:iCs/>
          <w:sz w:val="24"/>
          <w:szCs w:val="24"/>
        </w:rPr>
        <w:t>symphoniacus</w:t>
      </w:r>
      <w:proofErr w:type="spellEnd"/>
      <w:r w:rsidRPr="00BC7171">
        <w:rPr>
          <w:rFonts w:cstheme="minorHAnsi"/>
          <w:sz w:val="24"/>
          <w:szCs w:val="24"/>
        </w:rPr>
        <w:t>) playing tiny pipes; and finally the doorman (</w:t>
      </w:r>
      <w:proofErr w:type="spellStart"/>
      <w:r w:rsidRPr="00BC7171">
        <w:rPr>
          <w:rFonts w:cstheme="minorHAnsi"/>
          <w:i/>
          <w:iCs/>
          <w:sz w:val="24"/>
          <w:szCs w:val="24"/>
        </w:rPr>
        <w:t>ostiarius</w:t>
      </w:r>
      <w:proofErr w:type="spellEnd"/>
      <w:r w:rsidRPr="00BC7171">
        <w:rPr>
          <w:rFonts w:cstheme="minorHAnsi"/>
          <w:sz w:val="24"/>
          <w:szCs w:val="24"/>
        </w:rPr>
        <w:t>). What is striking is the close, even intimate, physical relationship each (except the doorman) has with his master, though doubtless he employed many more elsewhere. The two chapters portray a strange mixture of intimacy along with casual and humiliating treatment, reinforced by the threatening message that slaves may be whipped for leaving the house without their master’s permission.</w:t>
      </w:r>
    </w:p>
    <w:p w14:paraId="36C341A5" w14:textId="21762E3F" w:rsidR="00470923" w:rsidRPr="00BC7171" w:rsidRDefault="00470923" w:rsidP="00470923">
      <w:pPr>
        <w:rPr>
          <w:rFonts w:cstheme="minorHAnsi"/>
          <w:sz w:val="24"/>
          <w:szCs w:val="24"/>
        </w:rPr>
      </w:pPr>
      <w:r w:rsidRPr="00BC7171">
        <w:rPr>
          <w:rFonts w:cstheme="minorHAnsi"/>
          <w:sz w:val="24"/>
          <w:szCs w:val="24"/>
        </w:rPr>
        <w:t>We might expect differing social classes to be distinguishable by their vernacular. Sedgwick</w:t>
      </w:r>
      <w:r w:rsidR="00861B34" w:rsidRPr="00BC7171">
        <w:rPr>
          <w:rStyle w:val="FootnoteReference"/>
          <w:rFonts w:cstheme="minorHAnsi"/>
          <w:sz w:val="24"/>
          <w:szCs w:val="24"/>
        </w:rPr>
        <w:footnoteReference w:id="1"/>
      </w:r>
      <w:r w:rsidR="00AE3FB2" w:rsidRPr="00BC7171">
        <w:rPr>
          <w:rFonts w:cstheme="minorHAnsi"/>
          <w:sz w:val="24"/>
          <w:szCs w:val="24"/>
        </w:rPr>
        <w:t xml:space="preserve"> (1950)</w:t>
      </w:r>
      <w:r w:rsidRPr="00BC7171">
        <w:rPr>
          <w:rFonts w:cstheme="minorHAnsi"/>
          <w:sz w:val="24"/>
          <w:szCs w:val="24"/>
        </w:rPr>
        <w:t>, suggests that the educated Encolpius would be speaking the colloquial Latin (</w:t>
      </w:r>
      <w:proofErr w:type="spellStart"/>
      <w:r w:rsidRPr="00BC7171">
        <w:rPr>
          <w:rFonts w:cstheme="minorHAnsi"/>
          <w:i/>
          <w:iCs/>
          <w:sz w:val="24"/>
          <w:szCs w:val="24"/>
        </w:rPr>
        <w:t>sermo</w:t>
      </w:r>
      <w:proofErr w:type="spellEnd"/>
      <w:r w:rsidRPr="00BC7171">
        <w:rPr>
          <w:rFonts w:cstheme="minorHAnsi"/>
          <w:i/>
          <w:iCs/>
          <w:sz w:val="24"/>
          <w:szCs w:val="24"/>
        </w:rPr>
        <w:t xml:space="preserve"> </w:t>
      </w:r>
      <w:proofErr w:type="spellStart"/>
      <w:r w:rsidRPr="00BC7171">
        <w:rPr>
          <w:rFonts w:cstheme="minorHAnsi"/>
          <w:i/>
          <w:iCs/>
          <w:sz w:val="24"/>
          <w:szCs w:val="24"/>
        </w:rPr>
        <w:t>cotidianus</w:t>
      </w:r>
      <w:proofErr w:type="spellEnd"/>
      <w:r w:rsidRPr="00BC7171">
        <w:rPr>
          <w:rFonts w:cstheme="minorHAnsi"/>
          <w:sz w:val="24"/>
          <w:szCs w:val="24"/>
        </w:rPr>
        <w:t xml:space="preserve">) of good society, while Trimalchio, as a former slave now a freedman, would have spoken vulgar Latin, </w:t>
      </w:r>
      <w:proofErr w:type="spellStart"/>
      <w:r w:rsidRPr="00BC7171">
        <w:rPr>
          <w:rFonts w:cstheme="minorHAnsi"/>
          <w:i/>
          <w:iCs/>
          <w:sz w:val="24"/>
          <w:szCs w:val="24"/>
        </w:rPr>
        <w:t>sermo</w:t>
      </w:r>
      <w:proofErr w:type="spellEnd"/>
      <w:r w:rsidRPr="00BC7171">
        <w:rPr>
          <w:rFonts w:cstheme="minorHAnsi"/>
          <w:i/>
          <w:iCs/>
          <w:sz w:val="24"/>
          <w:szCs w:val="24"/>
        </w:rPr>
        <w:t xml:space="preserve"> </w:t>
      </w:r>
      <w:proofErr w:type="spellStart"/>
      <w:r w:rsidRPr="00BC7171">
        <w:rPr>
          <w:rFonts w:cstheme="minorHAnsi"/>
          <w:i/>
          <w:iCs/>
          <w:sz w:val="24"/>
          <w:szCs w:val="24"/>
        </w:rPr>
        <w:t>plebeius</w:t>
      </w:r>
      <w:proofErr w:type="spellEnd"/>
      <w:r w:rsidRPr="00BC7171">
        <w:rPr>
          <w:rFonts w:cstheme="minorHAnsi"/>
          <w:sz w:val="24"/>
          <w:szCs w:val="24"/>
        </w:rPr>
        <w:t xml:space="preserve">, just as his slaves would have. We find some limited examples of this here: at 27/2 Encolpius writes </w:t>
      </w:r>
      <w:r w:rsidRPr="00BC7171">
        <w:rPr>
          <w:rFonts w:cstheme="minorHAnsi"/>
          <w:i/>
          <w:iCs/>
          <w:sz w:val="24"/>
          <w:szCs w:val="24"/>
        </w:rPr>
        <w:t>tam…</w:t>
      </w:r>
      <w:proofErr w:type="spellStart"/>
      <w:r w:rsidRPr="00BC7171">
        <w:rPr>
          <w:rFonts w:cstheme="minorHAnsi"/>
          <w:i/>
          <w:iCs/>
          <w:sz w:val="24"/>
          <w:szCs w:val="24"/>
        </w:rPr>
        <w:t>duxerant</w:t>
      </w:r>
      <w:proofErr w:type="spellEnd"/>
      <w:r w:rsidRPr="00BC7171">
        <w:rPr>
          <w:rFonts w:cstheme="minorHAnsi"/>
          <w:i/>
          <w:iCs/>
          <w:sz w:val="24"/>
          <w:szCs w:val="24"/>
        </w:rPr>
        <w:t xml:space="preserve">, </w:t>
      </w:r>
      <w:proofErr w:type="spellStart"/>
      <w:r w:rsidRPr="00BC7171">
        <w:rPr>
          <w:rFonts w:cstheme="minorHAnsi"/>
          <w:i/>
          <w:iCs/>
          <w:sz w:val="24"/>
          <w:szCs w:val="24"/>
        </w:rPr>
        <w:t>quam</w:t>
      </w:r>
      <w:proofErr w:type="spellEnd"/>
      <w:r w:rsidRPr="00BC7171">
        <w:rPr>
          <w:rFonts w:cstheme="minorHAnsi"/>
          <w:i/>
          <w:iCs/>
          <w:sz w:val="24"/>
          <w:szCs w:val="24"/>
        </w:rPr>
        <w:t xml:space="preserve">… </w:t>
      </w:r>
      <w:r w:rsidRPr="00BC7171">
        <w:rPr>
          <w:rFonts w:cstheme="minorHAnsi"/>
          <w:sz w:val="24"/>
          <w:szCs w:val="24"/>
        </w:rPr>
        <w:t xml:space="preserve">rather than </w:t>
      </w:r>
      <w:r w:rsidRPr="00BC7171">
        <w:rPr>
          <w:rFonts w:cstheme="minorHAnsi"/>
          <w:i/>
          <w:iCs/>
          <w:sz w:val="24"/>
          <w:szCs w:val="24"/>
        </w:rPr>
        <w:t>tantum…quantum</w:t>
      </w:r>
      <w:r w:rsidRPr="00BC7171">
        <w:rPr>
          <w:rFonts w:cstheme="minorHAnsi"/>
          <w:sz w:val="24"/>
          <w:szCs w:val="24"/>
        </w:rPr>
        <w:t xml:space="preserve">; and </w:t>
      </w:r>
      <w:proofErr w:type="spellStart"/>
      <w:r w:rsidRPr="00BC7171">
        <w:rPr>
          <w:rFonts w:cstheme="minorHAnsi"/>
          <w:i/>
          <w:iCs/>
          <w:sz w:val="24"/>
          <w:szCs w:val="24"/>
        </w:rPr>
        <w:t>propin</w:t>
      </w:r>
      <w:proofErr w:type="spellEnd"/>
      <w:r w:rsidRPr="00BC7171">
        <w:rPr>
          <w:rFonts w:cstheme="minorHAnsi"/>
          <w:i/>
          <w:iCs/>
          <w:sz w:val="24"/>
          <w:szCs w:val="24"/>
        </w:rPr>
        <w:t xml:space="preserve"> esse</w:t>
      </w:r>
      <w:r w:rsidRPr="00BC7171">
        <w:rPr>
          <w:rFonts w:cstheme="minorHAnsi"/>
          <w:sz w:val="24"/>
          <w:szCs w:val="24"/>
        </w:rPr>
        <w:t xml:space="preserve"> at 28/3, which, according to Sedgwick, is a vulgar form of a Greek word.  At 27/4 Menelaus uses the present tense </w:t>
      </w:r>
      <w:proofErr w:type="spellStart"/>
      <w:r w:rsidRPr="00BC7171">
        <w:rPr>
          <w:rFonts w:cstheme="minorHAnsi"/>
          <w:i/>
          <w:iCs/>
          <w:sz w:val="24"/>
          <w:szCs w:val="24"/>
        </w:rPr>
        <w:t>ponitis</w:t>
      </w:r>
      <w:proofErr w:type="spellEnd"/>
      <w:r w:rsidRPr="00BC7171">
        <w:rPr>
          <w:rFonts w:cstheme="minorHAnsi"/>
          <w:sz w:val="24"/>
          <w:szCs w:val="24"/>
        </w:rPr>
        <w:t xml:space="preserve"> instead of the future </w:t>
      </w:r>
      <w:proofErr w:type="spellStart"/>
      <w:r w:rsidRPr="00BC7171">
        <w:rPr>
          <w:rFonts w:cstheme="minorHAnsi"/>
          <w:i/>
          <w:iCs/>
          <w:sz w:val="24"/>
          <w:szCs w:val="24"/>
        </w:rPr>
        <w:t>ponetis</w:t>
      </w:r>
      <w:proofErr w:type="spellEnd"/>
      <w:r w:rsidRPr="00BC7171">
        <w:rPr>
          <w:rFonts w:cstheme="minorHAnsi"/>
          <w:sz w:val="24"/>
          <w:szCs w:val="24"/>
        </w:rPr>
        <w:t xml:space="preserve">. Encolpius and Menelaus are the only two voices we hear in these chapters and these few examples are insufficient to draw any real conclusions; the vulgar Latin is used far more extensively later in the narrative. Also, it is hard to determine exactly how much use </w:t>
      </w:r>
      <w:r w:rsidRPr="00BC7171">
        <w:rPr>
          <w:rFonts w:cstheme="minorHAnsi"/>
          <w:sz w:val="24"/>
          <w:szCs w:val="24"/>
        </w:rPr>
        <w:lastRenderedPageBreak/>
        <w:t xml:space="preserve">Petronius makes of this, though probably quite a lot as it would serve both to entertain and to add credibility. </w:t>
      </w:r>
    </w:p>
    <w:p w14:paraId="7BBA15BA" w14:textId="02D27871" w:rsidR="00470923" w:rsidRPr="00BC7171" w:rsidRDefault="00470923" w:rsidP="00470923">
      <w:pPr>
        <w:rPr>
          <w:rFonts w:cstheme="minorHAnsi"/>
          <w:sz w:val="24"/>
          <w:szCs w:val="24"/>
        </w:rPr>
      </w:pPr>
      <w:r w:rsidRPr="00BC7171">
        <w:rPr>
          <w:rFonts w:cstheme="minorHAnsi"/>
          <w:sz w:val="24"/>
          <w:szCs w:val="24"/>
        </w:rPr>
        <w:t xml:space="preserve">Although much of what has happened in the Satyricon before chapter 27 is unusual, at least by most modern standards, the events are firmly grounded in plausible historical reality. While the same is true from 27 onwards, a slight note of the unreal also starts to creep in. Almost everything is a slight variation of the normal or an exaggeration. For example: the new and inverted way </w:t>
      </w:r>
      <w:r w:rsidR="0072559F" w:rsidRPr="00BC7171">
        <w:rPr>
          <w:rFonts w:cstheme="minorHAnsi"/>
          <w:sz w:val="24"/>
          <w:szCs w:val="24"/>
        </w:rPr>
        <w:t>(</w:t>
      </w:r>
      <w:r w:rsidR="0072559F" w:rsidRPr="00BC7171">
        <w:rPr>
          <w:rFonts w:cstheme="minorHAnsi"/>
          <w:i/>
          <w:iCs/>
          <w:sz w:val="24"/>
          <w:szCs w:val="24"/>
        </w:rPr>
        <w:t>res novae</w:t>
      </w:r>
      <w:r w:rsidR="0072559F" w:rsidRPr="00BC7171">
        <w:rPr>
          <w:rFonts w:cstheme="minorHAnsi"/>
          <w:sz w:val="24"/>
          <w:szCs w:val="24"/>
        </w:rPr>
        <w:t xml:space="preserve">) </w:t>
      </w:r>
      <w:r w:rsidRPr="00BC7171">
        <w:rPr>
          <w:rFonts w:cstheme="minorHAnsi"/>
          <w:sz w:val="24"/>
          <w:szCs w:val="24"/>
        </w:rPr>
        <w:t xml:space="preserve">of scoring the ball game, shelling peas into a silver pot, urinating in the chamber pot and wiping his hands on the slave boy’s hair (perhaps not the </w:t>
      </w:r>
      <w:proofErr w:type="spellStart"/>
      <w:r w:rsidRPr="00BC7171">
        <w:rPr>
          <w:rFonts w:cstheme="minorHAnsi"/>
          <w:i/>
          <w:iCs/>
          <w:sz w:val="24"/>
          <w:szCs w:val="24"/>
        </w:rPr>
        <w:t>lautissimus</w:t>
      </w:r>
      <w:proofErr w:type="spellEnd"/>
      <w:r w:rsidRPr="00BC7171">
        <w:rPr>
          <w:rFonts w:cstheme="minorHAnsi"/>
          <w:i/>
          <w:iCs/>
          <w:sz w:val="24"/>
          <w:szCs w:val="24"/>
        </w:rPr>
        <w:t xml:space="preserve"> homo</w:t>
      </w:r>
      <w:r w:rsidRPr="00BC7171">
        <w:rPr>
          <w:rFonts w:cstheme="minorHAnsi"/>
          <w:sz w:val="24"/>
          <w:szCs w:val="24"/>
        </w:rPr>
        <w:t xml:space="preserve"> they had been expecting!); Trimalchio saying that the spilt wine is actually a toast to his health; his exit from the baths on a litter preceded by four couriers and his ugly, favourite boy with music playing; the talking magpie greeting visitors. None of these things are impossible, indeed they often happened, e.g. lavish Roman dinners beginning with a game of </w:t>
      </w:r>
      <w:r w:rsidRPr="00BC7171">
        <w:rPr>
          <w:rFonts w:cstheme="minorHAnsi"/>
          <w:i/>
          <w:iCs/>
          <w:sz w:val="24"/>
          <w:szCs w:val="24"/>
        </w:rPr>
        <w:t>lusus trigo</w:t>
      </w:r>
      <w:r w:rsidRPr="00BC7171">
        <w:rPr>
          <w:rFonts w:cstheme="minorHAnsi"/>
          <w:sz w:val="24"/>
          <w:szCs w:val="24"/>
        </w:rPr>
        <w:t xml:space="preserve">. But the close sequence of such events, and with very little that is normal coming in between, creates a rather circus- or dream-like effect. And these things aren’t just surprising to us today. Encolpius and his companions were also </w:t>
      </w:r>
      <w:proofErr w:type="gramStart"/>
      <w:r w:rsidRPr="00BC7171">
        <w:rPr>
          <w:rFonts w:cstheme="minorHAnsi"/>
          <w:sz w:val="24"/>
          <w:szCs w:val="24"/>
        </w:rPr>
        <w:t>awestruck:</w:t>
      </w:r>
      <w:proofErr w:type="gramEnd"/>
      <w:r w:rsidRPr="00BC7171">
        <w:rPr>
          <w:rFonts w:cstheme="minorHAnsi"/>
          <w:sz w:val="24"/>
          <w:szCs w:val="24"/>
        </w:rPr>
        <w:t xml:space="preserve"> in 27 </w:t>
      </w:r>
      <w:r w:rsidRPr="00BC7171">
        <w:rPr>
          <w:rFonts w:cstheme="minorHAnsi"/>
          <w:i/>
          <w:iCs/>
          <w:sz w:val="24"/>
          <w:szCs w:val="24"/>
        </w:rPr>
        <w:t xml:space="preserve">“cum has ergo </w:t>
      </w:r>
      <w:proofErr w:type="spellStart"/>
      <w:r w:rsidRPr="00BC7171">
        <w:rPr>
          <w:rFonts w:cstheme="minorHAnsi"/>
          <w:i/>
          <w:iCs/>
          <w:sz w:val="24"/>
          <w:szCs w:val="24"/>
        </w:rPr>
        <w:t>miramemur</w:t>
      </w:r>
      <w:proofErr w:type="spellEnd"/>
      <w:r w:rsidRPr="00BC7171">
        <w:rPr>
          <w:rFonts w:cstheme="minorHAnsi"/>
          <w:i/>
          <w:iCs/>
          <w:sz w:val="24"/>
          <w:szCs w:val="24"/>
        </w:rPr>
        <w:t xml:space="preserve"> </w:t>
      </w:r>
      <w:proofErr w:type="spellStart"/>
      <w:r w:rsidRPr="00BC7171">
        <w:rPr>
          <w:rFonts w:cstheme="minorHAnsi"/>
          <w:i/>
          <w:iCs/>
          <w:sz w:val="24"/>
          <w:szCs w:val="24"/>
        </w:rPr>
        <w:t>lautitias</w:t>
      </w:r>
      <w:proofErr w:type="spellEnd"/>
      <w:r w:rsidRPr="00BC7171">
        <w:rPr>
          <w:rFonts w:cstheme="minorHAnsi"/>
          <w:i/>
          <w:iCs/>
          <w:sz w:val="24"/>
          <w:szCs w:val="24"/>
        </w:rPr>
        <w:t xml:space="preserve">” </w:t>
      </w:r>
      <w:r w:rsidRPr="00BC7171">
        <w:rPr>
          <w:rFonts w:cstheme="minorHAnsi"/>
          <w:sz w:val="24"/>
          <w:szCs w:val="24"/>
        </w:rPr>
        <w:t>and in 28 “</w:t>
      </w:r>
      <w:proofErr w:type="spellStart"/>
      <w:r w:rsidRPr="00BC7171">
        <w:rPr>
          <w:rFonts w:cstheme="minorHAnsi"/>
          <w:i/>
          <w:iCs/>
          <w:sz w:val="24"/>
          <w:szCs w:val="24"/>
        </w:rPr>
        <w:t>sequimus</w:t>
      </w:r>
      <w:proofErr w:type="spellEnd"/>
      <w:r w:rsidRPr="00BC7171">
        <w:rPr>
          <w:rFonts w:cstheme="minorHAnsi"/>
          <w:i/>
          <w:iCs/>
          <w:sz w:val="24"/>
          <w:szCs w:val="24"/>
        </w:rPr>
        <w:t xml:space="preserve"> </w:t>
      </w:r>
      <w:proofErr w:type="spellStart"/>
      <w:r w:rsidRPr="00BC7171">
        <w:rPr>
          <w:rFonts w:cstheme="minorHAnsi"/>
          <w:i/>
          <w:iCs/>
          <w:sz w:val="24"/>
          <w:szCs w:val="24"/>
        </w:rPr>
        <w:t>nos</w:t>
      </w:r>
      <w:proofErr w:type="spellEnd"/>
      <w:r w:rsidRPr="00BC7171">
        <w:rPr>
          <w:rFonts w:cstheme="minorHAnsi"/>
          <w:i/>
          <w:iCs/>
          <w:sz w:val="24"/>
          <w:szCs w:val="24"/>
        </w:rPr>
        <w:t xml:space="preserve"> </w:t>
      </w:r>
      <w:proofErr w:type="spellStart"/>
      <w:r w:rsidRPr="00BC7171">
        <w:rPr>
          <w:rFonts w:cstheme="minorHAnsi"/>
          <w:i/>
          <w:iCs/>
          <w:sz w:val="24"/>
          <w:szCs w:val="24"/>
        </w:rPr>
        <w:t>admiratione</w:t>
      </w:r>
      <w:proofErr w:type="spellEnd"/>
      <w:r w:rsidRPr="00BC7171">
        <w:rPr>
          <w:rFonts w:cstheme="minorHAnsi"/>
          <w:i/>
          <w:iCs/>
          <w:sz w:val="24"/>
          <w:szCs w:val="24"/>
        </w:rPr>
        <w:t xml:space="preserve"> </w:t>
      </w:r>
      <w:proofErr w:type="spellStart"/>
      <w:r w:rsidRPr="00BC7171">
        <w:rPr>
          <w:rFonts w:cstheme="minorHAnsi"/>
          <w:i/>
          <w:iCs/>
          <w:sz w:val="24"/>
          <w:szCs w:val="24"/>
        </w:rPr>
        <w:t>saturi</w:t>
      </w:r>
      <w:proofErr w:type="spellEnd"/>
      <w:r w:rsidRPr="00BC7171">
        <w:rPr>
          <w:rFonts w:cstheme="minorHAnsi"/>
          <w:i/>
          <w:iCs/>
          <w:sz w:val="24"/>
          <w:szCs w:val="24"/>
        </w:rPr>
        <w:t>”</w:t>
      </w:r>
      <w:r w:rsidRPr="00BC7171">
        <w:rPr>
          <w:rFonts w:cstheme="minorHAnsi"/>
          <w:sz w:val="24"/>
          <w:szCs w:val="24"/>
        </w:rPr>
        <w:t>.  This dream-like scenario is somewhat enhanced by bright flashes of colour inside the house: the red shirt, green balls, silver chamber pot, scarlet gown, porter dressed in green, cherry-coloured belt, silver dish - all of these throw the rest of the scene into a rather shadowy monochromatic background.</w:t>
      </w:r>
    </w:p>
    <w:p w14:paraId="2CE08904" w14:textId="7DF7B7E4" w:rsidR="00470923" w:rsidRPr="00BC7171" w:rsidRDefault="00470923" w:rsidP="00470923">
      <w:pPr>
        <w:rPr>
          <w:rFonts w:cstheme="minorHAnsi"/>
          <w:sz w:val="24"/>
          <w:szCs w:val="24"/>
        </w:rPr>
      </w:pPr>
      <w:r w:rsidRPr="00BC7171">
        <w:rPr>
          <w:rFonts w:cstheme="minorHAnsi"/>
          <w:sz w:val="24"/>
          <w:szCs w:val="24"/>
        </w:rPr>
        <w:t>Strange and surprising as these events may have been, there is no reason to think that Encolpius is being delusional or that things should not be taken at other than face value. Encolpius as the actor is seeing things, and Encolpius the narrator is remembering and recording what he saw.  He is almost certainly a reliable narrator, although, as Schmelling suggests ‘he arranges facts like a surgeon arranges silicon’</w:t>
      </w:r>
      <w:r w:rsidR="005F28C0" w:rsidRPr="00BC7171">
        <w:rPr>
          <w:rStyle w:val="FootnoteReference"/>
          <w:rFonts w:cstheme="minorHAnsi"/>
          <w:sz w:val="24"/>
          <w:szCs w:val="24"/>
        </w:rPr>
        <w:footnoteReference w:id="2"/>
      </w:r>
      <w:r w:rsidRPr="00BC7171">
        <w:rPr>
          <w:rFonts w:cstheme="minorHAnsi"/>
          <w:sz w:val="24"/>
          <w:szCs w:val="24"/>
        </w:rPr>
        <w:t xml:space="preserve">. Nevertheless, we are meant to see the strangeness in Trimalchio’s setup.  Encolpius is a homodiegetic narrator, i.e. he himself is involved in the action he is narrating, which leaves him well placed to report and, as Petronius’ objective is to tell a story and entertain, he is obviously doing this using Encolpius’ voice, at least at a factual level of the narration.  But in so doing he is also allowing Encolpius to come alive and act out his own character, be it that of a naïve young man or something else. And since 27 and 28 are largely what Encolpius saw, the piece stands as a possible attempt by Petronius’ to mock others by slightly inflating things, while making sure that these descriptions stand as credible with his readers – a minimum requirement of the work. But what did Petronius intend to achieve by doing this? He could be flattering Nero and his associates by mocking Encolpius’ naïve amazement at such wealth and luxury. Perhaps he was trying to make his audience laugh by taking the familiar and giving it a twist, and then placing this new reality in front of our beguiled and bemused three protagonists, </w:t>
      </w:r>
      <w:r w:rsidRPr="00BC7171">
        <w:rPr>
          <w:rFonts w:cstheme="minorHAnsi"/>
          <w:sz w:val="24"/>
          <w:szCs w:val="24"/>
        </w:rPr>
        <w:lastRenderedPageBreak/>
        <w:t xml:space="preserve">and again laughing at their bemusement. We may not laugh at their jokes now, but at least perceive from afar that an attempt at humour was intended. </w:t>
      </w:r>
    </w:p>
    <w:p w14:paraId="3CF52F73" w14:textId="2BE8C034" w:rsidR="00470923" w:rsidRPr="00BC7171" w:rsidRDefault="00470923" w:rsidP="00470923">
      <w:pPr>
        <w:rPr>
          <w:rFonts w:cstheme="minorHAnsi"/>
          <w:sz w:val="24"/>
          <w:szCs w:val="24"/>
        </w:rPr>
      </w:pPr>
      <w:r w:rsidRPr="00BC7171">
        <w:rPr>
          <w:rFonts w:cstheme="minorHAnsi"/>
          <w:sz w:val="24"/>
          <w:szCs w:val="24"/>
        </w:rPr>
        <w:t>Roger Beck</w:t>
      </w:r>
      <w:r w:rsidR="005F28C0" w:rsidRPr="00BC7171">
        <w:rPr>
          <w:rStyle w:val="FootnoteReference"/>
          <w:rFonts w:cstheme="minorHAnsi"/>
          <w:sz w:val="24"/>
          <w:szCs w:val="24"/>
        </w:rPr>
        <w:footnoteReference w:id="3"/>
      </w:r>
      <w:r w:rsidRPr="00BC7171">
        <w:rPr>
          <w:rFonts w:cstheme="minorHAnsi"/>
          <w:sz w:val="24"/>
          <w:szCs w:val="24"/>
        </w:rPr>
        <w:t xml:space="preserve"> </w:t>
      </w:r>
      <w:r w:rsidR="005F28C0" w:rsidRPr="00BC7171">
        <w:rPr>
          <w:rFonts w:cstheme="minorHAnsi"/>
          <w:sz w:val="24"/>
          <w:szCs w:val="24"/>
        </w:rPr>
        <w:t>(</w:t>
      </w:r>
      <w:r w:rsidRPr="00BC7171">
        <w:rPr>
          <w:rFonts w:cstheme="minorHAnsi"/>
          <w:sz w:val="24"/>
          <w:szCs w:val="24"/>
        </w:rPr>
        <w:t>1975</w:t>
      </w:r>
      <w:r w:rsidR="005F28C0" w:rsidRPr="00BC7171">
        <w:rPr>
          <w:rFonts w:cstheme="minorHAnsi"/>
          <w:sz w:val="24"/>
          <w:szCs w:val="24"/>
        </w:rPr>
        <w:t>)</w:t>
      </w:r>
      <w:r w:rsidRPr="00BC7171">
        <w:rPr>
          <w:rFonts w:cstheme="minorHAnsi"/>
          <w:sz w:val="24"/>
          <w:szCs w:val="24"/>
        </w:rPr>
        <w:t xml:space="preserve"> crystalises the dichotomy between actor and narrator and explains how the first-person narration of the </w:t>
      </w:r>
      <w:proofErr w:type="spellStart"/>
      <w:r w:rsidRPr="00BC7171">
        <w:rPr>
          <w:rFonts w:cstheme="minorHAnsi"/>
          <w:sz w:val="24"/>
          <w:szCs w:val="24"/>
        </w:rPr>
        <w:t>Satyrica</w:t>
      </w:r>
      <w:proofErr w:type="spellEnd"/>
      <w:r w:rsidRPr="00BC7171">
        <w:rPr>
          <w:rFonts w:cstheme="minorHAnsi"/>
          <w:sz w:val="24"/>
          <w:szCs w:val="24"/>
        </w:rPr>
        <w:t xml:space="preserve"> gives rise to two distinct personae – the actor, or protagonist, who is involved in the story, and the older, temporally removed narrator, who looks back on events and describes them. We generally witness events through the protagonist’s eyes, but there are instances when the voice of the narrator breaks through. Beck gives examples from later in the Cena, but I see possible instances here. Firstly in 27 “…</w:t>
      </w:r>
      <w:proofErr w:type="spellStart"/>
      <w:r w:rsidRPr="00BC7171">
        <w:rPr>
          <w:rFonts w:cstheme="minorHAnsi"/>
          <w:i/>
          <w:iCs/>
          <w:sz w:val="24"/>
          <w:szCs w:val="24"/>
        </w:rPr>
        <w:t>quamquam</w:t>
      </w:r>
      <w:proofErr w:type="spellEnd"/>
      <w:r w:rsidRPr="00BC7171">
        <w:rPr>
          <w:rFonts w:cstheme="minorHAnsi"/>
          <w:i/>
          <w:iCs/>
          <w:sz w:val="24"/>
          <w:szCs w:val="24"/>
        </w:rPr>
        <w:t xml:space="preserve"> </w:t>
      </w:r>
      <w:proofErr w:type="spellStart"/>
      <w:r w:rsidRPr="00BC7171">
        <w:rPr>
          <w:rFonts w:cstheme="minorHAnsi"/>
          <w:i/>
          <w:iCs/>
          <w:sz w:val="24"/>
          <w:szCs w:val="24"/>
        </w:rPr>
        <w:t>erat</w:t>
      </w:r>
      <w:proofErr w:type="spellEnd"/>
      <w:r w:rsidRPr="00BC7171">
        <w:rPr>
          <w:rFonts w:cstheme="minorHAnsi"/>
          <w:i/>
          <w:iCs/>
          <w:sz w:val="24"/>
          <w:szCs w:val="24"/>
        </w:rPr>
        <w:t xml:space="preserve"> </w:t>
      </w:r>
      <w:proofErr w:type="spellStart"/>
      <w:r w:rsidRPr="00BC7171">
        <w:rPr>
          <w:rFonts w:cstheme="minorHAnsi"/>
          <w:i/>
          <w:iCs/>
          <w:sz w:val="24"/>
          <w:szCs w:val="24"/>
        </w:rPr>
        <w:t>operae</w:t>
      </w:r>
      <w:proofErr w:type="spellEnd"/>
      <w:r w:rsidRPr="00BC7171">
        <w:rPr>
          <w:rFonts w:cstheme="minorHAnsi"/>
          <w:i/>
          <w:iCs/>
          <w:sz w:val="24"/>
          <w:szCs w:val="24"/>
        </w:rPr>
        <w:t xml:space="preserve"> </w:t>
      </w:r>
      <w:proofErr w:type="spellStart"/>
      <w:r w:rsidRPr="00BC7171">
        <w:rPr>
          <w:rFonts w:cstheme="minorHAnsi"/>
          <w:i/>
          <w:iCs/>
          <w:sz w:val="24"/>
          <w:szCs w:val="24"/>
        </w:rPr>
        <w:t>pretium</w:t>
      </w:r>
      <w:proofErr w:type="spellEnd"/>
      <w:r w:rsidRPr="00BC7171">
        <w:rPr>
          <w:rFonts w:cstheme="minorHAnsi"/>
          <w:i/>
          <w:iCs/>
          <w:sz w:val="24"/>
          <w:szCs w:val="24"/>
        </w:rPr>
        <w:t xml:space="preserve">, ad </w:t>
      </w:r>
      <w:proofErr w:type="spellStart"/>
      <w:r w:rsidRPr="00BC7171">
        <w:rPr>
          <w:rFonts w:cstheme="minorHAnsi"/>
          <w:i/>
          <w:iCs/>
          <w:sz w:val="24"/>
          <w:szCs w:val="24"/>
        </w:rPr>
        <w:t>spectaculum</w:t>
      </w:r>
      <w:proofErr w:type="spellEnd"/>
      <w:r w:rsidRPr="00BC7171">
        <w:rPr>
          <w:rFonts w:cstheme="minorHAnsi"/>
          <w:i/>
          <w:iCs/>
          <w:sz w:val="24"/>
          <w:szCs w:val="24"/>
        </w:rPr>
        <w:t xml:space="preserve"> </w:t>
      </w:r>
      <w:proofErr w:type="spellStart"/>
      <w:r w:rsidRPr="00BC7171">
        <w:rPr>
          <w:rFonts w:cstheme="minorHAnsi"/>
          <w:i/>
          <w:iCs/>
          <w:sz w:val="24"/>
          <w:szCs w:val="24"/>
        </w:rPr>
        <w:t>duxerant</w:t>
      </w:r>
      <w:proofErr w:type="spellEnd"/>
      <w:r w:rsidRPr="00BC7171">
        <w:rPr>
          <w:rFonts w:cstheme="minorHAnsi"/>
          <w:sz w:val="24"/>
          <w:szCs w:val="24"/>
        </w:rPr>
        <w:t xml:space="preserve">” describing the long-haired boys playing balls, and then in </w:t>
      </w:r>
      <w:proofErr w:type="gramStart"/>
      <w:r w:rsidRPr="00BC7171">
        <w:rPr>
          <w:rFonts w:cstheme="minorHAnsi"/>
          <w:sz w:val="24"/>
          <w:szCs w:val="24"/>
        </w:rPr>
        <w:t xml:space="preserve">28  </w:t>
      </w:r>
      <w:proofErr w:type="spellStart"/>
      <w:r w:rsidRPr="00BC7171">
        <w:rPr>
          <w:rFonts w:cstheme="minorHAnsi"/>
          <w:i/>
          <w:iCs/>
          <w:sz w:val="24"/>
          <w:szCs w:val="24"/>
        </w:rPr>
        <w:t>puer</w:t>
      </w:r>
      <w:proofErr w:type="spellEnd"/>
      <w:proofErr w:type="gramEnd"/>
      <w:r w:rsidRPr="00BC7171">
        <w:rPr>
          <w:rFonts w:cstheme="minorHAnsi"/>
          <w:i/>
          <w:iCs/>
          <w:sz w:val="24"/>
          <w:szCs w:val="24"/>
        </w:rPr>
        <w:t xml:space="preserve"> </w:t>
      </w:r>
      <w:proofErr w:type="spellStart"/>
      <w:r w:rsidRPr="00BC7171">
        <w:rPr>
          <w:rFonts w:cstheme="minorHAnsi"/>
          <w:i/>
          <w:iCs/>
          <w:sz w:val="24"/>
          <w:szCs w:val="24"/>
        </w:rPr>
        <w:t>vitulus</w:t>
      </w:r>
      <w:proofErr w:type="spellEnd"/>
      <w:r w:rsidRPr="00BC7171">
        <w:rPr>
          <w:rFonts w:cstheme="minorHAnsi"/>
          <w:i/>
          <w:iCs/>
          <w:sz w:val="24"/>
          <w:szCs w:val="24"/>
        </w:rPr>
        <w:t xml:space="preserve">, </w:t>
      </w:r>
      <w:proofErr w:type="spellStart"/>
      <w:r w:rsidRPr="00BC7171">
        <w:rPr>
          <w:rFonts w:cstheme="minorHAnsi"/>
          <w:i/>
          <w:iCs/>
          <w:sz w:val="24"/>
          <w:szCs w:val="24"/>
        </w:rPr>
        <w:t>lippus</w:t>
      </w:r>
      <w:proofErr w:type="spellEnd"/>
      <w:r w:rsidRPr="00BC7171">
        <w:rPr>
          <w:rFonts w:cstheme="minorHAnsi"/>
          <w:i/>
          <w:iCs/>
          <w:sz w:val="24"/>
          <w:szCs w:val="24"/>
        </w:rPr>
        <w:t xml:space="preserve">, domino </w:t>
      </w:r>
      <w:proofErr w:type="spellStart"/>
      <w:r w:rsidRPr="00BC7171">
        <w:rPr>
          <w:rFonts w:cstheme="minorHAnsi"/>
          <w:i/>
          <w:iCs/>
          <w:sz w:val="24"/>
          <w:szCs w:val="24"/>
        </w:rPr>
        <w:t>Trimalchione</w:t>
      </w:r>
      <w:proofErr w:type="spellEnd"/>
      <w:r w:rsidRPr="00BC7171">
        <w:rPr>
          <w:rFonts w:cstheme="minorHAnsi"/>
          <w:i/>
          <w:iCs/>
          <w:sz w:val="24"/>
          <w:szCs w:val="24"/>
        </w:rPr>
        <w:t xml:space="preserve"> </w:t>
      </w:r>
      <w:proofErr w:type="spellStart"/>
      <w:r w:rsidRPr="00BC7171">
        <w:rPr>
          <w:rFonts w:cstheme="minorHAnsi"/>
          <w:i/>
          <w:iCs/>
          <w:sz w:val="24"/>
          <w:szCs w:val="24"/>
        </w:rPr>
        <w:t>deformior</w:t>
      </w:r>
      <w:proofErr w:type="spellEnd"/>
      <w:r w:rsidRPr="00BC7171">
        <w:rPr>
          <w:rFonts w:cstheme="minorHAnsi"/>
          <w:i/>
          <w:iCs/>
          <w:sz w:val="24"/>
          <w:szCs w:val="24"/>
        </w:rPr>
        <w:t xml:space="preserve">.  </w:t>
      </w:r>
      <w:r w:rsidRPr="00BC7171">
        <w:rPr>
          <w:rFonts w:cstheme="minorHAnsi"/>
          <w:sz w:val="24"/>
          <w:szCs w:val="24"/>
        </w:rPr>
        <w:t>These remarks probably reveal the feelings of both protagonist and narrator; both are judgements and aesthetic in nature, something which Beck says is generally “restricted to the tastelessness of Trimalchio, his household and his friends”</w:t>
      </w:r>
      <w:r w:rsidR="00965B10" w:rsidRPr="00BC7171">
        <w:rPr>
          <w:rStyle w:val="FootnoteReference"/>
          <w:rFonts w:cstheme="minorHAnsi"/>
          <w:sz w:val="24"/>
          <w:szCs w:val="24"/>
        </w:rPr>
        <w:footnoteReference w:id="4"/>
      </w:r>
      <w:r w:rsidRPr="00BC7171">
        <w:rPr>
          <w:rFonts w:cstheme="minorHAnsi"/>
          <w:sz w:val="24"/>
          <w:szCs w:val="24"/>
        </w:rPr>
        <w:t xml:space="preserve"> . However, the most significant and obvious instance begins chapter 28: </w:t>
      </w:r>
      <w:r w:rsidRPr="00BC7171">
        <w:rPr>
          <w:rFonts w:cstheme="minorHAnsi"/>
          <w:i/>
          <w:iCs/>
          <w:sz w:val="24"/>
          <w:szCs w:val="24"/>
        </w:rPr>
        <w:t xml:space="preserve">Longum </w:t>
      </w:r>
      <w:proofErr w:type="spellStart"/>
      <w:r w:rsidRPr="00BC7171">
        <w:rPr>
          <w:rFonts w:cstheme="minorHAnsi"/>
          <w:i/>
          <w:iCs/>
          <w:sz w:val="24"/>
          <w:szCs w:val="24"/>
        </w:rPr>
        <w:t>erat</w:t>
      </w:r>
      <w:proofErr w:type="spellEnd"/>
      <w:r w:rsidRPr="00BC7171">
        <w:rPr>
          <w:rFonts w:cstheme="minorHAnsi"/>
          <w:i/>
          <w:iCs/>
          <w:sz w:val="24"/>
          <w:szCs w:val="24"/>
        </w:rPr>
        <w:t xml:space="preserve"> </w:t>
      </w:r>
      <w:proofErr w:type="spellStart"/>
      <w:r w:rsidRPr="00BC7171">
        <w:rPr>
          <w:rFonts w:cstheme="minorHAnsi"/>
          <w:i/>
          <w:iCs/>
          <w:sz w:val="24"/>
          <w:szCs w:val="24"/>
        </w:rPr>
        <w:t>singulum</w:t>
      </w:r>
      <w:proofErr w:type="spellEnd"/>
      <w:r w:rsidRPr="00BC7171">
        <w:rPr>
          <w:rFonts w:cstheme="minorHAnsi"/>
          <w:i/>
          <w:iCs/>
          <w:sz w:val="24"/>
          <w:szCs w:val="24"/>
        </w:rPr>
        <w:t xml:space="preserve"> </w:t>
      </w:r>
      <w:proofErr w:type="spellStart"/>
      <w:r w:rsidRPr="00BC7171">
        <w:rPr>
          <w:rFonts w:cstheme="minorHAnsi"/>
          <w:i/>
          <w:iCs/>
          <w:sz w:val="24"/>
          <w:szCs w:val="24"/>
        </w:rPr>
        <w:t>excipere</w:t>
      </w:r>
      <w:proofErr w:type="spellEnd"/>
      <w:r w:rsidRPr="00BC7171">
        <w:rPr>
          <w:rFonts w:cstheme="minorHAnsi"/>
          <w:sz w:val="24"/>
          <w:szCs w:val="24"/>
        </w:rPr>
        <w:t>. This is clearly the narrator looking back on events as he records them (or not), but why he chooses not to say more isn’t made clear, nor what he might have included had he done so. Yet Encolpius is not offering any moral judgement – good or bad - on what he sees, nor is any implied. Conte</w:t>
      </w:r>
      <w:r w:rsidR="0042453C" w:rsidRPr="00BC7171">
        <w:rPr>
          <w:rStyle w:val="FootnoteReference"/>
          <w:rFonts w:cstheme="minorHAnsi"/>
          <w:sz w:val="24"/>
          <w:szCs w:val="24"/>
        </w:rPr>
        <w:footnoteReference w:id="5"/>
      </w:r>
      <w:r w:rsidRPr="00BC7171">
        <w:rPr>
          <w:rFonts w:cstheme="minorHAnsi"/>
          <w:sz w:val="24"/>
          <w:szCs w:val="24"/>
        </w:rPr>
        <w:t xml:space="preserve"> </w:t>
      </w:r>
      <w:r w:rsidR="00AD6ED0" w:rsidRPr="00BC7171">
        <w:rPr>
          <w:rFonts w:cstheme="minorHAnsi"/>
          <w:sz w:val="24"/>
          <w:szCs w:val="24"/>
        </w:rPr>
        <w:t>(</w:t>
      </w:r>
      <w:r w:rsidRPr="00BC7171">
        <w:rPr>
          <w:rFonts w:cstheme="minorHAnsi"/>
          <w:sz w:val="24"/>
          <w:szCs w:val="24"/>
        </w:rPr>
        <w:t>1997</w:t>
      </w:r>
      <w:r w:rsidR="00AD6ED0" w:rsidRPr="00BC7171">
        <w:rPr>
          <w:rFonts w:cstheme="minorHAnsi"/>
          <w:sz w:val="24"/>
          <w:szCs w:val="24"/>
        </w:rPr>
        <w:t>)</w:t>
      </w:r>
      <w:r w:rsidRPr="00BC7171">
        <w:rPr>
          <w:rFonts w:cstheme="minorHAnsi"/>
          <w:sz w:val="24"/>
          <w:szCs w:val="24"/>
        </w:rPr>
        <w:t>, however, took the dichotomy a stage further with the idea of a ‘hidden author’, someone who is almost identical with the narrator and that through him Petronius had forged complicity with the reader to mock Encolpius.  In his review of Conte’s work Wooten</w:t>
      </w:r>
      <w:r w:rsidR="00686C84" w:rsidRPr="00BC7171">
        <w:rPr>
          <w:rStyle w:val="FootnoteReference"/>
          <w:rFonts w:cstheme="minorHAnsi"/>
          <w:sz w:val="24"/>
          <w:szCs w:val="24"/>
        </w:rPr>
        <w:footnoteReference w:id="6"/>
      </w:r>
      <w:r w:rsidRPr="00BC7171">
        <w:rPr>
          <w:rFonts w:cstheme="minorHAnsi"/>
          <w:sz w:val="24"/>
          <w:szCs w:val="24"/>
        </w:rPr>
        <w:t xml:space="preserve"> </w:t>
      </w:r>
      <w:r w:rsidR="00686C84" w:rsidRPr="00BC7171">
        <w:rPr>
          <w:rFonts w:cstheme="minorHAnsi"/>
          <w:sz w:val="24"/>
          <w:szCs w:val="24"/>
        </w:rPr>
        <w:t>(</w:t>
      </w:r>
      <w:r w:rsidRPr="00BC7171">
        <w:rPr>
          <w:rFonts w:cstheme="minorHAnsi"/>
          <w:sz w:val="24"/>
          <w:szCs w:val="24"/>
        </w:rPr>
        <w:t>1998</w:t>
      </w:r>
      <w:r w:rsidR="00686C84" w:rsidRPr="00BC7171">
        <w:rPr>
          <w:rFonts w:cstheme="minorHAnsi"/>
          <w:sz w:val="24"/>
          <w:szCs w:val="24"/>
        </w:rPr>
        <w:t>)</w:t>
      </w:r>
      <w:r w:rsidRPr="00BC7171">
        <w:rPr>
          <w:rFonts w:cstheme="minorHAnsi"/>
          <w:sz w:val="24"/>
          <w:szCs w:val="24"/>
        </w:rPr>
        <w:t xml:space="preserve"> felt this was taking it too far and that Beck’s slightly simpler proposition of actor and narrator better resolved the dichotomy. I agree. This is something which can easily become over complicated and a needless distraction, although it is a concept worthy of consideration and one which must arise in any first-person narrative as one cannot generally be involved in the action and write an account at the same time. But we must keep in mind that actor and narrator are after all the same person and that the true narrator is Petronius himself. </w:t>
      </w:r>
    </w:p>
    <w:p w14:paraId="252A362E" w14:textId="0E3956C7" w:rsidR="00470923" w:rsidRPr="00BC7171" w:rsidRDefault="00470923" w:rsidP="00470923">
      <w:pPr>
        <w:rPr>
          <w:rFonts w:cstheme="minorHAnsi"/>
          <w:sz w:val="24"/>
          <w:szCs w:val="24"/>
        </w:rPr>
      </w:pPr>
      <w:r w:rsidRPr="00BC7171">
        <w:rPr>
          <w:rFonts w:cstheme="minorHAnsi"/>
          <w:sz w:val="24"/>
          <w:szCs w:val="24"/>
        </w:rPr>
        <w:lastRenderedPageBreak/>
        <w:t xml:space="preserve">Finally, in his article on the </w:t>
      </w:r>
      <w:proofErr w:type="spellStart"/>
      <w:r w:rsidRPr="00BC7171">
        <w:rPr>
          <w:rFonts w:cstheme="minorHAnsi"/>
          <w:sz w:val="24"/>
          <w:szCs w:val="24"/>
        </w:rPr>
        <w:t>Satyrica</w:t>
      </w:r>
      <w:proofErr w:type="spellEnd"/>
      <w:r w:rsidRPr="00BC7171">
        <w:rPr>
          <w:rFonts w:cstheme="minorHAnsi"/>
          <w:sz w:val="24"/>
          <w:szCs w:val="24"/>
        </w:rPr>
        <w:t xml:space="preserve"> in The Novel in the Ancient World</w:t>
      </w:r>
      <w:r w:rsidR="00F55F61">
        <w:rPr>
          <w:rStyle w:val="FootnoteReference"/>
          <w:rFonts w:cstheme="minorHAnsi"/>
          <w:sz w:val="24"/>
          <w:szCs w:val="24"/>
        </w:rPr>
        <w:footnoteReference w:id="7"/>
      </w:r>
      <w:r w:rsidR="009918EB" w:rsidRPr="00BC7171">
        <w:rPr>
          <w:rFonts w:cstheme="minorHAnsi"/>
          <w:sz w:val="24"/>
          <w:szCs w:val="24"/>
        </w:rPr>
        <w:t xml:space="preserve"> </w:t>
      </w:r>
      <w:r w:rsidRPr="00BC7171">
        <w:rPr>
          <w:rFonts w:cstheme="minorHAnsi"/>
          <w:sz w:val="24"/>
          <w:szCs w:val="24"/>
        </w:rPr>
        <w:t xml:space="preserve">(483), Schmelling points to the difficulty of classifying the genre of the </w:t>
      </w:r>
      <w:proofErr w:type="spellStart"/>
      <w:r w:rsidRPr="00BC7171">
        <w:rPr>
          <w:rFonts w:cstheme="minorHAnsi"/>
          <w:sz w:val="24"/>
          <w:szCs w:val="24"/>
        </w:rPr>
        <w:t>Satyrica</w:t>
      </w:r>
      <w:proofErr w:type="spellEnd"/>
      <w:r w:rsidRPr="00BC7171">
        <w:rPr>
          <w:rFonts w:cstheme="minorHAnsi"/>
          <w:sz w:val="24"/>
          <w:szCs w:val="24"/>
        </w:rPr>
        <w:t>, as it is “unique in classical literature…with a genre of its own”. He describes it as “extended narrative prose fiction</w:t>
      </w:r>
      <w:proofErr w:type="gramStart"/>
      <w:r w:rsidRPr="00BC7171">
        <w:rPr>
          <w:rFonts w:cstheme="minorHAnsi"/>
          <w:sz w:val="24"/>
          <w:szCs w:val="24"/>
        </w:rPr>
        <w:t>”, but</w:t>
      </w:r>
      <w:proofErr w:type="gramEnd"/>
      <w:r w:rsidRPr="00BC7171">
        <w:rPr>
          <w:rFonts w:cstheme="minorHAnsi"/>
          <w:sz w:val="24"/>
          <w:szCs w:val="24"/>
        </w:rPr>
        <w:t xml:space="preserve"> seems to settle for ‘novel’ as a working definition, at least for its outer form, i.e. its structure, but without settling for any further category of fiction. It has elements of adventure, farce, comedy, even tragedy, though naturally if we had the complete text its genre might be more obvious. In my view, the core structure of the work is no more than a youthful escapade. The protagonists are young, variously described as </w:t>
      </w:r>
      <w:proofErr w:type="spellStart"/>
      <w:proofErr w:type="gramStart"/>
      <w:r w:rsidRPr="00BC7171">
        <w:rPr>
          <w:rFonts w:cstheme="minorHAnsi"/>
          <w:i/>
          <w:iCs/>
          <w:sz w:val="24"/>
          <w:szCs w:val="24"/>
        </w:rPr>
        <w:t>adulescens</w:t>
      </w:r>
      <w:proofErr w:type="spellEnd"/>
      <w:r w:rsidRPr="00BC7171">
        <w:rPr>
          <w:rFonts w:cstheme="minorHAnsi"/>
          <w:i/>
          <w:iCs/>
          <w:sz w:val="24"/>
          <w:szCs w:val="24"/>
        </w:rPr>
        <w:t xml:space="preserve">, </w:t>
      </w:r>
      <w:r w:rsidRPr="00BC7171">
        <w:rPr>
          <w:rFonts w:cstheme="minorHAnsi"/>
          <w:sz w:val="24"/>
          <w:szCs w:val="24"/>
        </w:rPr>
        <w:t xml:space="preserve"> </w:t>
      </w:r>
      <w:proofErr w:type="spellStart"/>
      <w:r w:rsidRPr="00BC7171">
        <w:rPr>
          <w:rFonts w:cstheme="minorHAnsi"/>
          <w:i/>
          <w:iCs/>
          <w:sz w:val="24"/>
          <w:szCs w:val="24"/>
        </w:rPr>
        <w:t>iuvenes</w:t>
      </w:r>
      <w:proofErr w:type="spellEnd"/>
      <w:proofErr w:type="gramEnd"/>
      <w:r w:rsidRPr="00BC7171">
        <w:rPr>
          <w:rFonts w:cstheme="minorHAnsi"/>
          <w:i/>
          <w:iCs/>
          <w:sz w:val="24"/>
          <w:szCs w:val="24"/>
        </w:rPr>
        <w:t xml:space="preserve"> tam </w:t>
      </w:r>
      <w:proofErr w:type="spellStart"/>
      <w:r w:rsidRPr="00BC7171">
        <w:rPr>
          <w:rFonts w:cstheme="minorHAnsi"/>
          <w:i/>
          <w:iCs/>
          <w:sz w:val="24"/>
          <w:szCs w:val="24"/>
        </w:rPr>
        <w:t>urbanos</w:t>
      </w:r>
      <w:proofErr w:type="spellEnd"/>
      <w:r w:rsidRPr="00BC7171">
        <w:rPr>
          <w:rFonts w:cstheme="minorHAnsi"/>
          <w:sz w:val="24"/>
          <w:szCs w:val="24"/>
        </w:rPr>
        <w:t xml:space="preserve"> with youthful recklessness </w:t>
      </w:r>
      <w:proofErr w:type="spellStart"/>
      <w:r w:rsidRPr="00BC7171">
        <w:rPr>
          <w:rFonts w:cstheme="minorHAnsi"/>
          <w:i/>
          <w:iCs/>
          <w:sz w:val="24"/>
          <w:szCs w:val="24"/>
        </w:rPr>
        <w:t>iuvenili</w:t>
      </w:r>
      <w:proofErr w:type="spellEnd"/>
      <w:r w:rsidRPr="00BC7171">
        <w:rPr>
          <w:rFonts w:cstheme="minorHAnsi"/>
          <w:i/>
          <w:iCs/>
          <w:sz w:val="24"/>
          <w:szCs w:val="24"/>
        </w:rPr>
        <w:t xml:space="preserve"> impulse.</w:t>
      </w:r>
      <w:r w:rsidRPr="00BC7171">
        <w:rPr>
          <w:rFonts w:cstheme="minorHAnsi"/>
          <w:sz w:val="24"/>
          <w:szCs w:val="24"/>
        </w:rPr>
        <w:t xml:space="preserve"> As an escapade it would fall under the modern genre of adventure, but with an added twist of humour: their stumbling from one situation to the next, being victims of circumstance, their apparent aimlessness and being taken advantage of. An adventure may be planned, an escapade never, not beyond the initial impetus to go. But Encolpius is passive, someone who never really initiates any action. Unlike Ulysses or Aeneas, he is not driven by the gods; he just seems to drift; hardly a true adventurer. In 27 and 28 he and his friends find themselves in the anteroom to Trimalchio’s feast, about to enter a strange house as guests of an unusual and wealthy man, one who is given to excess and great eccentricity and where things aren’t quite as they are elsewhere. Meanwhile, Encolpius continues to be what he always has been – a naïve and goggle-eyed young man adrift in the world. Our protagonists are innocents abroad, or, as Beck would have it “gaping tourists”. Perhaps is it just that Encolpius the narrator – or rather, Petronius</w:t>
      </w:r>
      <w:r w:rsidR="00014BBA">
        <w:rPr>
          <w:rFonts w:cstheme="minorHAnsi"/>
          <w:sz w:val="24"/>
          <w:szCs w:val="24"/>
        </w:rPr>
        <w:t xml:space="preserve"> the narrator</w:t>
      </w:r>
      <w:r w:rsidRPr="00BC7171">
        <w:rPr>
          <w:rFonts w:cstheme="minorHAnsi"/>
          <w:sz w:val="24"/>
          <w:szCs w:val="24"/>
        </w:rPr>
        <w:t xml:space="preserve"> – is remembering what it felt like to be young and foolish.</w:t>
      </w:r>
    </w:p>
    <w:p w14:paraId="5F6D4FA9" w14:textId="77777777" w:rsidR="00470923" w:rsidRDefault="00470923" w:rsidP="00470923"/>
    <w:p w14:paraId="51675186" w14:textId="77777777" w:rsidR="006B4C65" w:rsidRDefault="006B4C65" w:rsidP="00470923">
      <w:pPr>
        <w:rPr>
          <w:b/>
          <w:bCs/>
        </w:rPr>
      </w:pPr>
    </w:p>
    <w:p w14:paraId="77EF7F27" w14:textId="77777777" w:rsidR="006B4C65" w:rsidRDefault="006B4C65" w:rsidP="00470923">
      <w:pPr>
        <w:rPr>
          <w:b/>
          <w:bCs/>
        </w:rPr>
      </w:pPr>
    </w:p>
    <w:p w14:paraId="6C922587" w14:textId="77777777" w:rsidR="00AD6ED0" w:rsidRDefault="00AD6ED0" w:rsidP="006B4C65">
      <w:pPr>
        <w:rPr>
          <w:rFonts w:cstheme="minorHAnsi"/>
          <w:sz w:val="24"/>
          <w:szCs w:val="24"/>
        </w:rPr>
      </w:pPr>
    </w:p>
    <w:p w14:paraId="22C891EA" w14:textId="77777777" w:rsidR="00A536D9" w:rsidRDefault="00A536D9" w:rsidP="00AD6ED0">
      <w:pPr>
        <w:rPr>
          <w:b/>
          <w:bCs/>
        </w:rPr>
      </w:pPr>
    </w:p>
    <w:p w14:paraId="24718FB6" w14:textId="77777777" w:rsidR="00A536D9" w:rsidRDefault="00A536D9" w:rsidP="00AD6ED0">
      <w:pPr>
        <w:rPr>
          <w:b/>
          <w:bCs/>
        </w:rPr>
      </w:pPr>
    </w:p>
    <w:p w14:paraId="10240950" w14:textId="77777777" w:rsidR="00A536D9" w:rsidRDefault="00A536D9" w:rsidP="00AD6ED0">
      <w:pPr>
        <w:rPr>
          <w:b/>
          <w:bCs/>
        </w:rPr>
      </w:pPr>
    </w:p>
    <w:p w14:paraId="19F02EE7" w14:textId="77777777" w:rsidR="00A536D9" w:rsidRDefault="00A536D9" w:rsidP="00AD6ED0">
      <w:pPr>
        <w:rPr>
          <w:b/>
          <w:bCs/>
        </w:rPr>
      </w:pPr>
    </w:p>
    <w:p w14:paraId="06DEB133" w14:textId="77777777" w:rsidR="00A536D9" w:rsidRDefault="00A536D9" w:rsidP="00AD6ED0">
      <w:pPr>
        <w:rPr>
          <w:b/>
          <w:bCs/>
        </w:rPr>
      </w:pPr>
    </w:p>
    <w:p w14:paraId="50F320F6" w14:textId="77777777" w:rsidR="00A536D9" w:rsidRDefault="00A536D9" w:rsidP="00AD6ED0">
      <w:pPr>
        <w:rPr>
          <w:b/>
          <w:bCs/>
        </w:rPr>
      </w:pPr>
    </w:p>
    <w:p w14:paraId="4A06471C" w14:textId="77777777" w:rsidR="00A536D9" w:rsidRDefault="00A536D9" w:rsidP="00AD6ED0">
      <w:pPr>
        <w:rPr>
          <w:b/>
          <w:bCs/>
        </w:rPr>
      </w:pPr>
    </w:p>
    <w:p w14:paraId="3029193D" w14:textId="77777777" w:rsidR="00A536D9" w:rsidRDefault="00A536D9" w:rsidP="00AD6ED0">
      <w:pPr>
        <w:rPr>
          <w:b/>
          <w:bCs/>
        </w:rPr>
      </w:pPr>
    </w:p>
    <w:p w14:paraId="0557EE97" w14:textId="77777777" w:rsidR="00A536D9" w:rsidRDefault="00A536D9" w:rsidP="00AD6ED0">
      <w:pPr>
        <w:rPr>
          <w:b/>
          <w:bCs/>
        </w:rPr>
      </w:pPr>
    </w:p>
    <w:p w14:paraId="61E80A6A" w14:textId="77777777" w:rsidR="00A536D9" w:rsidRDefault="00A536D9" w:rsidP="00AD6ED0">
      <w:pPr>
        <w:rPr>
          <w:b/>
          <w:bCs/>
        </w:rPr>
      </w:pPr>
    </w:p>
    <w:p w14:paraId="6C74536A" w14:textId="0B2583AE" w:rsidR="00AD6ED0" w:rsidRPr="006B4C65" w:rsidRDefault="00AD6ED0" w:rsidP="00AD6ED0">
      <w:pPr>
        <w:rPr>
          <w:b/>
          <w:bCs/>
        </w:rPr>
      </w:pPr>
      <w:r w:rsidRPr="006B4C65">
        <w:rPr>
          <w:b/>
          <w:bCs/>
        </w:rPr>
        <w:t>BIBLIOGRAPHY</w:t>
      </w:r>
    </w:p>
    <w:p w14:paraId="21F2761E" w14:textId="77777777" w:rsidR="00AD6ED0" w:rsidRDefault="00AD6ED0" w:rsidP="006B4C65">
      <w:pPr>
        <w:rPr>
          <w:rFonts w:cstheme="minorHAnsi"/>
          <w:sz w:val="24"/>
          <w:szCs w:val="24"/>
        </w:rPr>
      </w:pPr>
    </w:p>
    <w:p w14:paraId="00AF02A8" w14:textId="3D5C5E4A" w:rsidR="006B4C65" w:rsidRDefault="001F2B4C" w:rsidP="006B4C65">
      <w:pPr>
        <w:rPr>
          <w:rFonts w:cstheme="minorHAnsi"/>
          <w:sz w:val="24"/>
          <w:szCs w:val="24"/>
        </w:rPr>
      </w:pPr>
      <w:r w:rsidRPr="0046475A">
        <w:rPr>
          <w:rFonts w:cstheme="minorHAnsi"/>
          <w:sz w:val="24"/>
          <w:szCs w:val="24"/>
        </w:rPr>
        <w:t xml:space="preserve">SCHMELING, G. </w:t>
      </w:r>
      <w:r w:rsidR="004864FB" w:rsidRPr="0046475A">
        <w:rPr>
          <w:rFonts w:cstheme="minorHAnsi"/>
          <w:sz w:val="24"/>
          <w:szCs w:val="24"/>
        </w:rPr>
        <w:t xml:space="preserve">(2020), </w:t>
      </w:r>
      <w:r w:rsidR="0085659F" w:rsidRPr="0046475A">
        <w:rPr>
          <w:rFonts w:cstheme="minorHAnsi"/>
          <w:sz w:val="24"/>
          <w:szCs w:val="24"/>
        </w:rPr>
        <w:t>(ed and trans)</w:t>
      </w:r>
      <w:r w:rsidR="0085659F" w:rsidRPr="0046475A">
        <w:rPr>
          <w:rFonts w:cstheme="minorHAnsi"/>
          <w:sz w:val="24"/>
          <w:szCs w:val="24"/>
        </w:rPr>
        <w:t xml:space="preserve"> </w:t>
      </w:r>
      <w:r w:rsidR="000E6E1E" w:rsidRPr="0046475A">
        <w:rPr>
          <w:rFonts w:cstheme="minorHAnsi"/>
          <w:i/>
          <w:iCs/>
          <w:sz w:val="24"/>
          <w:szCs w:val="24"/>
        </w:rPr>
        <w:t xml:space="preserve">Petronius Satyricon, Seneca </w:t>
      </w:r>
      <w:proofErr w:type="spellStart"/>
      <w:r w:rsidR="000E6E1E" w:rsidRPr="0046475A">
        <w:rPr>
          <w:rFonts w:cstheme="minorHAnsi"/>
          <w:i/>
          <w:iCs/>
          <w:sz w:val="24"/>
          <w:szCs w:val="24"/>
        </w:rPr>
        <w:t>Opocolocyntosis</w:t>
      </w:r>
      <w:proofErr w:type="spellEnd"/>
      <w:r w:rsidR="0085659F" w:rsidRPr="0046475A">
        <w:rPr>
          <w:rFonts w:cstheme="minorHAnsi"/>
          <w:sz w:val="24"/>
          <w:szCs w:val="24"/>
        </w:rPr>
        <w:t>,</w:t>
      </w:r>
      <w:r w:rsidR="004864FB" w:rsidRPr="0046475A">
        <w:rPr>
          <w:rFonts w:cstheme="minorHAnsi"/>
          <w:sz w:val="24"/>
          <w:szCs w:val="24"/>
        </w:rPr>
        <w:t xml:space="preserve"> </w:t>
      </w:r>
      <w:r w:rsidR="0085659F" w:rsidRPr="0046475A">
        <w:rPr>
          <w:rFonts w:cstheme="minorHAnsi"/>
          <w:sz w:val="24"/>
          <w:szCs w:val="24"/>
        </w:rPr>
        <w:t>Loeb Classical Library</w:t>
      </w:r>
      <w:r w:rsidR="006B4C65" w:rsidRPr="006B4C65">
        <w:rPr>
          <w:rFonts w:cstheme="minorHAnsi"/>
          <w:sz w:val="24"/>
          <w:szCs w:val="24"/>
        </w:rPr>
        <w:t xml:space="preserve"> </w:t>
      </w:r>
    </w:p>
    <w:p w14:paraId="622F0F21" w14:textId="77777777" w:rsidR="00826988" w:rsidRDefault="00826988" w:rsidP="00826988">
      <w:pPr>
        <w:rPr>
          <w:rFonts w:cstheme="minorHAnsi"/>
          <w:sz w:val="24"/>
          <w:szCs w:val="24"/>
        </w:rPr>
      </w:pPr>
      <w:r>
        <w:rPr>
          <w:rFonts w:cstheme="minorHAnsi"/>
          <w:sz w:val="24"/>
          <w:szCs w:val="24"/>
        </w:rPr>
        <w:t xml:space="preserve">COURTNEY, E. (ed) </w:t>
      </w:r>
      <w:r w:rsidRPr="0046475A">
        <w:rPr>
          <w:rFonts w:cstheme="minorHAnsi"/>
          <w:sz w:val="24"/>
          <w:szCs w:val="24"/>
        </w:rPr>
        <w:t xml:space="preserve">Oxford Scholarly Editions Online Petronius [Gaius Petronius Arbiter], Satyricon (AD 54 66): </w:t>
      </w:r>
      <w:r w:rsidRPr="00826988">
        <w:rPr>
          <w:rFonts w:cstheme="minorHAnsi"/>
          <w:i/>
          <w:iCs/>
          <w:sz w:val="24"/>
          <w:szCs w:val="24"/>
        </w:rPr>
        <w:t>IV The Feast of Trimalchio: A Companion to Petronius Published in print</w:t>
      </w:r>
      <w:r w:rsidRPr="0046475A">
        <w:rPr>
          <w:rFonts w:cstheme="minorHAnsi"/>
          <w:sz w:val="24"/>
          <w:szCs w:val="24"/>
        </w:rPr>
        <w:t>: 2001 Published online: (</w:t>
      </w:r>
      <w:proofErr w:type="spellStart"/>
      <w:r w:rsidRPr="0046475A">
        <w:rPr>
          <w:rFonts w:cstheme="minorHAnsi"/>
          <w:sz w:val="24"/>
          <w:szCs w:val="24"/>
        </w:rPr>
        <w:t>i</w:t>
      </w:r>
      <w:proofErr w:type="spellEnd"/>
      <w:r w:rsidRPr="0046475A">
        <w:rPr>
          <w:rFonts w:cstheme="minorHAnsi"/>
          <w:sz w:val="24"/>
          <w:szCs w:val="24"/>
        </w:rPr>
        <w:t>) 26.7–31.11 July 2016</w:t>
      </w:r>
    </w:p>
    <w:p w14:paraId="61AE9BE8" w14:textId="77777777" w:rsidR="00470923" w:rsidRPr="0046475A" w:rsidRDefault="00470923" w:rsidP="00470923">
      <w:pPr>
        <w:rPr>
          <w:rFonts w:cstheme="minorHAnsi"/>
          <w:color w:val="000000"/>
          <w:spacing w:val="-5"/>
          <w:sz w:val="24"/>
          <w:szCs w:val="24"/>
        </w:rPr>
      </w:pPr>
    </w:p>
    <w:p w14:paraId="0193637A" w14:textId="77777777" w:rsidR="00F472BE" w:rsidRDefault="00F472BE"/>
    <w:sectPr w:rsidR="00F472B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C0364C" w14:textId="77777777" w:rsidR="000337FB" w:rsidRDefault="000337FB" w:rsidP="00861B34">
      <w:pPr>
        <w:spacing w:after="0" w:line="240" w:lineRule="auto"/>
      </w:pPr>
      <w:r>
        <w:separator/>
      </w:r>
    </w:p>
  </w:endnote>
  <w:endnote w:type="continuationSeparator" w:id="0">
    <w:p w14:paraId="263BD98D" w14:textId="77777777" w:rsidR="000337FB" w:rsidRDefault="000337FB" w:rsidP="00861B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3CC98" w14:textId="77777777" w:rsidR="000337FB" w:rsidRDefault="000337FB" w:rsidP="00861B34">
      <w:pPr>
        <w:spacing w:after="0" w:line="240" w:lineRule="auto"/>
      </w:pPr>
      <w:r>
        <w:separator/>
      </w:r>
    </w:p>
  </w:footnote>
  <w:footnote w:type="continuationSeparator" w:id="0">
    <w:p w14:paraId="782804C7" w14:textId="77777777" w:rsidR="000337FB" w:rsidRDefault="000337FB" w:rsidP="00861B34">
      <w:pPr>
        <w:spacing w:after="0" w:line="240" w:lineRule="auto"/>
      </w:pPr>
      <w:r>
        <w:continuationSeparator/>
      </w:r>
    </w:p>
  </w:footnote>
  <w:footnote w:id="1">
    <w:p w14:paraId="07257F69" w14:textId="73ED86C1" w:rsidR="00861B34" w:rsidRPr="0046475A" w:rsidRDefault="00861B34" w:rsidP="00861B34">
      <w:pPr>
        <w:rPr>
          <w:rFonts w:cstheme="minorHAnsi"/>
          <w:sz w:val="24"/>
          <w:szCs w:val="24"/>
        </w:rPr>
      </w:pPr>
      <w:r>
        <w:rPr>
          <w:rStyle w:val="FootnoteReference"/>
        </w:rPr>
        <w:footnoteRef/>
      </w:r>
      <w:r>
        <w:t xml:space="preserve"> </w:t>
      </w:r>
      <w:r w:rsidRPr="0046475A">
        <w:rPr>
          <w:rFonts w:cstheme="minorHAnsi"/>
          <w:sz w:val="24"/>
          <w:szCs w:val="24"/>
        </w:rPr>
        <w:t xml:space="preserve">SEDGWICK, W.B. (ed), 1950, </w:t>
      </w:r>
      <w:r w:rsidRPr="0046475A">
        <w:rPr>
          <w:rFonts w:cstheme="minorHAnsi"/>
          <w:i/>
          <w:iCs/>
          <w:sz w:val="24"/>
          <w:szCs w:val="24"/>
        </w:rPr>
        <w:t xml:space="preserve">The Cena </w:t>
      </w:r>
      <w:proofErr w:type="spellStart"/>
      <w:r w:rsidRPr="0046475A">
        <w:rPr>
          <w:rFonts w:cstheme="minorHAnsi"/>
          <w:i/>
          <w:iCs/>
          <w:sz w:val="24"/>
          <w:szCs w:val="24"/>
        </w:rPr>
        <w:t>Trimalchionis</w:t>
      </w:r>
      <w:proofErr w:type="spellEnd"/>
      <w:r w:rsidRPr="0046475A">
        <w:rPr>
          <w:rFonts w:cstheme="minorHAnsi"/>
          <w:i/>
          <w:iCs/>
          <w:sz w:val="24"/>
          <w:szCs w:val="24"/>
        </w:rPr>
        <w:t xml:space="preserve"> of Petronius;</w:t>
      </w:r>
      <w:r w:rsidRPr="0046475A">
        <w:rPr>
          <w:rFonts w:cstheme="minorHAnsi"/>
          <w:sz w:val="24"/>
          <w:szCs w:val="24"/>
        </w:rPr>
        <w:t xml:space="preserve"> Oxford at the Clarendon Press</w:t>
      </w:r>
      <w:r>
        <w:rPr>
          <w:rFonts w:cstheme="minorHAnsi"/>
          <w:sz w:val="24"/>
          <w:szCs w:val="24"/>
        </w:rPr>
        <w:t>, 2</w:t>
      </w:r>
      <w:r w:rsidRPr="001D291D">
        <w:rPr>
          <w:rFonts w:cstheme="minorHAnsi"/>
          <w:sz w:val="24"/>
          <w:szCs w:val="24"/>
          <w:vertAlign w:val="superscript"/>
        </w:rPr>
        <w:t>nd</w:t>
      </w:r>
      <w:r>
        <w:rPr>
          <w:rFonts w:cstheme="minorHAnsi"/>
          <w:sz w:val="24"/>
          <w:szCs w:val="24"/>
        </w:rPr>
        <w:t xml:space="preserve"> edition</w:t>
      </w:r>
      <w:r>
        <w:rPr>
          <w:rFonts w:cstheme="minorHAnsi"/>
          <w:sz w:val="24"/>
          <w:szCs w:val="24"/>
        </w:rPr>
        <w:t>, p</w:t>
      </w:r>
      <w:r w:rsidR="004333FD">
        <w:rPr>
          <w:rFonts w:cstheme="minorHAnsi"/>
          <w:sz w:val="24"/>
          <w:szCs w:val="24"/>
        </w:rPr>
        <w:t>p 17-21</w:t>
      </w:r>
      <w:r w:rsidR="0072559F">
        <w:rPr>
          <w:rFonts w:cstheme="minorHAnsi"/>
          <w:sz w:val="24"/>
          <w:szCs w:val="24"/>
        </w:rPr>
        <w:t>.</w:t>
      </w:r>
    </w:p>
    <w:p w14:paraId="4DD8F3B0" w14:textId="449583EF" w:rsidR="00861B34" w:rsidRPr="00861B34" w:rsidRDefault="00861B34">
      <w:pPr>
        <w:pStyle w:val="FootnoteText"/>
      </w:pPr>
    </w:p>
  </w:footnote>
  <w:footnote w:id="2">
    <w:p w14:paraId="7E09FECD" w14:textId="6281AFD2" w:rsidR="005F28C0" w:rsidRPr="0046475A" w:rsidRDefault="005F28C0" w:rsidP="005F28C0">
      <w:pPr>
        <w:rPr>
          <w:rFonts w:cstheme="minorHAnsi"/>
          <w:sz w:val="24"/>
          <w:szCs w:val="24"/>
        </w:rPr>
      </w:pPr>
      <w:r>
        <w:rPr>
          <w:rStyle w:val="FootnoteReference"/>
        </w:rPr>
        <w:footnoteRef/>
      </w:r>
      <w:r>
        <w:t xml:space="preserve"> </w:t>
      </w:r>
      <w:r w:rsidRPr="0046475A">
        <w:rPr>
          <w:rFonts w:cstheme="minorHAnsi"/>
          <w:color w:val="010101"/>
          <w:sz w:val="24"/>
          <w:szCs w:val="24"/>
          <w:shd w:val="clear" w:color="auto" w:fill="FFFFFF"/>
        </w:rPr>
        <w:t xml:space="preserve">Schmeling, </w:t>
      </w:r>
      <w:proofErr w:type="spellStart"/>
      <w:proofErr w:type="gramStart"/>
      <w:r w:rsidRPr="0046475A">
        <w:rPr>
          <w:rFonts w:cstheme="minorHAnsi"/>
          <w:color w:val="010101"/>
          <w:sz w:val="24"/>
          <w:szCs w:val="24"/>
          <w:shd w:val="clear" w:color="auto" w:fill="FFFFFF"/>
        </w:rPr>
        <w:t>G.,‘</w:t>
      </w:r>
      <w:proofErr w:type="gramEnd"/>
      <w:r w:rsidRPr="0046475A">
        <w:rPr>
          <w:rFonts w:cstheme="minorHAnsi"/>
          <w:color w:val="010101"/>
          <w:sz w:val="24"/>
          <w:szCs w:val="24"/>
          <w:shd w:val="clear" w:color="auto" w:fill="FFFFFF"/>
        </w:rPr>
        <w:t>The</w:t>
      </w:r>
      <w:proofErr w:type="spellEnd"/>
      <w:r w:rsidRPr="0046475A">
        <w:rPr>
          <w:rFonts w:cstheme="minorHAnsi"/>
          <w:color w:val="010101"/>
          <w:sz w:val="24"/>
          <w:szCs w:val="24"/>
          <w:shd w:val="clear" w:color="auto" w:fill="FFFFFF"/>
        </w:rPr>
        <w:t> </w:t>
      </w:r>
      <w:proofErr w:type="spellStart"/>
      <w:r w:rsidRPr="0046475A">
        <w:rPr>
          <w:rFonts w:cstheme="minorHAnsi"/>
          <w:color w:val="010101"/>
          <w:sz w:val="24"/>
          <w:szCs w:val="24"/>
          <w:shd w:val="clear" w:color="auto" w:fill="FFFFFF"/>
        </w:rPr>
        <w:t>Satyrica</w:t>
      </w:r>
      <w:proofErr w:type="spellEnd"/>
      <w:r w:rsidRPr="0046475A">
        <w:rPr>
          <w:rFonts w:cstheme="minorHAnsi"/>
          <w:color w:val="010101"/>
          <w:sz w:val="24"/>
          <w:szCs w:val="24"/>
          <w:shd w:val="clear" w:color="auto" w:fill="FFFFFF"/>
        </w:rPr>
        <w:t> of Petronius’, in </w:t>
      </w:r>
      <w:r w:rsidRPr="0046475A">
        <w:rPr>
          <w:rStyle w:val="Emphasis"/>
          <w:rFonts w:cstheme="minorHAnsi"/>
          <w:color w:val="010101"/>
          <w:sz w:val="24"/>
          <w:szCs w:val="24"/>
          <w:shd w:val="clear" w:color="auto" w:fill="FFFFFF"/>
        </w:rPr>
        <w:t>The Novel in the Ancient World ed. G. Schmeling </w:t>
      </w:r>
      <w:r w:rsidRPr="0046475A">
        <w:rPr>
          <w:rFonts w:cstheme="minorHAnsi"/>
          <w:color w:val="010101"/>
          <w:sz w:val="24"/>
          <w:szCs w:val="24"/>
          <w:shd w:val="clear" w:color="auto" w:fill="FFFFFF"/>
        </w:rPr>
        <w:t>(Leiden, 1996)</w:t>
      </w:r>
      <w:r>
        <w:rPr>
          <w:rFonts w:cstheme="minorHAnsi"/>
          <w:color w:val="010101"/>
          <w:sz w:val="24"/>
          <w:szCs w:val="24"/>
          <w:shd w:val="clear" w:color="auto" w:fill="FFFFFF"/>
        </w:rPr>
        <w:t>, p484</w:t>
      </w:r>
    </w:p>
    <w:p w14:paraId="36E50695" w14:textId="6080EC17" w:rsidR="005F28C0" w:rsidRPr="005F28C0" w:rsidRDefault="005F28C0">
      <w:pPr>
        <w:pStyle w:val="FootnoteText"/>
        <w:rPr>
          <w:lang w:val="en-US"/>
        </w:rPr>
      </w:pPr>
    </w:p>
  </w:footnote>
  <w:footnote w:id="3">
    <w:p w14:paraId="39060EDB" w14:textId="77777777" w:rsidR="005F28C0" w:rsidRPr="0046475A" w:rsidRDefault="005F28C0" w:rsidP="005F28C0">
      <w:pPr>
        <w:rPr>
          <w:rFonts w:cstheme="minorHAnsi"/>
          <w:sz w:val="24"/>
          <w:szCs w:val="24"/>
        </w:rPr>
      </w:pPr>
      <w:r>
        <w:rPr>
          <w:rStyle w:val="FootnoteReference"/>
        </w:rPr>
        <w:footnoteRef/>
      </w:r>
      <w:r>
        <w:t xml:space="preserve"> </w:t>
      </w:r>
      <w:r w:rsidRPr="0046475A">
        <w:rPr>
          <w:rFonts w:cstheme="minorHAnsi"/>
          <w:sz w:val="24"/>
          <w:szCs w:val="24"/>
        </w:rPr>
        <w:t xml:space="preserve">Encolpius at the "Cena" Author(s): Roger Beck Source: </w:t>
      </w:r>
      <w:proofErr w:type="gramStart"/>
      <w:r w:rsidRPr="0046475A">
        <w:rPr>
          <w:rFonts w:cstheme="minorHAnsi"/>
          <w:sz w:val="24"/>
          <w:szCs w:val="24"/>
        </w:rPr>
        <w:t>Phoenix ,</w:t>
      </w:r>
      <w:proofErr w:type="gramEnd"/>
      <w:r w:rsidRPr="0046475A">
        <w:rPr>
          <w:rFonts w:cstheme="minorHAnsi"/>
          <w:sz w:val="24"/>
          <w:szCs w:val="24"/>
        </w:rPr>
        <w:t xml:space="preserve"> Autumn, 1975, Vol. 29, No. 3 (Autumn, 1975), pp. 271-283 Published by: Classical Association of Canada</w:t>
      </w:r>
    </w:p>
    <w:p w14:paraId="084F7AB9" w14:textId="3874B33D" w:rsidR="005F28C0" w:rsidRPr="005F28C0" w:rsidRDefault="005F28C0">
      <w:pPr>
        <w:pStyle w:val="FootnoteText"/>
      </w:pPr>
    </w:p>
  </w:footnote>
  <w:footnote w:id="4">
    <w:p w14:paraId="35FF3E9C" w14:textId="199DB29C" w:rsidR="00965B10" w:rsidRPr="0046475A" w:rsidRDefault="00965B10" w:rsidP="00965B10">
      <w:pPr>
        <w:rPr>
          <w:rFonts w:cstheme="minorHAnsi"/>
          <w:sz w:val="24"/>
          <w:szCs w:val="24"/>
        </w:rPr>
      </w:pPr>
      <w:r>
        <w:rPr>
          <w:rStyle w:val="FootnoteReference"/>
        </w:rPr>
        <w:footnoteRef/>
      </w:r>
      <w:r>
        <w:t xml:space="preserve"> </w:t>
      </w:r>
      <w:r w:rsidR="00711419">
        <w:t xml:space="preserve">BECK, R. </w:t>
      </w:r>
      <w:r w:rsidRPr="00711419">
        <w:rPr>
          <w:rFonts w:cstheme="minorHAnsi"/>
          <w:i/>
          <w:iCs/>
          <w:sz w:val="24"/>
          <w:szCs w:val="24"/>
        </w:rPr>
        <w:t>Encolpius at the "Cena"</w:t>
      </w:r>
      <w:r w:rsidR="00711419" w:rsidRPr="00711419">
        <w:rPr>
          <w:rFonts w:cstheme="minorHAnsi"/>
          <w:i/>
          <w:iCs/>
          <w:sz w:val="24"/>
          <w:szCs w:val="24"/>
        </w:rPr>
        <w:t>,</w:t>
      </w:r>
      <w:r w:rsidRPr="0046475A">
        <w:rPr>
          <w:rFonts w:cstheme="minorHAnsi"/>
          <w:sz w:val="24"/>
          <w:szCs w:val="24"/>
        </w:rPr>
        <w:t xml:space="preserve"> </w:t>
      </w:r>
      <w:proofErr w:type="gramStart"/>
      <w:r w:rsidRPr="0046475A">
        <w:rPr>
          <w:rFonts w:cstheme="minorHAnsi"/>
          <w:sz w:val="24"/>
          <w:szCs w:val="24"/>
        </w:rPr>
        <w:t>Phoenix ,</w:t>
      </w:r>
      <w:proofErr w:type="gramEnd"/>
      <w:r w:rsidRPr="0046475A">
        <w:rPr>
          <w:rFonts w:cstheme="minorHAnsi"/>
          <w:sz w:val="24"/>
          <w:szCs w:val="24"/>
        </w:rPr>
        <w:t xml:space="preserve"> Autumn, 1975, Vol. 29, No. 3 (Autumn, 1975), p</w:t>
      </w:r>
      <w:r>
        <w:rPr>
          <w:rFonts w:cstheme="minorHAnsi"/>
          <w:sz w:val="24"/>
          <w:szCs w:val="24"/>
        </w:rPr>
        <w:t>274</w:t>
      </w:r>
      <w:r w:rsidRPr="0046475A">
        <w:rPr>
          <w:rFonts w:cstheme="minorHAnsi"/>
          <w:sz w:val="24"/>
          <w:szCs w:val="24"/>
        </w:rPr>
        <w:t xml:space="preserve"> Published by: Classical Association of Canada</w:t>
      </w:r>
    </w:p>
    <w:p w14:paraId="3C061B73" w14:textId="1C11BE31" w:rsidR="00965B10" w:rsidRPr="00965B10" w:rsidRDefault="00965B10">
      <w:pPr>
        <w:pStyle w:val="FootnoteText"/>
      </w:pPr>
    </w:p>
  </w:footnote>
  <w:footnote w:id="5">
    <w:p w14:paraId="30FB1CE9" w14:textId="645B5BEA" w:rsidR="0042453C" w:rsidRPr="0046475A" w:rsidRDefault="0042453C" w:rsidP="0042453C">
      <w:pPr>
        <w:rPr>
          <w:rFonts w:cstheme="minorHAnsi"/>
          <w:color w:val="000000"/>
          <w:spacing w:val="-5"/>
          <w:sz w:val="24"/>
          <w:szCs w:val="24"/>
        </w:rPr>
      </w:pPr>
      <w:r>
        <w:rPr>
          <w:rStyle w:val="FootnoteReference"/>
        </w:rPr>
        <w:footnoteRef/>
      </w:r>
      <w:r>
        <w:t xml:space="preserve"> </w:t>
      </w:r>
      <w:r w:rsidR="00846D1B">
        <w:t xml:space="preserve">CONTE, G. </w:t>
      </w:r>
      <w:proofErr w:type="gramStart"/>
      <w:r w:rsidR="00846D1B">
        <w:t>B,  FANTHAM</w:t>
      </w:r>
      <w:proofErr w:type="gramEnd"/>
      <w:r w:rsidR="00846D1B">
        <w:t>, E.</w:t>
      </w:r>
      <w:r w:rsidR="001023A0">
        <w:t xml:space="preserve"> (trans)</w:t>
      </w:r>
      <w:r w:rsidR="00B77248">
        <w:t>:</w:t>
      </w:r>
      <w:r w:rsidR="00711419">
        <w:t xml:space="preserve"> (1975),</w:t>
      </w:r>
      <w:r w:rsidR="00846D1B">
        <w:t xml:space="preserve"> </w:t>
      </w:r>
      <w:r w:rsidRPr="0046475A">
        <w:rPr>
          <w:rStyle w:val="HTMLCite"/>
          <w:rFonts w:cstheme="minorHAnsi"/>
          <w:color w:val="000000"/>
          <w:spacing w:val="-5"/>
          <w:sz w:val="24"/>
          <w:szCs w:val="24"/>
        </w:rPr>
        <w:t>The Hidden Author: An Interpretation of Petronius's Satyricon</w:t>
      </w:r>
      <w:r w:rsidR="00711419">
        <w:rPr>
          <w:rStyle w:val="HTMLCite"/>
          <w:rFonts w:cstheme="minorHAnsi"/>
          <w:color w:val="000000"/>
          <w:spacing w:val="-5"/>
          <w:sz w:val="24"/>
          <w:szCs w:val="24"/>
        </w:rPr>
        <w:t xml:space="preserve">. </w:t>
      </w:r>
      <w:r w:rsidR="00711419">
        <w:rPr>
          <w:rStyle w:val="HTMLCite"/>
          <w:rFonts w:cstheme="minorHAnsi"/>
          <w:i w:val="0"/>
          <w:iCs w:val="0"/>
          <w:color w:val="000000"/>
          <w:spacing w:val="-5"/>
          <w:sz w:val="24"/>
          <w:szCs w:val="24"/>
        </w:rPr>
        <w:t>The University of California Press</w:t>
      </w:r>
      <w:r w:rsidRPr="0046475A">
        <w:rPr>
          <w:rFonts w:cstheme="minorHAnsi"/>
          <w:color w:val="000000"/>
          <w:spacing w:val="-5"/>
          <w:sz w:val="24"/>
          <w:szCs w:val="24"/>
        </w:rPr>
        <w:t> </w:t>
      </w:r>
    </w:p>
    <w:p w14:paraId="00BDDA66" w14:textId="2C90F642" w:rsidR="0042453C" w:rsidRPr="0042453C" w:rsidRDefault="0042453C">
      <w:pPr>
        <w:pStyle w:val="FootnoteText"/>
        <w:rPr>
          <w:lang w:val="en-US"/>
        </w:rPr>
      </w:pPr>
    </w:p>
  </w:footnote>
  <w:footnote w:id="6">
    <w:p w14:paraId="32BA35E2" w14:textId="6B022CDD" w:rsidR="002569CF" w:rsidRPr="0046475A" w:rsidRDefault="00686C84" w:rsidP="002569CF">
      <w:pPr>
        <w:spacing w:after="0" w:line="240" w:lineRule="auto"/>
        <w:rPr>
          <w:rFonts w:eastAsia="Times New Roman" w:cstheme="minorHAnsi"/>
          <w:color w:val="000000"/>
          <w:spacing w:val="-5"/>
          <w:kern w:val="0"/>
          <w:sz w:val="24"/>
          <w:szCs w:val="24"/>
          <w:lang w:eastAsia="en-GB"/>
          <w14:ligatures w14:val="none"/>
        </w:rPr>
      </w:pPr>
      <w:r>
        <w:rPr>
          <w:rStyle w:val="FootnoteReference"/>
        </w:rPr>
        <w:footnoteRef/>
      </w:r>
      <w:r>
        <w:t xml:space="preserve"> </w:t>
      </w:r>
      <w:r w:rsidR="002569CF" w:rsidRPr="0046475A">
        <w:rPr>
          <w:rFonts w:eastAsia="Times New Roman" w:cstheme="minorHAnsi"/>
          <w:color w:val="000000"/>
          <w:spacing w:val="-5"/>
          <w:kern w:val="0"/>
          <w:sz w:val="24"/>
          <w:szCs w:val="24"/>
          <w:lang w:eastAsia="en-GB"/>
          <w14:ligatures w14:val="none"/>
        </w:rPr>
        <w:t>Reviewed Work: </w:t>
      </w:r>
      <w:r w:rsidR="002569CF" w:rsidRPr="0046475A">
        <w:rPr>
          <w:rFonts w:eastAsia="Times New Roman" w:cstheme="minorHAnsi"/>
          <w:i/>
          <w:iCs/>
          <w:color w:val="000000"/>
          <w:spacing w:val="-5"/>
          <w:kern w:val="0"/>
          <w:sz w:val="24"/>
          <w:szCs w:val="24"/>
          <w:lang w:eastAsia="en-GB"/>
          <w14:ligatures w14:val="none"/>
        </w:rPr>
        <w:t>The Hidden Author: An Interpretation of Petronius's Satyricon</w:t>
      </w:r>
      <w:r w:rsidR="002569CF" w:rsidRPr="0046475A">
        <w:rPr>
          <w:rFonts w:eastAsia="Times New Roman" w:cstheme="minorHAnsi"/>
          <w:color w:val="000000"/>
          <w:spacing w:val="-5"/>
          <w:kern w:val="0"/>
          <w:sz w:val="24"/>
          <w:szCs w:val="24"/>
          <w:lang w:eastAsia="en-GB"/>
          <w14:ligatures w14:val="none"/>
        </w:rPr>
        <w:t xml:space="preserve"> by Gian Biagio Conte, Elaine </w:t>
      </w:r>
      <w:proofErr w:type="spellStart"/>
      <w:r w:rsidR="002569CF" w:rsidRPr="0046475A">
        <w:rPr>
          <w:rFonts w:eastAsia="Times New Roman" w:cstheme="minorHAnsi"/>
          <w:color w:val="000000"/>
          <w:spacing w:val="-5"/>
          <w:kern w:val="0"/>
          <w:sz w:val="24"/>
          <w:szCs w:val="24"/>
          <w:lang w:eastAsia="en-GB"/>
          <w14:ligatures w14:val="none"/>
        </w:rPr>
        <w:t>Fantham</w:t>
      </w:r>
      <w:proofErr w:type="spellEnd"/>
      <w:r w:rsidR="00E35D5F">
        <w:rPr>
          <w:rFonts w:eastAsia="Times New Roman" w:cstheme="minorHAnsi"/>
          <w:color w:val="000000"/>
          <w:spacing w:val="-5"/>
          <w:kern w:val="0"/>
          <w:sz w:val="24"/>
          <w:szCs w:val="24"/>
          <w:lang w:eastAsia="en-GB"/>
          <w14:ligatures w14:val="none"/>
        </w:rPr>
        <w:t xml:space="preserve"> (trans), </w:t>
      </w:r>
      <w:r w:rsidR="002569CF" w:rsidRPr="0046475A">
        <w:rPr>
          <w:rFonts w:eastAsia="Times New Roman" w:cstheme="minorHAnsi"/>
          <w:color w:val="000000"/>
          <w:spacing w:val="-5"/>
          <w:kern w:val="0"/>
          <w:sz w:val="24"/>
          <w:szCs w:val="24"/>
          <w:lang w:eastAsia="en-GB"/>
          <w14:ligatures w14:val="none"/>
        </w:rPr>
        <w:t>Review by: Cecil W. Wooten</w:t>
      </w:r>
    </w:p>
    <w:p w14:paraId="2CB1E131" w14:textId="77777777" w:rsidR="002569CF" w:rsidRPr="0046475A" w:rsidRDefault="002569CF" w:rsidP="002569CF">
      <w:pPr>
        <w:rPr>
          <w:rFonts w:eastAsia="Times New Roman" w:cstheme="minorHAnsi"/>
          <w:color w:val="000000"/>
          <w:spacing w:val="-5"/>
          <w:kern w:val="0"/>
          <w:sz w:val="24"/>
          <w:szCs w:val="24"/>
          <w:lang w:eastAsia="en-GB"/>
          <w14:ligatures w14:val="none"/>
        </w:rPr>
      </w:pPr>
      <w:hyperlink r:id="rId1" w:history="1">
        <w:r w:rsidRPr="0046475A">
          <w:rPr>
            <w:rFonts w:eastAsia="Times New Roman" w:cstheme="minorHAnsi"/>
            <w:i/>
            <w:iCs/>
            <w:color w:val="0000FF"/>
            <w:kern w:val="0"/>
            <w:sz w:val="24"/>
            <w:szCs w:val="24"/>
            <w:u w:val="single"/>
            <w:lang w:eastAsia="en-GB"/>
            <w14:ligatures w14:val="none"/>
          </w:rPr>
          <w:t>The American Journal of Philology</w:t>
        </w:r>
      </w:hyperlink>
      <w:r w:rsidRPr="0046475A">
        <w:rPr>
          <w:rFonts w:eastAsia="Times New Roman" w:cstheme="minorHAnsi"/>
          <w:color w:val="000000"/>
          <w:spacing w:val="-5"/>
          <w:kern w:val="0"/>
          <w:sz w:val="24"/>
          <w:szCs w:val="24"/>
          <w:lang w:eastAsia="en-GB"/>
          <w14:ligatures w14:val="none"/>
        </w:rPr>
        <w:t>, Vol. 119, No. 2 (Summer, 1998), pp. 304-307 (4 pages)</w:t>
      </w:r>
    </w:p>
    <w:p w14:paraId="1B2249C2" w14:textId="3F18D038" w:rsidR="00686C84" w:rsidRPr="00686C84" w:rsidRDefault="00686C84">
      <w:pPr>
        <w:pStyle w:val="FootnoteText"/>
        <w:rPr>
          <w:lang w:val="en-US"/>
        </w:rPr>
      </w:pPr>
    </w:p>
  </w:footnote>
  <w:footnote w:id="7">
    <w:p w14:paraId="0C00C822" w14:textId="14E987F7" w:rsidR="00F55F61" w:rsidRPr="00F55F61" w:rsidRDefault="00F55F61" w:rsidP="00F55F61">
      <w:pPr>
        <w:rPr>
          <w:sz w:val="24"/>
          <w:szCs w:val="24"/>
        </w:rPr>
      </w:pPr>
      <w:r w:rsidRPr="00F55F61">
        <w:rPr>
          <w:rStyle w:val="FootnoteReference"/>
          <w:sz w:val="24"/>
          <w:szCs w:val="24"/>
        </w:rPr>
        <w:footnoteRef/>
      </w:r>
      <w:r w:rsidRPr="00F55F61">
        <w:rPr>
          <w:sz w:val="24"/>
          <w:szCs w:val="24"/>
        </w:rPr>
        <w:t xml:space="preserve"> </w:t>
      </w:r>
      <w:r w:rsidRPr="00F55F61">
        <w:rPr>
          <w:color w:val="010101"/>
          <w:sz w:val="24"/>
          <w:szCs w:val="24"/>
          <w:shd w:val="clear" w:color="auto" w:fill="FFFFFF"/>
        </w:rPr>
        <w:t xml:space="preserve">Schmeling, </w:t>
      </w:r>
      <w:proofErr w:type="spellStart"/>
      <w:proofErr w:type="gramStart"/>
      <w:r w:rsidRPr="00F55F61">
        <w:rPr>
          <w:color w:val="010101"/>
          <w:sz w:val="24"/>
          <w:szCs w:val="24"/>
          <w:shd w:val="clear" w:color="auto" w:fill="FFFFFF"/>
        </w:rPr>
        <w:t>G.,‘</w:t>
      </w:r>
      <w:proofErr w:type="gramEnd"/>
      <w:r w:rsidRPr="00F55F61">
        <w:rPr>
          <w:color w:val="010101"/>
          <w:sz w:val="24"/>
          <w:szCs w:val="24"/>
          <w:shd w:val="clear" w:color="auto" w:fill="FFFFFF"/>
        </w:rPr>
        <w:t>The</w:t>
      </w:r>
      <w:proofErr w:type="spellEnd"/>
      <w:r w:rsidRPr="00F55F61">
        <w:rPr>
          <w:color w:val="010101"/>
          <w:sz w:val="24"/>
          <w:szCs w:val="24"/>
          <w:shd w:val="clear" w:color="auto" w:fill="FFFFFF"/>
        </w:rPr>
        <w:t> </w:t>
      </w:r>
      <w:proofErr w:type="spellStart"/>
      <w:r w:rsidRPr="00F55F61">
        <w:rPr>
          <w:color w:val="010101"/>
          <w:sz w:val="24"/>
          <w:szCs w:val="24"/>
          <w:shd w:val="clear" w:color="auto" w:fill="FFFFFF"/>
        </w:rPr>
        <w:t>Satyrica</w:t>
      </w:r>
      <w:proofErr w:type="spellEnd"/>
      <w:r w:rsidRPr="00F55F61">
        <w:rPr>
          <w:color w:val="010101"/>
          <w:sz w:val="24"/>
          <w:szCs w:val="24"/>
          <w:shd w:val="clear" w:color="auto" w:fill="FFFFFF"/>
        </w:rPr>
        <w:t> of Petronius’, in </w:t>
      </w:r>
      <w:r w:rsidRPr="00F55F61">
        <w:rPr>
          <w:rStyle w:val="Emphasis"/>
          <w:color w:val="010101"/>
          <w:sz w:val="24"/>
          <w:szCs w:val="24"/>
          <w:shd w:val="clear" w:color="auto" w:fill="FFFFFF"/>
        </w:rPr>
        <w:t>The Novel in the Ancient World ed. G. Schmeling </w:t>
      </w:r>
      <w:r w:rsidRPr="00F55F61">
        <w:rPr>
          <w:color w:val="010101"/>
          <w:sz w:val="24"/>
          <w:szCs w:val="24"/>
          <w:shd w:val="clear" w:color="auto" w:fill="FFFFFF"/>
        </w:rPr>
        <w:t>(Leiden, 1996)</w:t>
      </w:r>
      <w:r w:rsidRPr="00F55F61">
        <w:rPr>
          <w:color w:val="010101"/>
          <w:sz w:val="24"/>
          <w:szCs w:val="24"/>
          <w:shd w:val="clear" w:color="auto" w:fill="FFFFFF"/>
        </w:rPr>
        <w:t>, p483</w:t>
      </w:r>
    </w:p>
    <w:p w14:paraId="526EF4BF" w14:textId="150A69DD" w:rsidR="00F55F61" w:rsidRPr="00F55F61" w:rsidRDefault="00F55F61">
      <w:pPr>
        <w:pStyle w:val="FootnoteText"/>
        <w:rPr>
          <w:lang w:val="en-US"/>
        </w:rPr>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866"/>
    <w:rsid w:val="00000BF8"/>
    <w:rsid w:val="00014BBA"/>
    <w:rsid w:val="00030FBC"/>
    <w:rsid w:val="000337FB"/>
    <w:rsid w:val="00094D36"/>
    <w:rsid w:val="000E6E1E"/>
    <w:rsid w:val="001023A0"/>
    <w:rsid w:val="001720A0"/>
    <w:rsid w:val="001D291D"/>
    <w:rsid w:val="001F2B4C"/>
    <w:rsid w:val="002569CF"/>
    <w:rsid w:val="003D6CB4"/>
    <w:rsid w:val="0042453C"/>
    <w:rsid w:val="004333FD"/>
    <w:rsid w:val="0046475A"/>
    <w:rsid w:val="00470923"/>
    <w:rsid w:val="004864FB"/>
    <w:rsid w:val="00564314"/>
    <w:rsid w:val="005B7866"/>
    <w:rsid w:val="005F28C0"/>
    <w:rsid w:val="0060714B"/>
    <w:rsid w:val="00686C84"/>
    <w:rsid w:val="006B4C65"/>
    <w:rsid w:val="00711419"/>
    <w:rsid w:val="0072559F"/>
    <w:rsid w:val="0074198A"/>
    <w:rsid w:val="00826988"/>
    <w:rsid w:val="00846D1B"/>
    <w:rsid w:val="0085659F"/>
    <w:rsid w:val="00861B34"/>
    <w:rsid w:val="00965B10"/>
    <w:rsid w:val="0099040E"/>
    <w:rsid w:val="009918EB"/>
    <w:rsid w:val="00A536D9"/>
    <w:rsid w:val="00AD6ED0"/>
    <w:rsid w:val="00AE3FB2"/>
    <w:rsid w:val="00B46B3B"/>
    <w:rsid w:val="00B77248"/>
    <w:rsid w:val="00BC7171"/>
    <w:rsid w:val="00BD423D"/>
    <w:rsid w:val="00E220F2"/>
    <w:rsid w:val="00E35D5F"/>
    <w:rsid w:val="00E54E06"/>
    <w:rsid w:val="00F472BE"/>
    <w:rsid w:val="00F55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CBAE51"/>
  <w15:chartTrackingRefBased/>
  <w15:docId w15:val="{A2F2838D-613F-4DF5-8292-B830E95886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092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TMLCite">
    <w:name w:val="HTML Cite"/>
    <w:basedOn w:val="DefaultParagraphFont"/>
    <w:uiPriority w:val="99"/>
    <w:semiHidden/>
    <w:unhideWhenUsed/>
    <w:rsid w:val="00470923"/>
    <w:rPr>
      <w:i/>
      <w:iCs/>
    </w:rPr>
  </w:style>
  <w:style w:type="character" w:styleId="Emphasis">
    <w:name w:val="Emphasis"/>
    <w:basedOn w:val="DefaultParagraphFont"/>
    <w:uiPriority w:val="20"/>
    <w:qFormat/>
    <w:rsid w:val="00470923"/>
    <w:rPr>
      <w:i/>
      <w:iCs/>
    </w:rPr>
  </w:style>
  <w:style w:type="paragraph" w:styleId="FootnoteText">
    <w:name w:val="footnote text"/>
    <w:basedOn w:val="Normal"/>
    <w:link w:val="FootnoteTextChar"/>
    <w:uiPriority w:val="99"/>
    <w:semiHidden/>
    <w:unhideWhenUsed/>
    <w:rsid w:val="00861B3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61B34"/>
    <w:rPr>
      <w:sz w:val="20"/>
      <w:szCs w:val="20"/>
    </w:rPr>
  </w:style>
  <w:style w:type="character" w:styleId="FootnoteReference">
    <w:name w:val="footnote reference"/>
    <w:basedOn w:val="DefaultParagraphFont"/>
    <w:uiPriority w:val="99"/>
    <w:semiHidden/>
    <w:unhideWhenUsed/>
    <w:rsid w:val="00861B3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ezproxy.uwtsd.ac.uk/journal/amerjphi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E2768E-7240-418E-A5C3-8EBBEDE2A0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TotalTime>
  <Pages>5</Pages>
  <Words>1635</Words>
  <Characters>9326</Characters>
  <Application>Microsoft Office Word</Application>
  <DocSecurity>0</DocSecurity>
  <Lines>77</Lines>
  <Paragraphs>21</Paragraphs>
  <ScaleCrop>false</ScaleCrop>
  <Company/>
  <LinksUpToDate>false</LinksUpToDate>
  <CharactersWithSpaces>10940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gilbert</dc:creator>
  <cp:keywords/>
  <dc:description/>
  <cp:lastModifiedBy>tim gilbert</cp:lastModifiedBy>
  <cp:revision>42</cp:revision>
  <dcterms:created xsi:type="dcterms:W3CDTF">2024-02-23T19:01:00Z</dcterms:created>
  <dcterms:modified xsi:type="dcterms:W3CDTF">2024-02-23T19:35:00Z</dcterms:modified>
</cp:coreProperties>
</file>