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b w:val="1"/>
          <w:sz w:val="30"/>
          <w:szCs w:val="30"/>
          <w:u w:val="single"/>
        </w:rPr>
      </w:pPr>
      <w:r w:rsidDel="00000000" w:rsidR="00000000" w:rsidRPr="00000000">
        <w:rPr>
          <w:rtl w:val="0"/>
        </w:rPr>
      </w:r>
    </w:p>
    <w:p w:rsidR="00000000" w:rsidDel="00000000" w:rsidP="00000000" w:rsidRDefault="00000000" w:rsidRPr="00000000" w14:paraId="00000002">
      <w:pPr>
        <w:jc w:val="left"/>
        <w:rPr>
          <w:b w:val="1"/>
          <w:sz w:val="30"/>
          <w:szCs w:val="30"/>
          <w:u w:val="single"/>
        </w:rPr>
      </w:pPr>
      <w:r w:rsidDel="00000000" w:rsidR="00000000" w:rsidRPr="00000000">
        <w:rPr>
          <w:rtl w:val="0"/>
        </w:rPr>
      </w:r>
    </w:p>
    <w:p w:rsidR="00000000" w:rsidDel="00000000" w:rsidP="00000000" w:rsidRDefault="00000000" w:rsidRPr="00000000" w14:paraId="00000003">
      <w:pPr>
        <w:jc w:val="center"/>
        <w:rPr>
          <w:b w:val="1"/>
          <w:sz w:val="30"/>
          <w:szCs w:val="30"/>
          <w:u w:val="single"/>
        </w:rPr>
      </w:pPr>
      <w:r w:rsidDel="00000000" w:rsidR="00000000" w:rsidRPr="00000000">
        <w:rPr>
          <w:rtl w:val="0"/>
        </w:rPr>
      </w:r>
    </w:p>
    <w:p w:rsidR="00000000" w:rsidDel="00000000" w:rsidP="00000000" w:rsidRDefault="00000000" w:rsidRPr="00000000" w14:paraId="00000004">
      <w:pPr>
        <w:jc w:val="center"/>
        <w:rPr>
          <w:b w:val="1"/>
          <w:sz w:val="28"/>
          <w:szCs w:val="28"/>
        </w:rPr>
      </w:pPr>
      <w:r w:rsidDel="00000000" w:rsidR="00000000" w:rsidRPr="00000000">
        <w:rPr>
          <w:b w:val="1"/>
          <w:sz w:val="28"/>
          <w:szCs w:val="28"/>
          <w:rtl w:val="0"/>
        </w:rPr>
        <w:t xml:space="preserve">Module: Forensic Recovery and Examination</w:t>
      </w:r>
    </w:p>
    <w:p w:rsidR="00000000" w:rsidDel="00000000" w:rsidP="00000000" w:rsidRDefault="00000000" w:rsidRPr="00000000" w14:paraId="00000005">
      <w:pPr>
        <w:jc w:val="left"/>
        <w:rPr>
          <w:b w:val="1"/>
          <w:sz w:val="28"/>
          <w:szCs w:val="28"/>
        </w:rPr>
      </w:pPr>
      <w:r w:rsidDel="00000000" w:rsidR="00000000" w:rsidRPr="00000000">
        <w:rPr>
          <w:rtl w:val="0"/>
        </w:rPr>
      </w:r>
    </w:p>
    <w:p w:rsidR="00000000" w:rsidDel="00000000" w:rsidP="00000000" w:rsidRDefault="00000000" w:rsidRPr="00000000" w14:paraId="00000006">
      <w:pPr>
        <w:jc w:val="left"/>
        <w:rPr>
          <w:b w:val="1"/>
          <w:sz w:val="28"/>
          <w:szCs w:val="28"/>
        </w:rPr>
      </w:pPr>
      <w:r w:rsidDel="00000000" w:rsidR="00000000" w:rsidRPr="00000000">
        <w:rPr>
          <w:rtl w:val="0"/>
        </w:rPr>
      </w:r>
    </w:p>
    <w:p w:rsidR="00000000" w:rsidDel="00000000" w:rsidP="00000000" w:rsidRDefault="00000000" w:rsidRPr="00000000" w14:paraId="00000007">
      <w:pPr>
        <w:jc w:val="left"/>
        <w:rPr>
          <w:b w:val="1"/>
          <w:sz w:val="28"/>
          <w:szCs w:val="28"/>
        </w:rPr>
      </w:pPr>
      <w:r w:rsidDel="00000000" w:rsidR="00000000" w:rsidRPr="00000000">
        <w:rPr>
          <w:rtl w:val="0"/>
        </w:rPr>
      </w:r>
    </w:p>
    <w:p w:rsidR="00000000" w:rsidDel="00000000" w:rsidP="00000000" w:rsidRDefault="00000000" w:rsidRPr="00000000" w14:paraId="00000008">
      <w:pPr>
        <w:jc w:val="left"/>
        <w:rPr>
          <w:b w:val="1"/>
          <w:sz w:val="28"/>
          <w:szCs w:val="28"/>
        </w:rPr>
      </w:pPr>
      <w:r w:rsidDel="00000000" w:rsidR="00000000" w:rsidRPr="00000000">
        <w:rPr>
          <w:rtl w:val="0"/>
        </w:rPr>
      </w:r>
    </w:p>
    <w:p w:rsidR="00000000" w:rsidDel="00000000" w:rsidP="00000000" w:rsidRDefault="00000000" w:rsidRPr="00000000" w14:paraId="00000009">
      <w:pPr>
        <w:jc w:val="left"/>
        <w:rPr>
          <w:b w:val="1"/>
          <w:sz w:val="28"/>
          <w:szCs w:val="28"/>
        </w:rPr>
      </w:pPr>
      <w:r w:rsidDel="00000000" w:rsidR="00000000" w:rsidRPr="00000000">
        <w:rPr>
          <w:rtl w:val="0"/>
        </w:rPr>
      </w:r>
    </w:p>
    <w:p w:rsidR="00000000" w:rsidDel="00000000" w:rsidP="00000000" w:rsidRDefault="00000000" w:rsidRPr="00000000" w14:paraId="0000000A">
      <w:pPr>
        <w:ind w:left="540" w:firstLine="0"/>
        <w:jc w:val="center"/>
        <w:rPr>
          <w:b w:val="1"/>
          <w:sz w:val="28"/>
          <w:szCs w:val="28"/>
        </w:rPr>
      </w:pPr>
      <w:r w:rsidDel="00000000" w:rsidR="00000000" w:rsidRPr="00000000">
        <w:rPr>
          <w:b w:val="1"/>
          <w:sz w:val="28"/>
          <w:szCs w:val="28"/>
          <w:rtl w:val="0"/>
        </w:rPr>
        <w:t xml:space="preserve">Date: 26/02/2022</w:t>
      </w:r>
    </w:p>
    <w:p w:rsidR="00000000" w:rsidDel="00000000" w:rsidP="00000000" w:rsidRDefault="00000000" w:rsidRPr="00000000" w14:paraId="0000000B">
      <w:pPr>
        <w:jc w:val="center"/>
        <w:rPr>
          <w:b w:val="1"/>
          <w:sz w:val="28"/>
          <w:szCs w:val="28"/>
        </w:rPr>
      </w:pPr>
      <w:r w:rsidDel="00000000" w:rsidR="00000000" w:rsidRPr="00000000">
        <w:rPr>
          <w:rtl w:val="0"/>
        </w:rPr>
      </w:r>
    </w:p>
    <w:p w:rsidR="00000000" w:rsidDel="00000000" w:rsidP="00000000" w:rsidRDefault="00000000" w:rsidRPr="00000000" w14:paraId="0000000C">
      <w:pPr>
        <w:jc w:val="center"/>
        <w:rPr>
          <w:b w:val="1"/>
          <w:sz w:val="28"/>
          <w:szCs w:val="28"/>
        </w:rPr>
      </w:pPr>
      <w:r w:rsidDel="00000000" w:rsidR="00000000" w:rsidRPr="00000000">
        <w:rPr>
          <w:rtl w:val="0"/>
        </w:rPr>
      </w:r>
    </w:p>
    <w:p w:rsidR="00000000" w:rsidDel="00000000" w:rsidP="00000000" w:rsidRDefault="00000000" w:rsidRPr="00000000" w14:paraId="0000000D">
      <w:pPr>
        <w:jc w:val="left"/>
        <w:rPr>
          <w:b w:val="1"/>
          <w:sz w:val="28"/>
          <w:szCs w:val="28"/>
        </w:rPr>
      </w:pPr>
      <w:r w:rsidDel="00000000" w:rsidR="00000000" w:rsidRPr="00000000">
        <w:rPr>
          <w:rtl w:val="0"/>
        </w:rPr>
      </w:r>
    </w:p>
    <w:p w:rsidR="00000000" w:rsidDel="00000000" w:rsidP="00000000" w:rsidRDefault="00000000" w:rsidRPr="00000000" w14:paraId="0000000E">
      <w:pPr>
        <w:jc w:val="left"/>
        <w:rPr>
          <w:b w:val="1"/>
          <w:sz w:val="28"/>
          <w:szCs w:val="28"/>
        </w:rPr>
      </w:pPr>
      <w:r w:rsidDel="00000000" w:rsidR="00000000" w:rsidRPr="00000000">
        <w:rPr>
          <w:rtl w:val="0"/>
        </w:rPr>
      </w:r>
    </w:p>
    <w:p w:rsidR="00000000" w:rsidDel="00000000" w:rsidP="00000000" w:rsidRDefault="00000000" w:rsidRPr="00000000" w14:paraId="0000000F">
      <w:pPr>
        <w:jc w:val="center"/>
        <w:rPr>
          <w:b w:val="1"/>
          <w:sz w:val="28"/>
          <w:szCs w:val="28"/>
        </w:rPr>
      </w:pPr>
      <w:r w:rsidDel="00000000" w:rsidR="00000000" w:rsidRPr="00000000">
        <w:rPr>
          <w:rtl w:val="0"/>
        </w:rPr>
      </w:r>
    </w:p>
    <w:p w:rsidR="00000000" w:rsidDel="00000000" w:rsidP="00000000" w:rsidRDefault="00000000" w:rsidRPr="00000000" w14:paraId="00000010">
      <w:pPr>
        <w:jc w:val="center"/>
        <w:rPr>
          <w:b w:val="1"/>
          <w:sz w:val="28"/>
          <w:szCs w:val="28"/>
        </w:rPr>
      </w:pPr>
      <w:r w:rsidDel="00000000" w:rsidR="00000000" w:rsidRPr="00000000">
        <w:rPr>
          <w:b w:val="1"/>
          <w:sz w:val="28"/>
          <w:szCs w:val="28"/>
          <w:rtl w:val="0"/>
        </w:rPr>
        <w:t xml:space="preserve">Student ID/ number: Dariel Tunay/ 1900875</w:t>
      </w:r>
    </w:p>
    <w:p w:rsidR="00000000" w:rsidDel="00000000" w:rsidP="00000000" w:rsidRDefault="00000000" w:rsidRPr="00000000" w14:paraId="00000011">
      <w:pPr>
        <w:jc w:val="center"/>
        <w:rPr>
          <w:b w:val="1"/>
          <w:sz w:val="28"/>
          <w:szCs w:val="28"/>
        </w:rPr>
      </w:pPr>
      <w:r w:rsidDel="00000000" w:rsidR="00000000" w:rsidRPr="00000000">
        <w:rPr>
          <w:rtl w:val="0"/>
        </w:rPr>
      </w:r>
    </w:p>
    <w:p w:rsidR="00000000" w:rsidDel="00000000" w:rsidP="00000000" w:rsidRDefault="00000000" w:rsidRPr="00000000" w14:paraId="00000012">
      <w:pPr>
        <w:jc w:val="center"/>
        <w:rPr>
          <w:b w:val="1"/>
          <w:sz w:val="28"/>
          <w:szCs w:val="28"/>
        </w:rPr>
      </w:pPr>
      <w:r w:rsidDel="00000000" w:rsidR="00000000" w:rsidRPr="00000000">
        <w:rPr>
          <w:rtl w:val="0"/>
        </w:rPr>
      </w:r>
    </w:p>
    <w:p w:rsidR="00000000" w:rsidDel="00000000" w:rsidP="00000000" w:rsidRDefault="00000000" w:rsidRPr="00000000" w14:paraId="00000013">
      <w:pPr>
        <w:jc w:val="left"/>
        <w:rPr>
          <w:b w:val="1"/>
          <w:sz w:val="28"/>
          <w:szCs w:val="28"/>
        </w:rPr>
      </w:pPr>
      <w:r w:rsidDel="00000000" w:rsidR="00000000" w:rsidRPr="00000000">
        <w:rPr>
          <w:rtl w:val="0"/>
        </w:rPr>
      </w:r>
    </w:p>
    <w:p w:rsidR="00000000" w:rsidDel="00000000" w:rsidP="00000000" w:rsidRDefault="00000000" w:rsidRPr="00000000" w14:paraId="00000014">
      <w:pPr>
        <w:jc w:val="left"/>
        <w:rPr>
          <w:b w:val="1"/>
          <w:sz w:val="28"/>
          <w:szCs w:val="28"/>
        </w:rPr>
      </w:pPr>
      <w:r w:rsidDel="00000000" w:rsidR="00000000" w:rsidRPr="00000000">
        <w:rPr>
          <w:rtl w:val="0"/>
        </w:rPr>
      </w:r>
    </w:p>
    <w:p w:rsidR="00000000" w:rsidDel="00000000" w:rsidP="00000000" w:rsidRDefault="00000000" w:rsidRPr="00000000" w14:paraId="00000015">
      <w:pPr>
        <w:jc w:val="left"/>
        <w:rPr>
          <w:b w:val="1"/>
          <w:sz w:val="28"/>
          <w:szCs w:val="28"/>
        </w:rPr>
      </w:pPr>
      <w:r w:rsidDel="00000000" w:rsidR="00000000" w:rsidRPr="00000000">
        <w:rPr>
          <w:rtl w:val="0"/>
        </w:rPr>
      </w:r>
    </w:p>
    <w:p w:rsidR="00000000" w:rsidDel="00000000" w:rsidP="00000000" w:rsidRDefault="00000000" w:rsidRPr="00000000" w14:paraId="00000016">
      <w:pPr>
        <w:jc w:val="center"/>
        <w:rPr>
          <w:b w:val="1"/>
          <w:sz w:val="28"/>
          <w:szCs w:val="28"/>
        </w:rPr>
      </w:pPr>
      <w:r w:rsidDel="00000000" w:rsidR="00000000" w:rsidRPr="00000000">
        <w:rPr>
          <w:b w:val="1"/>
          <w:sz w:val="28"/>
          <w:szCs w:val="28"/>
          <w:rtl w:val="0"/>
        </w:rPr>
        <w:t xml:space="preserve">Lecturer: Rhiannon Lloyd</w:t>
      </w:r>
    </w:p>
    <w:p w:rsidR="00000000" w:rsidDel="00000000" w:rsidP="00000000" w:rsidRDefault="00000000" w:rsidRPr="00000000" w14:paraId="00000017">
      <w:pPr>
        <w:jc w:val="center"/>
        <w:rPr>
          <w:b w:val="1"/>
          <w:sz w:val="28"/>
          <w:szCs w:val="28"/>
        </w:rPr>
      </w:pPr>
      <w:r w:rsidDel="00000000" w:rsidR="00000000" w:rsidRPr="00000000">
        <w:rPr>
          <w:rtl w:val="0"/>
        </w:rPr>
      </w:r>
    </w:p>
    <w:p w:rsidR="00000000" w:rsidDel="00000000" w:rsidP="00000000" w:rsidRDefault="00000000" w:rsidRPr="00000000" w14:paraId="00000018">
      <w:pPr>
        <w:jc w:val="center"/>
        <w:rPr>
          <w:b w:val="1"/>
          <w:sz w:val="28"/>
          <w:szCs w:val="28"/>
        </w:rPr>
      </w:pPr>
      <w:r w:rsidDel="00000000" w:rsidR="00000000" w:rsidRPr="00000000">
        <w:rPr>
          <w:rtl w:val="0"/>
        </w:rPr>
      </w:r>
    </w:p>
    <w:p w:rsidR="00000000" w:rsidDel="00000000" w:rsidP="00000000" w:rsidRDefault="00000000" w:rsidRPr="00000000" w14:paraId="00000019">
      <w:pPr>
        <w:jc w:val="center"/>
        <w:rPr>
          <w:b w:val="1"/>
          <w:sz w:val="28"/>
          <w:szCs w:val="28"/>
        </w:rPr>
      </w:pPr>
      <w:r w:rsidDel="00000000" w:rsidR="00000000" w:rsidRPr="00000000">
        <w:rPr>
          <w:rtl w:val="0"/>
        </w:rPr>
      </w:r>
    </w:p>
    <w:p w:rsidR="00000000" w:rsidDel="00000000" w:rsidP="00000000" w:rsidRDefault="00000000" w:rsidRPr="00000000" w14:paraId="0000001A">
      <w:pPr>
        <w:jc w:val="center"/>
        <w:rPr>
          <w:b w:val="1"/>
          <w:sz w:val="28"/>
          <w:szCs w:val="28"/>
        </w:rPr>
      </w:pPr>
      <w:r w:rsidDel="00000000" w:rsidR="00000000" w:rsidRPr="00000000">
        <w:rPr>
          <w:rtl w:val="0"/>
        </w:rPr>
      </w:r>
    </w:p>
    <w:p w:rsidR="00000000" w:rsidDel="00000000" w:rsidP="00000000" w:rsidRDefault="00000000" w:rsidRPr="00000000" w14:paraId="0000001B">
      <w:pPr>
        <w:jc w:val="left"/>
        <w:rPr>
          <w:b w:val="1"/>
          <w:sz w:val="28"/>
          <w:szCs w:val="28"/>
        </w:rPr>
      </w:pPr>
      <w:r w:rsidDel="00000000" w:rsidR="00000000" w:rsidRPr="00000000">
        <w:rPr>
          <w:rtl w:val="0"/>
        </w:rPr>
      </w:r>
    </w:p>
    <w:p w:rsidR="00000000" w:rsidDel="00000000" w:rsidP="00000000" w:rsidRDefault="00000000" w:rsidRPr="00000000" w14:paraId="0000001C">
      <w:pPr>
        <w:jc w:val="center"/>
        <w:rPr>
          <w:b w:val="1"/>
          <w:sz w:val="28"/>
          <w:szCs w:val="28"/>
        </w:rPr>
      </w:pPr>
      <w:r w:rsidDel="00000000" w:rsidR="00000000" w:rsidRPr="00000000">
        <w:rPr>
          <w:rtl w:val="0"/>
        </w:rPr>
      </w:r>
    </w:p>
    <w:p w:rsidR="00000000" w:rsidDel="00000000" w:rsidP="00000000" w:rsidRDefault="00000000" w:rsidRPr="00000000" w14:paraId="0000001D">
      <w:pPr>
        <w:jc w:val="center"/>
        <w:rPr>
          <w:b w:val="1"/>
          <w:sz w:val="28"/>
          <w:szCs w:val="28"/>
        </w:rPr>
      </w:pPr>
      <w:r w:rsidDel="00000000" w:rsidR="00000000" w:rsidRPr="00000000">
        <w:rPr>
          <w:b w:val="1"/>
          <w:sz w:val="28"/>
          <w:szCs w:val="28"/>
          <w:rtl w:val="0"/>
        </w:rPr>
        <w:t xml:space="preserve">Module code:  BMPS6009</w:t>
      </w:r>
    </w:p>
    <w:p w:rsidR="00000000" w:rsidDel="00000000" w:rsidP="00000000" w:rsidRDefault="00000000" w:rsidRPr="00000000" w14:paraId="0000001E">
      <w:pPr>
        <w:jc w:val="center"/>
        <w:rPr>
          <w:b w:val="1"/>
          <w:sz w:val="28"/>
          <w:szCs w:val="28"/>
        </w:rPr>
      </w:pPr>
      <w:r w:rsidDel="00000000" w:rsidR="00000000" w:rsidRPr="00000000">
        <w:rPr>
          <w:rtl w:val="0"/>
        </w:rPr>
      </w:r>
    </w:p>
    <w:p w:rsidR="00000000" w:rsidDel="00000000" w:rsidP="00000000" w:rsidRDefault="00000000" w:rsidRPr="00000000" w14:paraId="0000001F">
      <w:pPr>
        <w:jc w:val="left"/>
        <w:rPr>
          <w:b w:val="1"/>
          <w:sz w:val="28"/>
          <w:szCs w:val="28"/>
        </w:rPr>
      </w:pPr>
      <w:r w:rsidDel="00000000" w:rsidR="00000000" w:rsidRPr="00000000">
        <w:rPr>
          <w:rtl w:val="0"/>
        </w:rPr>
      </w:r>
    </w:p>
    <w:p w:rsidR="00000000" w:rsidDel="00000000" w:rsidP="00000000" w:rsidRDefault="00000000" w:rsidRPr="00000000" w14:paraId="00000020">
      <w:pPr>
        <w:jc w:val="left"/>
        <w:rPr>
          <w:b w:val="1"/>
          <w:sz w:val="28"/>
          <w:szCs w:val="28"/>
        </w:rPr>
      </w:pPr>
      <w:r w:rsidDel="00000000" w:rsidR="00000000" w:rsidRPr="00000000">
        <w:rPr>
          <w:rtl w:val="0"/>
        </w:rPr>
      </w:r>
    </w:p>
    <w:p w:rsidR="00000000" w:rsidDel="00000000" w:rsidP="00000000" w:rsidRDefault="00000000" w:rsidRPr="00000000" w14:paraId="00000021">
      <w:pPr>
        <w:jc w:val="center"/>
        <w:rPr>
          <w:b w:val="1"/>
          <w:sz w:val="28"/>
          <w:szCs w:val="28"/>
          <w:u w:val="single"/>
        </w:rPr>
      </w:pPr>
      <w:r w:rsidDel="00000000" w:rsidR="00000000" w:rsidRPr="00000000">
        <w:rPr>
          <w:rtl w:val="0"/>
        </w:rPr>
      </w:r>
    </w:p>
    <w:p w:rsidR="00000000" w:rsidDel="00000000" w:rsidP="00000000" w:rsidRDefault="00000000" w:rsidRPr="00000000" w14:paraId="00000022">
      <w:pPr>
        <w:spacing w:line="480" w:lineRule="auto"/>
        <w:jc w:val="center"/>
        <w:rPr>
          <w:b w:val="1"/>
          <w:sz w:val="28"/>
          <w:szCs w:val="28"/>
          <w:u w:val="single"/>
        </w:rPr>
      </w:pPr>
      <w:r w:rsidDel="00000000" w:rsidR="00000000" w:rsidRPr="00000000">
        <w:rPr>
          <w:rtl w:val="0"/>
        </w:rPr>
      </w:r>
    </w:p>
    <w:p w:rsidR="00000000" w:rsidDel="00000000" w:rsidP="00000000" w:rsidRDefault="00000000" w:rsidRPr="00000000" w14:paraId="00000023">
      <w:pPr>
        <w:spacing w:line="480" w:lineRule="auto"/>
        <w:jc w:val="center"/>
        <w:rPr>
          <w:b w:val="1"/>
          <w:sz w:val="32"/>
          <w:szCs w:val="32"/>
          <w:u w:val="single"/>
        </w:rPr>
      </w:pPr>
      <w:r w:rsidDel="00000000" w:rsidR="00000000" w:rsidRPr="00000000">
        <w:rPr>
          <w:b w:val="1"/>
          <w:sz w:val="32"/>
          <w:szCs w:val="32"/>
          <w:u w:val="single"/>
          <w:rtl w:val="0"/>
        </w:rPr>
        <w:t xml:space="preserve">Forensic Recovery and Examination</w:t>
      </w:r>
    </w:p>
    <w:p w:rsidR="00000000" w:rsidDel="00000000" w:rsidP="00000000" w:rsidRDefault="00000000" w:rsidRPr="00000000" w14:paraId="00000024">
      <w:pPr>
        <w:spacing w:line="480" w:lineRule="auto"/>
        <w:jc w:val="center"/>
        <w:rPr>
          <w:b w:val="1"/>
          <w:sz w:val="32"/>
          <w:szCs w:val="32"/>
          <w:u w:val="single"/>
        </w:rPr>
      </w:pPr>
      <w:r w:rsidDel="00000000" w:rsidR="00000000" w:rsidRPr="00000000">
        <w:rPr>
          <w:rtl w:val="0"/>
        </w:rPr>
      </w:r>
    </w:p>
    <w:p w:rsidR="00000000" w:rsidDel="00000000" w:rsidP="00000000" w:rsidRDefault="00000000" w:rsidRPr="00000000" w14:paraId="00000025">
      <w:pPr>
        <w:spacing w:after="240" w:before="240" w:line="480" w:lineRule="auto"/>
        <w:rPr>
          <w:sz w:val="24"/>
          <w:szCs w:val="24"/>
        </w:rPr>
      </w:pPr>
      <w:r w:rsidDel="00000000" w:rsidR="00000000" w:rsidRPr="00000000">
        <w:rPr>
          <w:rtl w:val="0"/>
        </w:rPr>
      </w:r>
    </w:p>
    <w:p w:rsidR="00000000" w:rsidDel="00000000" w:rsidP="00000000" w:rsidRDefault="00000000" w:rsidRPr="00000000" w14:paraId="00000026">
      <w:pPr>
        <w:spacing w:after="240" w:before="240" w:line="480" w:lineRule="auto"/>
        <w:rPr>
          <w:sz w:val="24"/>
          <w:szCs w:val="24"/>
        </w:rPr>
      </w:pPr>
      <w:r w:rsidDel="00000000" w:rsidR="00000000" w:rsidRPr="00000000">
        <w:rPr>
          <w:sz w:val="24"/>
          <w:szCs w:val="24"/>
          <w:rtl w:val="0"/>
        </w:rPr>
        <w:t xml:space="preserve">At a crime scene, the first person to attend also known as the ‘First Attending Officer’ (FOA) has a major role in order to assess and preserve the crime scene for it to be further investigated. The role of the First Attending Officer is of utmost importance as Lingwood J. et al. (2015) states that there are many procedures that must be carried out and followed in a professional manner in order to not disturb the scene by contaminating or disrupting it for the best evidence to be found. Forensics (2022) articulates that the arrival of the First Attending Officer at the crime scene is crucial as they have to take control and have to assess the situation, preserving any evidence and it even includes engaging with anyone that is present at the crime scene as they are potential witnesses or suspects that could be a big help in resolving the issue at hand. The First Attending Officer's main objective along with securing the crime scene is to prevent and avoid any cross-contamination until the rest of the forensic team and other officers arrive at the scene. Crime, Justice, and Law. (2022) states that cross-contamination is the unwanted materials that are transferred from a different source to a piece of forensic evidence at the scene. Evidence contamination can occur when a weapon is accidentally touched, leaving fingerprints on it, therefore tampering with the original DNA that was previously on it. When altering and changing the originality of the scene such as moving or removing any objects can cause many complications for the investigation. A solution to this is wearing any Personal Protective Equipment (PPE) such as gloves, masks, jumpsuits in order to avoid leaving any new DNA and disrupting any present DNA on the crime scene. Bain, K (2020) explains the different types of DNA that could be present at a crime scene. Blood, hair, sperm, saliva, bone, and tissue are all sources of DNA that could be found and used as evidence, even fingerprints are detectable and can be used in forensic investigations. Other evidence which could be present such as footprints, tire marks, fiber from clothing, and other material can also be used as evidence. Rustidge (2021) suggests examples of when cross-contamination could occur when the First Attending Officer is not careful when entering the crime scene he or she can cause disruption in evidence by either depositing their DNA or even transferring the DNA of another person if the PPE is not sanitized and wiped of any previous DNA which could the consequently cause incorrect evidence and therefore be inadmissible at court and prolong the investigation. This is why the first attending officer has specific important steps to be taken in order to avoid any possibilities of cross-contamination.</w:t>
      </w:r>
    </w:p>
    <w:p w:rsidR="00000000" w:rsidDel="00000000" w:rsidP="00000000" w:rsidRDefault="00000000" w:rsidRPr="00000000" w14:paraId="00000027">
      <w:pPr>
        <w:spacing w:after="240" w:before="240" w:line="480" w:lineRule="auto"/>
        <w:rPr>
          <w:sz w:val="24"/>
          <w:szCs w:val="24"/>
        </w:rPr>
      </w:pPr>
      <w:r w:rsidDel="00000000" w:rsidR="00000000" w:rsidRPr="00000000">
        <w:rPr>
          <w:sz w:val="24"/>
          <w:szCs w:val="24"/>
          <w:rtl w:val="0"/>
        </w:rPr>
        <w:tab/>
        <w:t xml:space="preserve">The first attending officer has critical processes and procedures to follow when first arriving at the scene of the crime in order to reduce the amount of cross-contamination occurring and to keep it at its original state ready for the forensic team to examine. There is a range of duties that must be carried out by the officer first at the scene such as an Initial Assessment, Dealing with the emergency as necessary, Securing the scene, making the scene safe, Detention of suspects and witnesses, Formal interviews – to decipher whether a crime has taken place, Getting other emergency responders where necessary. Donofrio, A. (2000) states that complicated factors are the people and to deal with them first at a scene, especially with multiple civilians/ potential witnesses present. The officer's tasks are important as he/ she has to address the seriousness of the situation by assessing the area and handling it accordingly, as there are many factors that could complicate things. One example is the weather as it can not be controlled. If it's outside and it is raining and windy this would contaminate the scene so washing away evidence by containing and covering the scene from bad weather would reduce contaminating the evidence. Another major factor mentioned is the number of people as their DNA, footprints, and clothing fibers can change or alter the evidence. The officer can deal with the people present and they can do this by safely escorting the civilians to a safe area where they can be questioned and processed in order to get more information about the crime and also await the other emergency services to arrive and assist the situation. By safely and calmly handling the situation, it brings stability so there would not be any panic amongst the crowd and therefore no further foreign contamination of the crime scene to avoid any complications with the investigation. However even after the scene is secured there are still possibilities of contamination. Hayden (2017) states that a factor that may cause this is how open the area is because the scene may only be secured by one officer which makes it difficult for the officer to control everyone and every entry point. If the area is big and open such as a shopping center it causes more problems from potentially other people within the area entering the crime scene and disrupting or contaminating the crime scene. Whereas an apartment building would be easier to secure and limit contact within the crime scene. After the first attending officer handles the situation and the other officers and forensic team arrive at the scene of the crime, the officer would then share all information he has of the situation in order to update them with the scenario and assist the first officer on what he or she may need to be carried out such as securing the crime scene with tape and barriers and even interviewing the multiple witnesses and attending to anyone who may be hurt. A principle that officers use in order to help them reduce contamination is the ‘Locard’s Exchange Principle. According to Balk, C. (2015) Locard's Exchange Principle states that whenever two components come into contact such as a hand to a door handle, small fragments of material will be redistributed </w:t>
      </w:r>
      <w:r w:rsidDel="00000000" w:rsidR="00000000" w:rsidRPr="00000000">
        <w:rPr>
          <w:sz w:val="24"/>
          <w:szCs w:val="24"/>
          <w:rtl w:val="0"/>
        </w:rPr>
        <w:t xml:space="preserve">onto</w:t>
      </w:r>
      <w:r w:rsidDel="00000000" w:rsidR="00000000" w:rsidRPr="00000000">
        <w:rPr>
          <w:sz w:val="24"/>
          <w:szCs w:val="24"/>
          <w:rtl w:val="0"/>
        </w:rPr>
        <w:t xml:space="preserve"> the said door. This includes different types of DNA such as hair, saliva, fingerprints, and fibers from clothing. Furthermore, other minuscule components such as pollen, paint, and soil are also included and can be used as evidence. Locard also claims that every and any contact would leave traces of evidence that can only be interpreted incorrectly due to natural human error. This is why the importance of preserving the crime scene is a top priority for the first arriving officers, they must take care of the area as there is crucial evidence that can be used by the forensic team in order to solve the crime efficiently and for the crime to be resolved sooner.</w:t>
      </w:r>
    </w:p>
    <w:p w:rsidR="00000000" w:rsidDel="00000000" w:rsidP="00000000" w:rsidRDefault="00000000" w:rsidRPr="00000000" w14:paraId="00000028">
      <w:pPr>
        <w:spacing w:after="240" w:before="240" w:line="480" w:lineRule="auto"/>
        <w:rPr>
          <w:sz w:val="24"/>
          <w:szCs w:val="24"/>
        </w:rPr>
      </w:pPr>
      <w:r w:rsidDel="00000000" w:rsidR="00000000" w:rsidRPr="00000000">
        <w:rPr>
          <w:sz w:val="24"/>
          <w:szCs w:val="24"/>
          <w:rtl w:val="0"/>
        </w:rPr>
        <w:tab/>
        <w:t xml:space="preserve">It is important that when the first attending officer has completed his initial assessment and secured the crime scene that the officers recover and examine the forensic evidence carefully and efficiently.  There are many rules and methods that are in place in order for the forensic teams to conduct their investigation at a crime scene smoothly and without cross-contamination. On arrival at the crime scene one of the principles that the officers use in the ‘Golden Hour’ rule. College of Policing (2013) comments that this principle is crucial for the investigation as the term "golden hour" refers to the time directly after an offense, during this time is when cops have access to vast amounts of fresh evidence. Direct action conducted promptly after a crime is reported reduces the amount of evidence that could have been wasted and contaminated and therefore can still hold value to the investigation. It also increases the probability of obtaining evidence such as DNA which will be relevant to the case and therefore used in court. There are many things that could ruin the valuable evidence of ‘golden hour’ as Deane, P. (2019) states that during this time material attrition would increase the longer the evidence lays there, therefore obtaining it within this time frame would provide the best-uninterrupted material such as DNA and fibers which can then be used for evidence to help the case. This is where the officers must be prompt in order to avoid contamination from anyone or anything. As well as avoiding material attrition, during the 'golden hour,' numerous various types of forensic evidence can be discovered. Bradbury et.al (2005) mentions that examining the crime scene and putting yourself in the criminal's shoes Reviewing Surveillance monitoring anything related to the investigation as there can potentially be incriminating footage, checking exit points for possible footprints or any type of DNA and fibers, knocking on doors to people's homes searching for eyewitnesses and these are just a few suggestions. For officers, this approach is useful as it ensures that the best evidence is acquired and that any actual evidence is not lost or damaged beyond repair. This also gives the police the best opportunity of discovering a potential victim or suspect, increasing the likelihood of obtaining more evidence at the scene. This could happen especially near the scene of the crime as some criminals may return and cover their tracks by tampering with the evidence that they may have left behind and destroy any evidence left behind so that it will not be discovered by the police. All the processes are important and crucial for the officers to undertake as Library Police (2005) states that the more resourceful and better evidence that is found such as DNA, CCTV footage, and witnesses that can pinpoint a suspect can build a more solid case to file against the offender.</w:t>
      </w:r>
    </w:p>
    <w:p w:rsidR="00000000" w:rsidDel="00000000" w:rsidP="00000000" w:rsidRDefault="00000000" w:rsidRPr="00000000" w14:paraId="00000029">
      <w:pPr>
        <w:spacing w:after="240" w:before="240" w:line="480" w:lineRule="auto"/>
        <w:rPr>
          <w:sz w:val="24"/>
          <w:szCs w:val="24"/>
        </w:rPr>
      </w:pPr>
      <w:r w:rsidDel="00000000" w:rsidR="00000000" w:rsidRPr="00000000">
        <w:rPr>
          <w:sz w:val="24"/>
          <w:szCs w:val="24"/>
          <w:rtl w:val="0"/>
        </w:rPr>
        <w:tab/>
        <w:t xml:space="preserve">Another strategy and method that police officers use to acquire evidence from the crime scene is to recall the four "Rs": review, record, retain, and reveal. This relates to police officers' use of the national decision model, which is a method and procedure that assists officers to acquire the best available evidence while following a guide as a foundation for understanding the decisions that they carry out. In doing this it convinces officers to use and follow the code of ethics to help increase the reliability of any evidence found and presented. Griffiths A, (2017) articulates that after a police officer successfully collects all or most of the evidence, they will assess what they already have now and determine whether additional materials are required to help with the case. After they have thought about what else they may require, the officers would need to keep track of what materials were collected, the time frame, and where they obtained from, as well as all the questions used during interviews with the people present at the crime scene. Authorities must then confirm that the evidence is stored in a safe uncontaminated area to avoid it being altered or contaminated for the forensic team to look into and with the evidence, they have gathered present in court to incriminate the suspect. The College of Policing (2013) states the importance of the four Rs process is to help officers find evidence on a suspect and use legal action in order to prove that it was he or she that committed the crime and using reliable, efficient data to ensure the evidence presented is admissible in court. Another perk that police officers have in order to solve crimes is the 1984 Criminal Evidence Act legislation. </w:t>
      </w:r>
      <w:r w:rsidDel="00000000" w:rsidR="00000000" w:rsidRPr="00000000">
        <w:rPr>
          <w:sz w:val="24"/>
          <w:szCs w:val="24"/>
          <w:rtl w:val="0"/>
        </w:rPr>
        <w:t xml:space="preserve">Home</w:t>
      </w:r>
      <w:r w:rsidDel="00000000" w:rsidR="00000000" w:rsidRPr="00000000">
        <w:rPr>
          <w:sz w:val="24"/>
          <w:szCs w:val="24"/>
          <w:rtl w:val="0"/>
        </w:rPr>
        <w:t xml:space="preserve"> Office (2017) states that this legislation allows officers A search warrant for a suspect's property is one method that a cop can use to collect further evidence. After an arrest, a building search is authorized under section 32 of the Police and Criminal Evidence Act 1984. This act allows police officers to collect substantial evidence found at a suspect's residence even after they've been arrested. When officers arrive at a scene of the crime, they would gather a considerable amount of evidence to increase the chances of convicting a suspect. An example of when a search warrant on a potential suspect's residence can be useful is if the investigators found more evidence that relates to the scene of the crime which can help the relation of the suspect being at the crime scene. Such as the footprints matching the shoes of the suspect or even a DNA match. This can lead to enough evidence which can be enough to incriminate the suspect. Another example of strong evidence is if the suspect is caught doing the crime on CCTV or being multiple eyewitnesses which can be used in court. While searching for further evidence with this act, the police officers also must be wary to avoid and prevent ‘</w:t>
      </w:r>
      <w:r w:rsidDel="00000000" w:rsidR="00000000" w:rsidRPr="00000000">
        <w:rPr>
          <w:sz w:val="24"/>
          <w:szCs w:val="24"/>
          <w:rtl w:val="0"/>
        </w:rPr>
        <w:t xml:space="preserve">CLADD</w:t>
      </w:r>
      <w:r w:rsidDel="00000000" w:rsidR="00000000" w:rsidRPr="00000000">
        <w:rPr>
          <w:sz w:val="24"/>
          <w:szCs w:val="24"/>
          <w:rtl w:val="0"/>
        </w:rPr>
        <w:t xml:space="preserve">’ which stands for concealed, lost, altered, damaged, and destroyed. College of policing, (2022) states that under section 19 of PACE if an officer is legally on the premises, he or she may confiscate anything they deem necessary on the premises as long as the following conditions are met. The first condition is if the officers are suspicious and establish substantial reasons to believe the evidence was acquired as a byproduct of a crime. Condition number two is if it is necessary to seize it in order to prevent it from being hidden, lost, damaged, altered, or destroyed by the potential suspect. An example of when officers may use CLADD under the PACE act is if they have any suspicion that a suspect may be hiding or destroying evidence that would incriminate them, therefore this is also where the ‘golden rule’ comes into play as the sooner they are able to inspect and carry out the investigation the higher chance they can reduce contamination at the crime scene as well as any evidence being destroyed or tampered with. </w:t>
      </w:r>
    </w:p>
    <w:p w:rsidR="00000000" w:rsidDel="00000000" w:rsidP="00000000" w:rsidRDefault="00000000" w:rsidRPr="00000000" w14:paraId="0000002A">
      <w:pPr>
        <w:spacing w:after="240" w:before="240" w:line="480" w:lineRule="auto"/>
        <w:rPr>
          <w:sz w:val="24"/>
          <w:szCs w:val="24"/>
        </w:rPr>
      </w:pPr>
      <w:r w:rsidDel="00000000" w:rsidR="00000000" w:rsidRPr="00000000">
        <w:rPr>
          <w:sz w:val="24"/>
          <w:szCs w:val="24"/>
          <w:rtl w:val="0"/>
        </w:rPr>
        <w:tab/>
        <w:t xml:space="preserve">As a final observation, the role of a first attending officer is critical as how they assess and handle the crime scene can impact the future investigation of that case. Therefore It is critical that police personnel adhere to protocol and procedures in order for the investigation to function smoothly. In order for the investigation to be of fine standards, the first attending officer has several key policies and practices which must be implemented. A key principle they follow is Locard’s principle knowing that the officers are careful at any crime scene to avoid disrupting the evidence. Forensic science (2013) states that there is a range of evidence at a crime scene such as DNA, clothing fibers, footprints, and even physical evidence that could be left behind such as a weapon, phone, money, and many more. They must undertake their tasks carefully and efficiently in order to maintain safety for the public and prevent any potential contamination to occur during his or her arrival at the scene. Every step is crucial and after the initial assessment of detaining civilians, contacting any other emergency services to help and the prevention of contamination, the next stage is important as the officers must examine and recover evidence and information from within the crime scene and careful procedures are put in place to avoid mistakes. The most valuable evidence is collected as soon as possible and this is what they call the ‘Golden Hour’. In order to accomplish this, they must enter a crime scene with the Golden Hour principles in mind, all the while avoiding the risk of cross-contamination and evidence tampering. These police practices have indeed been demonstrated to be effective in operations because they can provide the officer with an understanding of the tasks that should be efficiently executed in order to solve the case and therefore lead to protecting the people, prevent contamination in the crime scene, and reliable, valuable evidence which would be admissible at a courtroom.  Different strategies were addressed as to how a police officer can decrease the probability of cross-contamination of evidence, such as Locard's principle. The officers acquiring this information provides them with the best understanding of how to not interfere with evidence or cause contamination at the crime scene. A method the officer uses to enter the crime scene to avoid contamination is by wearing personal protective equipment (PPE) such as gloves, a hairnet, and an overall. Wearing PPE avoids cross-contamination as it covers the officer's DNA and clothing fibers which means it would not be left at the crime scene and the investigation would be carried out more efficiently.  Additionally, there is always room for improvement as the College of Policing (2020) suggests that the police department can always learn and find new processes in order to develop new theories and improve their investigative mindset in order to stay ahead of the criminals and keep society safe. The use of the Four R's to find the best evidence while sticking to protocol because the use of these methods helps with conducting effective investigations. If the officers changed the protocol and did not follow the code of ethics at all times, it could lead to unreliable, insufficient evidence being produced, as protocol would be broken meaning the evidence could be inadmissible at court and the case would be prolonged. Consequently leading to a potential suspect being set free as there would be no reliable evidence that would be used against them. All in all the importance of procedures and methods that are put in place should be followed consistently by law enforcement in order to keep people safe and justice to be served correctly.</w:t>
      </w:r>
    </w:p>
    <w:p w:rsidR="00000000" w:rsidDel="00000000" w:rsidP="00000000" w:rsidRDefault="00000000" w:rsidRPr="00000000" w14:paraId="0000002B">
      <w:pPr>
        <w:spacing w:after="240" w:before="240" w:line="480" w:lineRule="auto"/>
        <w:rPr>
          <w:sz w:val="24"/>
          <w:szCs w:val="24"/>
        </w:rPr>
      </w:pPr>
      <w:r w:rsidDel="00000000" w:rsidR="00000000" w:rsidRPr="00000000">
        <w:rPr>
          <w:rtl w:val="0"/>
        </w:rPr>
      </w:r>
    </w:p>
    <w:p w:rsidR="00000000" w:rsidDel="00000000" w:rsidP="00000000" w:rsidRDefault="00000000" w:rsidRPr="00000000" w14:paraId="0000002C">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2D">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2E">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2F">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0">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1">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2">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3">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4">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5">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6">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7">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8">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9">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A">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B">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C">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D">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E">
      <w:pPr>
        <w:spacing w:after="240" w:before="240" w:lineRule="auto"/>
        <w:rPr>
          <w:sz w:val="24"/>
          <w:szCs w:val="24"/>
          <w:highlight w:val="yellow"/>
        </w:rPr>
      </w:pPr>
      <w:r w:rsidDel="00000000" w:rsidR="00000000" w:rsidRPr="00000000">
        <w:rPr>
          <w:rtl w:val="0"/>
        </w:rPr>
      </w:r>
    </w:p>
    <w:p w:rsidR="00000000" w:rsidDel="00000000" w:rsidP="00000000" w:rsidRDefault="00000000" w:rsidRPr="00000000" w14:paraId="0000003F">
      <w:pPr>
        <w:spacing w:after="240" w:before="240" w:lineRule="auto"/>
        <w:rPr>
          <w:b w:val="1"/>
          <w:sz w:val="32"/>
          <w:szCs w:val="32"/>
          <w:u w:val="single"/>
        </w:rPr>
      </w:pPr>
      <w:r w:rsidDel="00000000" w:rsidR="00000000" w:rsidRPr="00000000">
        <w:rPr>
          <w:b w:val="1"/>
          <w:sz w:val="32"/>
          <w:szCs w:val="32"/>
          <w:u w:val="single"/>
          <w:rtl w:val="0"/>
        </w:rPr>
        <w:t xml:space="preserve">Bibliography </w:t>
      </w:r>
      <w:r w:rsidDel="00000000" w:rsidR="00000000" w:rsidRPr="00000000">
        <w:rPr>
          <w:rtl w:val="0"/>
        </w:rPr>
      </w:r>
    </w:p>
    <w:p w:rsidR="00000000" w:rsidDel="00000000" w:rsidP="00000000" w:rsidRDefault="00000000" w:rsidRPr="00000000" w14:paraId="00000040">
      <w:pPr>
        <w:rPr>
          <w:sz w:val="24"/>
          <w:szCs w:val="24"/>
          <w:highlight w:val="white"/>
        </w:rPr>
      </w:pPr>
      <w:r w:rsidDel="00000000" w:rsidR="00000000" w:rsidRPr="00000000">
        <w:rPr>
          <w:rtl w:val="0"/>
        </w:rPr>
      </w:r>
    </w:p>
    <w:p w:rsidR="00000000" w:rsidDel="00000000" w:rsidP="00000000" w:rsidRDefault="00000000" w:rsidRPr="00000000" w14:paraId="00000041">
      <w:pPr>
        <w:numPr>
          <w:ilvl w:val="0"/>
          <w:numId w:val="1"/>
        </w:numPr>
        <w:ind w:left="720" w:hanging="360"/>
        <w:rPr>
          <w:sz w:val="24"/>
          <w:szCs w:val="24"/>
          <w:highlight w:val="white"/>
        </w:rPr>
      </w:pPr>
      <w:r w:rsidDel="00000000" w:rsidR="00000000" w:rsidRPr="00000000">
        <w:rPr>
          <w:sz w:val="24"/>
          <w:szCs w:val="24"/>
          <w:highlight w:val="white"/>
          <w:rtl w:val="0"/>
        </w:rPr>
        <w:t xml:space="preserve">Balk</w:t>
      </w:r>
      <w:r w:rsidDel="00000000" w:rsidR="00000000" w:rsidRPr="00000000">
        <w:rPr>
          <w:sz w:val="24"/>
          <w:szCs w:val="24"/>
          <w:highlight w:val="white"/>
          <w:rtl w:val="0"/>
        </w:rPr>
        <w:t xml:space="preserve">, C. 2015. </w:t>
      </w:r>
      <w:r w:rsidDel="00000000" w:rsidR="00000000" w:rsidRPr="00000000">
        <w:rPr>
          <w:i w:val="1"/>
          <w:sz w:val="24"/>
          <w:szCs w:val="24"/>
          <w:highlight w:val="white"/>
          <w:rtl w:val="0"/>
        </w:rPr>
        <w:t xml:space="preserve">Crime Scenes – The Forensics Library</w:t>
      </w:r>
      <w:r w:rsidDel="00000000" w:rsidR="00000000" w:rsidRPr="00000000">
        <w:rPr>
          <w:sz w:val="24"/>
          <w:szCs w:val="24"/>
          <w:highlight w:val="white"/>
          <w:rtl w:val="0"/>
        </w:rPr>
        <w:t xml:space="preserve">. Available at: </w:t>
      </w:r>
      <w:hyperlink r:id="rId6">
        <w:r w:rsidDel="00000000" w:rsidR="00000000" w:rsidRPr="00000000">
          <w:rPr>
            <w:color w:val="1155cc"/>
            <w:sz w:val="24"/>
            <w:szCs w:val="24"/>
            <w:highlight w:val="white"/>
            <w:u w:val="single"/>
            <w:rtl w:val="0"/>
          </w:rPr>
          <w:t xml:space="preserve">https://scholarworks.sjsu.edu/cgi/viewcontent.cgi?article=1033&amp;context=themis</w:t>
        </w:r>
      </w:hyperlink>
      <w:r w:rsidDel="00000000" w:rsidR="00000000" w:rsidRPr="00000000">
        <w:rPr>
          <w:sz w:val="24"/>
          <w:szCs w:val="24"/>
          <w:highlight w:val="white"/>
          <w:rtl w:val="0"/>
        </w:rPr>
        <w:t xml:space="preserve"> (Accessed 28 February 2022).</w:t>
      </w:r>
    </w:p>
    <w:p w:rsidR="00000000" w:rsidDel="00000000" w:rsidP="00000000" w:rsidRDefault="00000000" w:rsidRPr="00000000" w14:paraId="00000042">
      <w:pPr>
        <w:numPr>
          <w:ilvl w:val="0"/>
          <w:numId w:val="1"/>
        </w:numPr>
        <w:ind w:left="720" w:hanging="360"/>
        <w:rPr>
          <w:sz w:val="24"/>
          <w:szCs w:val="24"/>
          <w:highlight w:val="white"/>
        </w:rPr>
      </w:pPr>
      <w:r w:rsidDel="00000000" w:rsidR="00000000" w:rsidRPr="00000000">
        <w:rPr>
          <w:sz w:val="24"/>
          <w:szCs w:val="24"/>
          <w:highlight w:val="white"/>
          <w:rtl w:val="0"/>
        </w:rPr>
        <w:t xml:space="preserve">Bain, K., 2022. </w:t>
      </w:r>
      <w:r w:rsidDel="00000000" w:rsidR="00000000" w:rsidRPr="00000000">
        <w:rPr>
          <w:i w:val="1"/>
          <w:sz w:val="24"/>
          <w:szCs w:val="24"/>
          <w:highlight w:val="white"/>
          <w:rtl w:val="0"/>
        </w:rPr>
        <w:t xml:space="preserve">Forensics and DNA</w:t>
      </w:r>
      <w:r w:rsidDel="00000000" w:rsidR="00000000" w:rsidRPr="00000000">
        <w:rPr>
          <w:sz w:val="24"/>
          <w:szCs w:val="24"/>
          <w:highlight w:val="white"/>
          <w:rtl w:val="0"/>
        </w:rPr>
        <w:t xml:space="preserve">. Science Learning Hub. Available at: </w:t>
      </w:r>
      <w:hyperlink r:id="rId7">
        <w:r w:rsidDel="00000000" w:rsidR="00000000" w:rsidRPr="00000000">
          <w:rPr>
            <w:color w:val="1155cc"/>
            <w:sz w:val="24"/>
            <w:szCs w:val="24"/>
            <w:highlight w:val="white"/>
            <w:u w:val="single"/>
            <w:rtl w:val="0"/>
          </w:rPr>
          <w:t xml:space="preserve">https://www.sciencelearn.org.nz/resources/1978-forensics-and-dna#:~:</w:t>
        </w:r>
      </w:hyperlink>
      <w:hyperlink r:id="rId8">
        <w:r w:rsidDel="00000000" w:rsidR="00000000" w:rsidRPr="00000000">
          <w:rPr>
            <w:color w:val="1155cc"/>
            <w:sz w:val="24"/>
            <w:szCs w:val="24"/>
            <w:highlight w:val="white"/>
            <w:u w:val="single"/>
            <w:rtl w:val="0"/>
          </w:rPr>
          <w:t xml:space="preserve">text=An%20example%20of%20modern%20forensics</w:t>
        </w:r>
      </w:hyperlink>
      <w:hyperlink r:id="rId9">
        <w:r w:rsidDel="00000000" w:rsidR="00000000" w:rsidRPr="00000000">
          <w:rPr>
            <w:color w:val="1155cc"/>
            <w:sz w:val="24"/>
            <w:szCs w:val="24"/>
            <w:highlight w:val="white"/>
            <w:u w:val="single"/>
            <w:rtl w:val="0"/>
          </w:rPr>
          <w:t xml:space="preserve">,</w:t>
        </w:r>
      </w:hyperlink>
      <w:hyperlink r:id="rId10">
        <w:r w:rsidDel="00000000" w:rsidR="00000000" w:rsidRPr="00000000">
          <w:rPr>
            <w:color w:val="1155cc"/>
            <w:sz w:val="24"/>
            <w:szCs w:val="24"/>
            <w:highlight w:val="white"/>
            <w:u w:val="single"/>
            <w:rtl w:val="0"/>
          </w:rPr>
          <w:t xml:space="preserve">%2C%20saliva%2C%20bone%20and%20tissue.&amp;text</w:t>
        </w:r>
      </w:hyperlink>
      <w:hyperlink r:id="rId11">
        <w:r w:rsidDel="00000000" w:rsidR="00000000" w:rsidRPr="00000000">
          <w:rPr>
            <w:color w:val="1155cc"/>
            <w:sz w:val="24"/>
            <w:szCs w:val="24"/>
            <w:highlight w:val="white"/>
            <w:u w:val="single"/>
            <w:rtl w:val="0"/>
          </w:rPr>
          <w:t xml:space="preserve">=</w:t>
        </w:r>
      </w:hyperlink>
      <w:hyperlink r:id="rId12">
        <w:r w:rsidDel="00000000" w:rsidR="00000000" w:rsidRPr="00000000">
          <w:rPr>
            <w:color w:val="1155cc"/>
            <w:sz w:val="24"/>
            <w:szCs w:val="24"/>
            <w:highlight w:val="white"/>
            <w:u w:val="single"/>
            <w:rtl w:val="0"/>
          </w:rPr>
          <w:t xml:space="preserve">Fingerprints%20can%20be%20detected%20and%20used%20for%20forensic%20purposes</w:t>
        </w:r>
      </w:hyperlink>
      <w:r w:rsidDel="00000000" w:rsidR="00000000" w:rsidRPr="00000000">
        <w:rPr>
          <w:sz w:val="24"/>
          <w:szCs w:val="24"/>
          <w:highlight w:val="white"/>
          <w:rtl w:val="0"/>
        </w:rPr>
        <w:t xml:space="preserve">.</w:t>
      </w:r>
      <w:r w:rsidDel="00000000" w:rsidR="00000000" w:rsidRPr="00000000">
        <w:rPr>
          <w:sz w:val="24"/>
          <w:szCs w:val="24"/>
          <w:highlight w:val="white"/>
          <w:rtl w:val="0"/>
        </w:rPr>
        <w:t xml:space="preserve">(Accessed 27 February 2022).</w:t>
      </w:r>
    </w:p>
    <w:p w:rsidR="00000000" w:rsidDel="00000000" w:rsidP="00000000" w:rsidRDefault="00000000" w:rsidRPr="00000000" w14:paraId="00000043">
      <w:pPr>
        <w:numPr>
          <w:ilvl w:val="0"/>
          <w:numId w:val="1"/>
        </w:numPr>
        <w:ind w:left="720" w:hanging="360"/>
        <w:rPr>
          <w:sz w:val="24"/>
          <w:szCs w:val="24"/>
          <w:highlight w:val="white"/>
        </w:rPr>
      </w:pPr>
      <w:r w:rsidDel="00000000" w:rsidR="00000000" w:rsidRPr="00000000">
        <w:rPr>
          <w:sz w:val="24"/>
          <w:szCs w:val="24"/>
          <w:highlight w:val="white"/>
          <w:rtl w:val="0"/>
        </w:rPr>
        <w:t xml:space="preserve">Bradbury, S. and Feist, A., 2005. </w:t>
      </w:r>
      <w:r w:rsidDel="00000000" w:rsidR="00000000" w:rsidRPr="00000000">
        <w:rPr>
          <w:i w:val="1"/>
          <w:sz w:val="24"/>
          <w:szCs w:val="24"/>
          <w:highlight w:val="white"/>
          <w:rtl w:val="0"/>
        </w:rPr>
        <w:t xml:space="preserve">The use of forensic science in volume crime investigations</w:t>
      </w:r>
      <w:r w:rsidDel="00000000" w:rsidR="00000000" w:rsidRPr="00000000">
        <w:rPr>
          <w:sz w:val="24"/>
          <w:szCs w:val="24"/>
          <w:highlight w:val="white"/>
          <w:rtl w:val="0"/>
        </w:rPr>
        <w:t xml:space="preserve">. Available at: </w:t>
      </w:r>
      <w:hyperlink r:id="rId13">
        <w:r w:rsidDel="00000000" w:rsidR="00000000" w:rsidRPr="00000000">
          <w:rPr>
            <w:color w:val="1155cc"/>
            <w:sz w:val="24"/>
            <w:szCs w:val="24"/>
            <w:highlight w:val="white"/>
            <w:u w:val="single"/>
            <w:rtl w:val="0"/>
          </w:rPr>
          <w:t xml:space="preserve">https://assets.publishing.service.gov.uk/government/uploads/system/uploads/attachment_data/file/115849/hoor4305.pdf</w:t>
        </w:r>
      </w:hyperlink>
      <w:r w:rsidDel="00000000" w:rsidR="00000000" w:rsidRPr="00000000">
        <w:rPr>
          <w:sz w:val="24"/>
          <w:szCs w:val="24"/>
          <w:highlight w:val="white"/>
          <w:rtl w:val="0"/>
        </w:rPr>
        <w:t xml:space="preserve">  (Accessed 2 March 2022).</w:t>
      </w:r>
    </w:p>
    <w:p w:rsidR="00000000" w:rsidDel="00000000" w:rsidP="00000000" w:rsidRDefault="00000000" w:rsidRPr="00000000" w14:paraId="00000044">
      <w:pPr>
        <w:numPr>
          <w:ilvl w:val="0"/>
          <w:numId w:val="1"/>
        </w:numPr>
        <w:ind w:left="720" w:hanging="360"/>
        <w:rPr>
          <w:sz w:val="24"/>
          <w:szCs w:val="24"/>
          <w:highlight w:val="white"/>
        </w:rPr>
      </w:pPr>
      <w:r w:rsidDel="00000000" w:rsidR="00000000" w:rsidRPr="00000000">
        <w:rPr>
          <w:sz w:val="24"/>
          <w:szCs w:val="24"/>
          <w:highlight w:val="white"/>
          <w:rtl w:val="0"/>
        </w:rPr>
        <w:t xml:space="preserve">College Of Policing, 2020. </w:t>
      </w:r>
      <w:r w:rsidDel="00000000" w:rsidR="00000000" w:rsidRPr="00000000">
        <w:rPr>
          <w:i w:val="1"/>
          <w:sz w:val="24"/>
          <w:szCs w:val="24"/>
          <w:highlight w:val="white"/>
          <w:rtl w:val="0"/>
        </w:rPr>
        <w:t xml:space="preserve">Evidence-based guidelines on effective investigations: Improving the application of the investigative mindset.</w:t>
      </w:r>
      <w:r w:rsidDel="00000000" w:rsidR="00000000" w:rsidRPr="00000000">
        <w:rPr>
          <w:sz w:val="24"/>
          <w:szCs w:val="24"/>
          <w:highlight w:val="white"/>
          <w:rtl w:val="0"/>
        </w:rPr>
        <w:t xml:space="preserve"> Available at: </w:t>
      </w:r>
      <w:hyperlink r:id="rId14">
        <w:r w:rsidDel="00000000" w:rsidR="00000000" w:rsidRPr="00000000">
          <w:rPr>
            <w:color w:val="1155cc"/>
            <w:sz w:val="24"/>
            <w:szCs w:val="24"/>
            <w:highlight w:val="white"/>
            <w:u w:val="single"/>
            <w:rtl w:val="0"/>
          </w:rPr>
          <w:t xml:space="preserve">https://whatworks.college.police.uk/Research/Research-Map/Pages/ResearchProject.aspx?projectid=937</w:t>
        </w:r>
      </w:hyperlink>
      <w:r w:rsidDel="00000000" w:rsidR="00000000" w:rsidRPr="00000000">
        <w:rPr>
          <w:sz w:val="24"/>
          <w:szCs w:val="24"/>
          <w:highlight w:val="white"/>
          <w:rtl w:val="0"/>
        </w:rPr>
        <w:t xml:space="preserve">(Accessed 3 March 2022).</w:t>
      </w:r>
    </w:p>
    <w:p w:rsidR="00000000" w:rsidDel="00000000" w:rsidP="00000000" w:rsidRDefault="00000000" w:rsidRPr="00000000" w14:paraId="00000045">
      <w:pPr>
        <w:numPr>
          <w:ilvl w:val="0"/>
          <w:numId w:val="1"/>
        </w:numPr>
        <w:ind w:left="720" w:hanging="360"/>
        <w:rPr>
          <w:sz w:val="24"/>
          <w:szCs w:val="24"/>
          <w:highlight w:val="white"/>
        </w:rPr>
      </w:pPr>
      <w:r w:rsidDel="00000000" w:rsidR="00000000" w:rsidRPr="00000000">
        <w:rPr>
          <w:sz w:val="24"/>
          <w:szCs w:val="24"/>
          <w:highlight w:val="white"/>
          <w:rtl w:val="0"/>
        </w:rPr>
        <w:t xml:space="preserve">College of Policing, 2022. </w:t>
      </w:r>
      <w:r w:rsidDel="00000000" w:rsidR="00000000" w:rsidRPr="00000000">
        <w:rPr>
          <w:i w:val="1"/>
          <w:sz w:val="24"/>
          <w:szCs w:val="24"/>
          <w:highlight w:val="white"/>
          <w:rtl w:val="0"/>
        </w:rPr>
        <w:t xml:space="preserve">Search powers, and obtaining and executing search warrants. </w:t>
      </w:r>
      <w:r w:rsidDel="00000000" w:rsidR="00000000" w:rsidRPr="00000000">
        <w:rPr>
          <w:sz w:val="24"/>
          <w:szCs w:val="24"/>
          <w:highlight w:val="white"/>
          <w:rtl w:val="0"/>
        </w:rPr>
        <w:t xml:space="preserve">Available at:</w:t>
      </w:r>
      <w:hyperlink r:id="rId15">
        <w:r w:rsidDel="00000000" w:rsidR="00000000" w:rsidRPr="00000000">
          <w:rPr>
            <w:color w:val="1155cc"/>
            <w:sz w:val="24"/>
            <w:szCs w:val="24"/>
            <w:highlight w:val="white"/>
            <w:u w:val="single"/>
            <w:rtl w:val="0"/>
          </w:rPr>
          <w:t xml:space="preserve">https://www.app.college.police.uk/app-content/investigations/investigative-strategies/search-powers-and-obtaining-and-executing-search-warrants/#record-keeping</w:t>
        </w:r>
      </w:hyperlink>
      <w:r w:rsidDel="00000000" w:rsidR="00000000" w:rsidRPr="00000000">
        <w:rPr>
          <w:sz w:val="24"/>
          <w:szCs w:val="24"/>
          <w:highlight w:val="white"/>
          <w:rtl w:val="0"/>
        </w:rPr>
        <w:t xml:space="preserve">(Accessed 3 March 2022).</w:t>
      </w:r>
    </w:p>
    <w:p w:rsidR="00000000" w:rsidDel="00000000" w:rsidP="00000000" w:rsidRDefault="00000000" w:rsidRPr="00000000" w14:paraId="00000046">
      <w:pPr>
        <w:numPr>
          <w:ilvl w:val="0"/>
          <w:numId w:val="1"/>
        </w:numPr>
        <w:ind w:left="720" w:hanging="360"/>
        <w:rPr>
          <w:sz w:val="24"/>
          <w:szCs w:val="24"/>
          <w:highlight w:val="white"/>
        </w:rPr>
      </w:pPr>
      <w:r w:rsidDel="00000000" w:rsidR="00000000" w:rsidRPr="00000000">
        <w:rPr>
          <w:sz w:val="24"/>
          <w:szCs w:val="24"/>
          <w:highlight w:val="white"/>
          <w:rtl w:val="0"/>
        </w:rPr>
        <w:t xml:space="preserve">College Of Policing, 2013.</w:t>
      </w:r>
      <w:r w:rsidDel="00000000" w:rsidR="00000000" w:rsidRPr="00000000">
        <w:rPr>
          <w:i w:val="1"/>
          <w:sz w:val="24"/>
          <w:szCs w:val="24"/>
          <w:highlight w:val="white"/>
          <w:rtl w:val="0"/>
        </w:rPr>
        <w:t xml:space="preserve"> National Decision Model. </w:t>
      </w:r>
      <w:r w:rsidDel="00000000" w:rsidR="00000000" w:rsidRPr="00000000">
        <w:rPr>
          <w:sz w:val="24"/>
          <w:szCs w:val="24"/>
          <w:highlight w:val="white"/>
          <w:rtl w:val="0"/>
        </w:rPr>
        <w:t xml:space="preserve">Available at: </w:t>
      </w:r>
      <w:hyperlink r:id="rId16">
        <w:r w:rsidDel="00000000" w:rsidR="00000000" w:rsidRPr="00000000">
          <w:rPr>
            <w:color w:val="1155cc"/>
            <w:sz w:val="24"/>
            <w:szCs w:val="24"/>
            <w:highlight w:val="white"/>
            <w:u w:val="single"/>
            <w:rtl w:val="0"/>
          </w:rPr>
          <w:t xml:space="preserve">https://www.app.college.police.uk/app-content/national-decision-model/the-national-decision-model/</w:t>
        </w:r>
      </w:hyperlink>
      <w:r w:rsidDel="00000000" w:rsidR="00000000" w:rsidRPr="00000000">
        <w:rPr>
          <w:sz w:val="24"/>
          <w:szCs w:val="24"/>
          <w:highlight w:val="white"/>
          <w:rtl w:val="0"/>
        </w:rPr>
        <w:t xml:space="preserve"> (Accessed 3 March 2022).</w:t>
      </w:r>
    </w:p>
    <w:p w:rsidR="00000000" w:rsidDel="00000000" w:rsidP="00000000" w:rsidRDefault="00000000" w:rsidRPr="00000000" w14:paraId="00000047">
      <w:pPr>
        <w:numPr>
          <w:ilvl w:val="0"/>
          <w:numId w:val="1"/>
        </w:numPr>
        <w:ind w:left="720" w:hanging="360"/>
        <w:rPr>
          <w:sz w:val="24"/>
          <w:szCs w:val="24"/>
          <w:highlight w:val="white"/>
        </w:rPr>
      </w:pPr>
      <w:r w:rsidDel="00000000" w:rsidR="00000000" w:rsidRPr="00000000">
        <w:rPr>
          <w:sz w:val="24"/>
          <w:szCs w:val="24"/>
          <w:highlight w:val="white"/>
          <w:rtl w:val="0"/>
        </w:rPr>
        <w:t xml:space="preserve">​​College Of Police 2013. </w:t>
      </w:r>
      <w:r w:rsidDel="00000000" w:rsidR="00000000" w:rsidRPr="00000000">
        <w:rPr>
          <w:i w:val="1"/>
          <w:sz w:val="24"/>
          <w:szCs w:val="24"/>
          <w:highlight w:val="white"/>
          <w:rtl w:val="0"/>
        </w:rPr>
        <w:t xml:space="preserve">Investigation process</w:t>
      </w:r>
      <w:r w:rsidDel="00000000" w:rsidR="00000000" w:rsidRPr="00000000">
        <w:rPr>
          <w:sz w:val="24"/>
          <w:szCs w:val="24"/>
          <w:highlight w:val="white"/>
          <w:rtl w:val="0"/>
        </w:rPr>
        <w:t xml:space="preserve">. Available at:  </w:t>
      </w:r>
      <w:hyperlink r:id="rId17">
        <w:r w:rsidDel="00000000" w:rsidR="00000000" w:rsidRPr="00000000">
          <w:rPr>
            <w:color w:val="1155cc"/>
            <w:sz w:val="24"/>
            <w:szCs w:val="24"/>
            <w:highlight w:val="white"/>
            <w:u w:val="single"/>
            <w:rtl w:val="0"/>
          </w:rPr>
          <w:t xml:space="preserve">https://www.app.college.police.uk/app-content/investigations/investigation-process/#golden-hour</w:t>
        </w:r>
      </w:hyperlink>
      <w:r w:rsidDel="00000000" w:rsidR="00000000" w:rsidRPr="00000000">
        <w:rPr>
          <w:sz w:val="24"/>
          <w:szCs w:val="24"/>
          <w:highlight w:val="white"/>
          <w:rtl w:val="0"/>
        </w:rPr>
        <w:t xml:space="preserve">(Accessed 28 February 2022).</w:t>
      </w:r>
    </w:p>
    <w:p w:rsidR="00000000" w:rsidDel="00000000" w:rsidP="00000000" w:rsidRDefault="00000000" w:rsidRPr="00000000" w14:paraId="00000048">
      <w:pPr>
        <w:numPr>
          <w:ilvl w:val="0"/>
          <w:numId w:val="1"/>
        </w:numPr>
        <w:ind w:left="720" w:hanging="360"/>
        <w:rPr>
          <w:sz w:val="24"/>
          <w:szCs w:val="24"/>
          <w:highlight w:val="white"/>
        </w:rPr>
      </w:pPr>
      <w:r w:rsidDel="00000000" w:rsidR="00000000" w:rsidRPr="00000000">
        <w:rPr>
          <w:sz w:val="24"/>
          <w:szCs w:val="24"/>
          <w:highlight w:val="white"/>
          <w:rtl w:val="0"/>
        </w:rPr>
        <w:t xml:space="preserve">Crime, Justice and Law. 2022. </w:t>
      </w:r>
      <w:r w:rsidDel="00000000" w:rsidR="00000000" w:rsidRPr="00000000">
        <w:rPr>
          <w:i w:val="1"/>
          <w:sz w:val="24"/>
          <w:szCs w:val="24"/>
          <w:highlight w:val="white"/>
          <w:rtl w:val="0"/>
        </w:rPr>
        <w:t xml:space="preserve">The Control and Avoidance of Contamination in Scene Examination involving DNA Evidence Recovery</w:t>
      </w:r>
      <w:r w:rsidDel="00000000" w:rsidR="00000000" w:rsidRPr="00000000">
        <w:rPr>
          <w:sz w:val="24"/>
          <w:szCs w:val="24"/>
          <w:highlight w:val="white"/>
          <w:rtl w:val="0"/>
        </w:rPr>
        <w:t xml:space="preserve">. Available at: </w:t>
      </w:r>
      <w:hyperlink r:id="rId18">
        <w:r w:rsidDel="00000000" w:rsidR="00000000" w:rsidRPr="00000000">
          <w:rPr>
            <w:color w:val="1155cc"/>
            <w:sz w:val="24"/>
            <w:szCs w:val="24"/>
            <w:highlight w:val="white"/>
            <w:u w:val="single"/>
            <w:rtl w:val="0"/>
          </w:rPr>
          <w:t xml:space="preserve">https://assets.publishing.service.gov.uk/government/uploads/system/uploads/attachment_data/file/915221/FSR_G-206_Issue_2_Final.pdf</w:t>
        </w:r>
      </w:hyperlink>
      <w:r w:rsidDel="00000000" w:rsidR="00000000" w:rsidRPr="00000000">
        <w:rPr>
          <w:sz w:val="24"/>
          <w:szCs w:val="24"/>
          <w:highlight w:val="white"/>
          <w:rtl w:val="0"/>
        </w:rPr>
        <w:t xml:space="preserve"> (Accessed 27 February 2022).</w:t>
      </w:r>
    </w:p>
    <w:p w:rsidR="00000000" w:rsidDel="00000000" w:rsidP="00000000" w:rsidRDefault="00000000" w:rsidRPr="00000000" w14:paraId="00000049">
      <w:pPr>
        <w:numPr>
          <w:ilvl w:val="0"/>
          <w:numId w:val="1"/>
        </w:numPr>
        <w:ind w:left="720" w:hanging="360"/>
        <w:rPr>
          <w:sz w:val="24"/>
          <w:szCs w:val="24"/>
          <w:highlight w:val="white"/>
        </w:rPr>
      </w:pPr>
      <w:r w:rsidDel="00000000" w:rsidR="00000000" w:rsidRPr="00000000">
        <w:rPr>
          <w:sz w:val="24"/>
          <w:szCs w:val="24"/>
          <w:highlight w:val="white"/>
          <w:rtl w:val="0"/>
        </w:rPr>
        <w:t xml:space="preserve">Deane, P., 2019. </w:t>
      </w:r>
      <w:r w:rsidDel="00000000" w:rsidR="00000000" w:rsidRPr="00000000">
        <w:rPr>
          <w:i w:val="1"/>
          <w:sz w:val="24"/>
          <w:szCs w:val="24"/>
          <w:highlight w:val="white"/>
          <w:rtl w:val="0"/>
        </w:rPr>
        <w:t xml:space="preserve">Back to Basics: Golden Hour Principles in Serious Collision Investigation | Harper Shaw</w:t>
      </w:r>
      <w:r w:rsidDel="00000000" w:rsidR="00000000" w:rsidRPr="00000000">
        <w:rPr>
          <w:sz w:val="24"/>
          <w:szCs w:val="24"/>
          <w:highlight w:val="white"/>
          <w:rtl w:val="0"/>
        </w:rPr>
        <w:t xml:space="preserve">. Harper Shaw. Available at: </w:t>
      </w:r>
      <w:hyperlink r:id="rId19">
        <w:r w:rsidDel="00000000" w:rsidR="00000000" w:rsidRPr="00000000">
          <w:rPr>
            <w:color w:val="1155cc"/>
            <w:sz w:val="24"/>
            <w:szCs w:val="24"/>
            <w:highlight w:val="white"/>
            <w:u w:val="single"/>
            <w:rtl w:val="0"/>
          </w:rPr>
          <w:t xml:space="preserve">https://harpershaw.co.uk/back-to-basics-golden-hour-principles-in-serious-collision-investigation/#:~:</w:t>
        </w:r>
      </w:hyperlink>
      <w:hyperlink r:id="rId20">
        <w:r w:rsidDel="00000000" w:rsidR="00000000" w:rsidRPr="00000000">
          <w:rPr>
            <w:color w:val="1155cc"/>
            <w:sz w:val="24"/>
            <w:szCs w:val="24"/>
            <w:highlight w:val="white"/>
            <w:u w:val="single"/>
            <w:rtl w:val="0"/>
          </w:rPr>
          <w:t xml:space="preserve">text=Back%20to%20Basics%3A%20Golden%20Hour%20Principles%20in%20Serious%20Collision%20Investigation</w:t>
        </w:r>
      </w:hyperlink>
      <w:hyperlink r:id="rId21">
        <w:r w:rsidDel="00000000" w:rsidR="00000000" w:rsidRPr="00000000">
          <w:rPr>
            <w:color w:val="1155cc"/>
            <w:sz w:val="24"/>
            <w:szCs w:val="24"/>
            <w:highlight w:val="white"/>
            <w:u w:val="single"/>
            <w:rtl w:val="0"/>
          </w:rPr>
          <w:t xml:space="preserve">,-Posted%20on%2030th&amp;text=</w:t>
        </w:r>
      </w:hyperlink>
      <w:hyperlink r:id="rId22">
        <w:r w:rsidDel="00000000" w:rsidR="00000000" w:rsidRPr="00000000">
          <w:rPr>
            <w:color w:val="1155cc"/>
            <w:sz w:val="24"/>
            <w:szCs w:val="24"/>
            <w:highlight w:val="white"/>
            <w:u w:val="single"/>
            <w:rtl w:val="0"/>
          </w:rPr>
          <w:t xml:space="preserve">The%20Golden%20Hour%20is%20a</w:t>
        </w:r>
      </w:hyperlink>
      <w:hyperlink r:id="rId23">
        <w:r w:rsidDel="00000000" w:rsidR="00000000" w:rsidRPr="00000000">
          <w:rPr>
            <w:color w:val="1155cc"/>
            <w:sz w:val="24"/>
            <w:szCs w:val="24"/>
            <w:highlight w:val="white"/>
            <w:u w:val="single"/>
            <w:rtl w:val="0"/>
          </w:rPr>
          <w:t xml:space="preserve">,readily%20available%20to%20the%20police</w:t>
        </w:r>
      </w:hyperlink>
      <w:r w:rsidDel="00000000" w:rsidR="00000000" w:rsidRPr="00000000">
        <w:rPr>
          <w:sz w:val="24"/>
          <w:szCs w:val="24"/>
          <w:highlight w:val="white"/>
          <w:rtl w:val="0"/>
        </w:rPr>
        <w:t xml:space="preserve">. (Accessed 1 March 2022).</w:t>
      </w:r>
    </w:p>
    <w:p w:rsidR="00000000" w:rsidDel="00000000" w:rsidP="00000000" w:rsidRDefault="00000000" w:rsidRPr="00000000" w14:paraId="0000004A">
      <w:pPr>
        <w:numPr>
          <w:ilvl w:val="0"/>
          <w:numId w:val="1"/>
        </w:numPr>
        <w:ind w:left="720" w:hanging="360"/>
        <w:rPr>
          <w:sz w:val="24"/>
          <w:szCs w:val="24"/>
          <w:highlight w:val="white"/>
        </w:rPr>
      </w:pPr>
      <w:r w:rsidDel="00000000" w:rsidR="00000000" w:rsidRPr="00000000">
        <w:rPr>
          <w:sz w:val="24"/>
          <w:szCs w:val="24"/>
          <w:highlight w:val="white"/>
          <w:rtl w:val="0"/>
        </w:rPr>
        <w:t xml:space="preserve">Griffiths, A., 2017. </w:t>
      </w:r>
      <w:r w:rsidDel="00000000" w:rsidR="00000000" w:rsidRPr="00000000">
        <w:rPr>
          <w:i w:val="1"/>
          <w:sz w:val="24"/>
          <w:szCs w:val="24"/>
          <w:highlight w:val="white"/>
          <w:rtl w:val="0"/>
        </w:rPr>
        <w:t xml:space="preserve">Record, Retain &amp; Reveal: How Discovery Works in the U.K. System</w:t>
      </w:r>
      <w:r w:rsidDel="00000000" w:rsidR="00000000" w:rsidRPr="00000000">
        <w:rPr>
          <w:sz w:val="24"/>
          <w:szCs w:val="24"/>
          <w:highlight w:val="white"/>
          <w:rtl w:val="0"/>
        </w:rPr>
        <w:t xml:space="preserve">. Innocence Project. Available at: </w:t>
      </w:r>
      <w:hyperlink r:id="rId24">
        <w:r w:rsidDel="00000000" w:rsidR="00000000" w:rsidRPr="00000000">
          <w:rPr>
            <w:color w:val="1155cc"/>
            <w:sz w:val="24"/>
            <w:szCs w:val="24"/>
            <w:highlight w:val="white"/>
            <w:u w:val="single"/>
            <w:rtl w:val="0"/>
          </w:rPr>
          <w:t xml:space="preserve">https://innocenceproject.org/record-retain-reveal-how-discovery-works-in-the-united-kingdom/</w:t>
        </w:r>
      </w:hyperlink>
      <w:r w:rsidDel="00000000" w:rsidR="00000000" w:rsidRPr="00000000">
        <w:rPr>
          <w:sz w:val="24"/>
          <w:szCs w:val="24"/>
          <w:highlight w:val="white"/>
          <w:rtl w:val="0"/>
        </w:rPr>
        <w:t xml:space="preserve"> (Accessed 3 March 2022).</w:t>
      </w:r>
    </w:p>
    <w:p w:rsidR="00000000" w:rsidDel="00000000" w:rsidP="00000000" w:rsidRDefault="00000000" w:rsidRPr="00000000" w14:paraId="0000004B">
      <w:pPr>
        <w:numPr>
          <w:ilvl w:val="0"/>
          <w:numId w:val="1"/>
        </w:numPr>
        <w:ind w:left="720" w:hanging="360"/>
        <w:rPr>
          <w:sz w:val="24"/>
          <w:szCs w:val="24"/>
          <w:highlight w:val="white"/>
        </w:rPr>
      </w:pPr>
      <w:r w:rsidDel="00000000" w:rsidR="00000000" w:rsidRPr="00000000">
        <w:rPr>
          <w:sz w:val="24"/>
          <w:szCs w:val="24"/>
          <w:highlight w:val="white"/>
          <w:rtl w:val="0"/>
        </w:rPr>
        <w:t xml:space="preserve">Hayden B. Baldwin, P., 2017. </w:t>
      </w:r>
      <w:r w:rsidDel="00000000" w:rsidR="00000000" w:rsidRPr="00000000">
        <w:rPr>
          <w:i w:val="1"/>
          <w:sz w:val="24"/>
          <w:szCs w:val="24"/>
          <w:highlight w:val="white"/>
          <w:rtl w:val="0"/>
        </w:rPr>
        <w:t xml:space="preserve">Crime Scene Contamination Issues</w:t>
      </w:r>
      <w:r w:rsidDel="00000000" w:rsidR="00000000" w:rsidRPr="00000000">
        <w:rPr>
          <w:sz w:val="24"/>
          <w:szCs w:val="24"/>
          <w:highlight w:val="white"/>
          <w:rtl w:val="0"/>
        </w:rPr>
        <w:t xml:space="preserve">. Crime-scene-investigator.net. Available at: </w:t>
      </w:r>
      <w:hyperlink r:id="rId25">
        <w:r w:rsidDel="00000000" w:rsidR="00000000" w:rsidRPr="00000000">
          <w:rPr>
            <w:color w:val="1155cc"/>
            <w:sz w:val="24"/>
            <w:szCs w:val="24"/>
            <w:highlight w:val="white"/>
            <w:u w:val="single"/>
            <w:rtl w:val="0"/>
          </w:rPr>
          <w:t xml:space="preserve">https://www.crime-scene-investigator.net/crime-scene-contamination-issues.html</w:t>
        </w:r>
      </w:hyperlink>
      <w:r w:rsidDel="00000000" w:rsidR="00000000" w:rsidRPr="00000000">
        <w:rPr>
          <w:sz w:val="24"/>
          <w:szCs w:val="24"/>
          <w:highlight w:val="white"/>
          <w:rtl w:val="0"/>
        </w:rPr>
        <w:t xml:space="preserve"> (Accessed 27 February 2022).</w:t>
      </w:r>
    </w:p>
    <w:p w:rsidR="00000000" w:rsidDel="00000000" w:rsidP="00000000" w:rsidRDefault="00000000" w:rsidRPr="00000000" w14:paraId="0000004C">
      <w:pPr>
        <w:numPr>
          <w:ilvl w:val="0"/>
          <w:numId w:val="1"/>
        </w:numPr>
        <w:ind w:left="720" w:hanging="360"/>
        <w:rPr>
          <w:sz w:val="24"/>
          <w:szCs w:val="24"/>
          <w:highlight w:val="white"/>
        </w:rPr>
      </w:pPr>
      <w:r w:rsidDel="00000000" w:rsidR="00000000" w:rsidRPr="00000000">
        <w:rPr>
          <w:sz w:val="24"/>
          <w:szCs w:val="24"/>
          <w:highlight w:val="white"/>
          <w:rtl w:val="0"/>
        </w:rPr>
        <w:t xml:space="preserve">Home Office, 2017. </w:t>
      </w:r>
      <w:r w:rsidDel="00000000" w:rsidR="00000000" w:rsidRPr="00000000">
        <w:rPr>
          <w:i w:val="1"/>
          <w:sz w:val="24"/>
          <w:szCs w:val="24"/>
          <w:highlight w:val="white"/>
          <w:rtl w:val="0"/>
        </w:rPr>
        <w:t xml:space="preserve">POLICE AND CRIMINAL EVIDENCE ACT 1984.</w:t>
      </w:r>
      <w:r w:rsidDel="00000000" w:rsidR="00000000" w:rsidRPr="00000000">
        <w:rPr>
          <w:sz w:val="24"/>
          <w:szCs w:val="24"/>
          <w:highlight w:val="white"/>
          <w:rtl w:val="0"/>
        </w:rPr>
        <w:t xml:space="preserve"> Available at:</w:t>
      </w:r>
      <w:hyperlink r:id="rId26">
        <w:r w:rsidDel="00000000" w:rsidR="00000000" w:rsidRPr="00000000">
          <w:rPr>
            <w:color w:val="1155cc"/>
            <w:sz w:val="24"/>
            <w:szCs w:val="24"/>
            <w:highlight w:val="white"/>
            <w:u w:val="single"/>
            <w:rtl w:val="0"/>
          </w:rPr>
          <w:t xml:space="preserve">https://assets.publishing.service.gov.uk/government/uploads/system/uploads/attachment_data/file/117591/pace-code-b-2011.pdf</w:t>
        </w:r>
      </w:hyperlink>
      <w:r w:rsidDel="00000000" w:rsidR="00000000" w:rsidRPr="00000000">
        <w:rPr>
          <w:sz w:val="24"/>
          <w:szCs w:val="24"/>
          <w:highlight w:val="white"/>
          <w:rtl w:val="0"/>
        </w:rPr>
        <w:t xml:space="preserve"> (Accessed 3 March 2022).</w:t>
      </w:r>
    </w:p>
    <w:p w:rsidR="00000000" w:rsidDel="00000000" w:rsidP="00000000" w:rsidRDefault="00000000" w:rsidRPr="00000000" w14:paraId="0000004D">
      <w:pPr>
        <w:numPr>
          <w:ilvl w:val="0"/>
          <w:numId w:val="1"/>
        </w:numPr>
        <w:ind w:left="720" w:hanging="360"/>
        <w:rPr>
          <w:sz w:val="24"/>
          <w:szCs w:val="24"/>
          <w:highlight w:val="white"/>
        </w:rPr>
      </w:pPr>
      <w:r w:rsidDel="00000000" w:rsidR="00000000" w:rsidRPr="00000000">
        <w:rPr>
          <w:sz w:val="24"/>
          <w:szCs w:val="24"/>
          <w:highlight w:val="white"/>
          <w:rtl w:val="0"/>
        </w:rPr>
        <w:t xml:space="preserve">Lingwood, J., Smith, L. and Bond, J., 2015. </w:t>
      </w:r>
      <w:r w:rsidDel="00000000" w:rsidR="00000000" w:rsidRPr="00000000">
        <w:rPr>
          <w:i w:val="1"/>
          <w:sz w:val="24"/>
          <w:szCs w:val="24"/>
          <w:highlight w:val="white"/>
          <w:rtl w:val="0"/>
        </w:rPr>
        <w:t xml:space="preserve">Amateur versus professional: Does the recovery of forensic evidence differ depending on who assesses the crime scene?</w:t>
      </w:r>
      <w:r w:rsidDel="00000000" w:rsidR="00000000" w:rsidRPr="00000000">
        <w:rPr>
          <w:sz w:val="24"/>
          <w:szCs w:val="24"/>
          <w:highlight w:val="white"/>
          <w:rtl w:val="0"/>
        </w:rPr>
        <w:t xml:space="preserve">. [online] International Journal of Police Science &amp; Management. Available at: </w:t>
      </w:r>
      <w:hyperlink r:id="rId27">
        <w:r w:rsidDel="00000000" w:rsidR="00000000" w:rsidRPr="00000000">
          <w:rPr>
            <w:color w:val="1155cc"/>
            <w:sz w:val="24"/>
            <w:szCs w:val="24"/>
            <w:highlight w:val="white"/>
            <w:u w:val="single"/>
            <w:rtl w:val="0"/>
          </w:rPr>
          <w:t xml:space="preserve">https://journals.sagepub.com/doi/abs/10.1177/1461355714566774</w:t>
        </w:r>
      </w:hyperlink>
      <w:r w:rsidDel="00000000" w:rsidR="00000000" w:rsidRPr="00000000">
        <w:rPr>
          <w:sz w:val="24"/>
          <w:szCs w:val="24"/>
          <w:highlight w:val="white"/>
          <w:rtl w:val="0"/>
        </w:rPr>
        <w:t xml:space="preserve">(Accessed 26 February 2022).</w:t>
      </w:r>
    </w:p>
    <w:p w:rsidR="00000000" w:rsidDel="00000000" w:rsidP="00000000" w:rsidRDefault="00000000" w:rsidRPr="00000000" w14:paraId="0000004E">
      <w:pPr>
        <w:numPr>
          <w:ilvl w:val="0"/>
          <w:numId w:val="1"/>
        </w:numPr>
        <w:ind w:left="720" w:hanging="360"/>
        <w:rPr>
          <w:sz w:val="24"/>
          <w:szCs w:val="24"/>
          <w:highlight w:val="white"/>
        </w:rPr>
      </w:pPr>
      <w:r w:rsidDel="00000000" w:rsidR="00000000" w:rsidRPr="00000000">
        <w:rPr>
          <w:sz w:val="24"/>
          <w:szCs w:val="24"/>
          <w:highlight w:val="white"/>
          <w:rtl w:val="0"/>
        </w:rPr>
        <w:t xml:space="preserve">Library Police, 2005. </w:t>
      </w:r>
      <w:r w:rsidDel="00000000" w:rsidR="00000000" w:rsidRPr="00000000">
        <w:rPr>
          <w:i w:val="1"/>
          <w:sz w:val="24"/>
          <w:szCs w:val="24"/>
          <w:highlight w:val="white"/>
          <w:rtl w:val="0"/>
        </w:rPr>
        <w:t xml:space="preserve">Extract from ACPO (2005) Core Investigative Doctrine</w:t>
      </w:r>
      <w:r w:rsidDel="00000000" w:rsidR="00000000" w:rsidRPr="00000000">
        <w:rPr>
          <w:sz w:val="24"/>
          <w:szCs w:val="24"/>
          <w:highlight w:val="white"/>
          <w:rtl w:val="0"/>
        </w:rPr>
        <w:t xml:space="preserve">. Available at:</w:t>
      </w:r>
      <w:hyperlink r:id="rId28">
        <w:r w:rsidDel="00000000" w:rsidR="00000000" w:rsidRPr="00000000">
          <w:rPr>
            <w:color w:val="1155cc"/>
            <w:sz w:val="24"/>
            <w:szCs w:val="24"/>
            <w:highlight w:val="white"/>
            <w:u w:val="single"/>
            <w:rtl w:val="0"/>
          </w:rPr>
          <w:t xml:space="preserve">https://library.college.police.uk/docs/APPref/core-investigative-doctrine.pdf</w:t>
        </w:r>
      </w:hyperlink>
      <w:r w:rsidDel="00000000" w:rsidR="00000000" w:rsidRPr="00000000">
        <w:rPr>
          <w:sz w:val="24"/>
          <w:szCs w:val="24"/>
          <w:highlight w:val="white"/>
          <w:rtl w:val="0"/>
        </w:rPr>
        <w:t xml:space="preserve">  [Accessed 2 March 2022].</w:t>
      </w:r>
    </w:p>
    <w:p w:rsidR="00000000" w:rsidDel="00000000" w:rsidP="00000000" w:rsidRDefault="00000000" w:rsidRPr="00000000" w14:paraId="0000004F">
      <w:pPr>
        <w:numPr>
          <w:ilvl w:val="0"/>
          <w:numId w:val="1"/>
        </w:numPr>
        <w:ind w:left="720" w:hanging="360"/>
        <w:rPr>
          <w:sz w:val="24"/>
          <w:szCs w:val="24"/>
          <w:highlight w:val="white"/>
        </w:rPr>
      </w:pPr>
      <w:r w:rsidDel="00000000" w:rsidR="00000000" w:rsidRPr="00000000">
        <w:rPr>
          <w:sz w:val="24"/>
          <w:szCs w:val="24"/>
          <w:highlight w:val="white"/>
          <w:rtl w:val="0"/>
        </w:rPr>
        <w:t xml:space="preserve">Forensics. 2022. </w:t>
      </w:r>
      <w:r w:rsidDel="00000000" w:rsidR="00000000" w:rsidRPr="00000000">
        <w:rPr>
          <w:i w:val="1"/>
          <w:sz w:val="24"/>
          <w:szCs w:val="24"/>
          <w:highlight w:val="white"/>
          <w:rtl w:val="0"/>
        </w:rPr>
        <w:t xml:space="preserve">Crime Scenes – The Forensics Library</w:t>
      </w:r>
      <w:r w:rsidDel="00000000" w:rsidR="00000000" w:rsidRPr="00000000">
        <w:rPr>
          <w:sz w:val="24"/>
          <w:szCs w:val="24"/>
          <w:highlight w:val="white"/>
          <w:rtl w:val="0"/>
        </w:rPr>
        <w:t xml:space="preserve">. Available at: </w:t>
      </w:r>
      <w:hyperlink r:id="rId29">
        <w:r w:rsidDel="00000000" w:rsidR="00000000" w:rsidRPr="00000000">
          <w:rPr>
            <w:color w:val="1155cc"/>
            <w:sz w:val="24"/>
            <w:szCs w:val="24"/>
            <w:highlight w:val="white"/>
            <w:u w:val="single"/>
            <w:rtl w:val="0"/>
          </w:rPr>
          <w:t xml:space="preserve">https://aboutforensics.co.uk/links/</w:t>
        </w:r>
      </w:hyperlink>
      <w:r w:rsidDel="00000000" w:rsidR="00000000" w:rsidRPr="00000000">
        <w:rPr>
          <w:sz w:val="24"/>
          <w:szCs w:val="24"/>
          <w:highlight w:val="white"/>
          <w:rtl w:val="0"/>
        </w:rPr>
        <w:t xml:space="preserve">  (Accessed 27 February 2022).</w:t>
      </w:r>
    </w:p>
    <w:p w:rsidR="00000000" w:rsidDel="00000000" w:rsidP="00000000" w:rsidRDefault="00000000" w:rsidRPr="00000000" w14:paraId="00000050">
      <w:pPr>
        <w:numPr>
          <w:ilvl w:val="0"/>
          <w:numId w:val="1"/>
        </w:numPr>
        <w:ind w:left="720" w:hanging="360"/>
        <w:rPr>
          <w:sz w:val="24"/>
          <w:szCs w:val="24"/>
          <w:highlight w:val="white"/>
        </w:rPr>
      </w:pPr>
      <w:r w:rsidDel="00000000" w:rsidR="00000000" w:rsidRPr="00000000">
        <w:rPr>
          <w:sz w:val="24"/>
          <w:szCs w:val="24"/>
          <w:highlight w:val="white"/>
          <w:rtl w:val="0"/>
        </w:rPr>
        <w:t xml:space="preserve">Forensics sciences, 2013. </w:t>
      </w:r>
      <w:r w:rsidDel="00000000" w:rsidR="00000000" w:rsidRPr="00000000">
        <w:rPr>
          <w:i w:val="1"/>
          <w:sz w:val="24"/>
          <w:szCs w:val="24"/>
          <w:highlight w:val="white"/>
          <w:rtl w:val="0"/>
        </w:rPr>
        <w:t xml:space="preserve">Crime Scene Investigation: How It’s Done</w:t>
      </w:r>
      <w:r w:rsidDel="00000000" w:rsidR="00000000" w:rsidRPr="00000000">
        <w:rPr>
          <w:sz w:val="24"/>
          <w:szCs w:val="24"/>
          <w:highlight w:val="white"/>
          <w:rtl w:val="0"/>
        </w:rPr>
        <w:t xml:space="preserve">.Available at: </w:t>
      </w:r>
      <w:hyperlink r:id="rId30">
        <w:r w:rsidDel="00000000" w:rsidR="00000000" w:rsidRPr="00000000">
          <w:rPr>
            <w:color w:val="1155cc"/>
            <w:sz w:val="24"/>
            <w:szCs w:val="24"/>
            <w:highlight w:val="white"/>
            <w:u w:val="single"/>
            <w:rtl w:val="0"/>
          </w:rPr>
          <w:t xml:space="preserve">http://www.forensicsciencesimplified.org/csi/how.html</w:t>
        </w:r>
      </w:hyperlink>
      <w:r w:rsidDel="00000000" w:rsidR="00000000" w:rsidRPr="00000000">
        <w:rPr>
          <w:sz w:val="24"/>
          <w:szCs w:val="24"/>
          <w:highlight w:val="white"/>
          <w:rtl w:val="0"/>
        </w:rPr>
        <w:t xml:space="preserve"> (Accessed 3 March 2022).</w:t>
      </w:r>
    </w:p>
    <w:p w:rsidR="00000000" w:rsidDel="00000000" w:rsidP="00000000" w:rsidRDefault="00000000" w:rsidRPr="00000000" w14:paraId="00000051">
      <w:pPr>
        <w:numPr>
          <w:ilvl w:val="0"/>
          <w:numId w:val="1"/>
        </w:numPr>
        <w:ind w:left="720" w:hanging="360"/>
        <w:rPr>
          <w:sz w:val="24"/>
          <w:szCs w:val="24"/>
          <w:highlight w:val="white"/>
        </w:rPr>
      </w:pPr>
      <w:r w:rsidDel="00000000" w:rsidR="00000000" w:rsidRPr="00000000">
        <w:rPr>
          <w:sz w:val="24"/>
          <w:szCs w:val="24"/>
          <w:highlight w:val="white"/>
          <w:rtl w:val="0"/>
        </w:rPr>
        <w:t xml:space="preserve">Morgan Rustidge, M., 2022. </w:t>
      </w:r>
      <w:r w:rsidDel="00000000" w:rsidR="00000000" w:rsidRPr="00000000">
        <w:rPr>
          <w:i w:val="1"/>
          <w:sz w:val="24"/>
          <w:szCs w:val="24"/>
          <w:highlight w:val="white"/>
          <w:rtl w:val="0"/>
        </w:rPr>
        <w:t xml:space="preserve">Reducing Contamination in Forensic Investigations</w:t>
      </w:r>
      <w:r w:rsidDel="00000000" w:rsidR="00000000" w:rsidRPr="00000000">
        <w:rPr>
          <w:sz w:val="24"/>
          <w:szCs w:val="24"/>
          <w:highlight w:val="white"/>
          <w:rtl w:val="0"/>
        </w:rPr>
        <w:t xml:space="preserve">. News-Medical.net. Available at: </w:t>
      </w:r>
      <w:hyperlink r:id="rId31">
        <w:r w:rsidDel="00000000" w:rsidR="00000000" w:rsidRPr="00000000">
          <w:rPr>
            <w:color w:val="1155cc"/>
            <w:sz w:val="24"/>
            <w:szCs w:val="24"/>
            <w:highlight w:val="white"/>
            <w:u w:val="single"/>
            <w:rtl w:val="0"/>
          </w:rPr>
          <w:t xml:space="preserve">https://www.azolifesciences.com/article/Reducing-Contamination-in-Forensic-Investigations.aspx</w:t>
        </w:r>
      </w:hyperlink>
      <w:r w:rsidDel="00000000" w:rsidR="00000000" w:rsidRPr="00000000">
        <w:rPr>
          <w:sz w:val="24"/>
          <w:szCs w:val="24"/>
          <w:highlight w:val="white"/>
          <w:rtl w:val="0"/>
        </w:rPr>
        <w:t xml:space="preserve"> (Accessed 27 February 2022).</w:t>
      </w:r>
    </w:p>
    <w:p w:rsidR="00000000" w:rsidDel="00000000" w:rsidP="00000000" w:rsidRDefault="00000000" w:rsidRPr="00000000" w14:paraId="00000052">
      <w:pPr>
        <w:ind w:left="720" w:firstLine="0"/>
        <w:rPr>
          <w:sz w:val="24"/>
          <w:szCs w:val="24"/>
          <w:highlight w:val="white"/>
        </w:rPr>
      </w:pPr>
      <w:r w:rsidDel="00000000" w:rsidR="00000000" w:rsidRPr="00000000">
        <w:rPr>
          <w:rtl w:val="0"/>
        </w:rPr>
      </w:r>
    </w:p>
    <w:p w:rsidR="00000000" w:rsidDel="00000000" w:rsidP="00000000" w:rsidRDefault="00000000" w:rsidRPr="00000000" w14:paraId="00000053">
      <w:pPr>
        <w:rPr>
          <w:sz w:val="24"/>
          <w:szCs w:val="24"/>
          <w:highlight w:val="white"/>
        </w:rPr>
      </w:pPr>
      <w:r w:rsidDel="00000000" w:rsidR="00000000" w:rsidRPr="00000000">
        <w:rPr>
          <w:rtl w:val="0"/>
        </w:rPr>
      </w:r>
    </w:p>
    <w:p w:rsidR="00000000" w:rsidDel="00000000" w:rsidP="00000000" w:rsidRDefault="00000000" w:rsidRPr="00000000" w14:paraId="00000054">
      <w:pPr>
        <w:ind w:left="0" w:firstLine="0"/>
        <w:rPr>
          <w:sz w:val="24"/>
          <w:szCs w:val="24"/>
          <w:highlight w:val="white"/>
        </w:rPr>
      </w:pPr>
      <w:r w:rsidDel="00000000" w:rsidR="00000000" w:rsidRPr="00000000">
        <w:rPr>
          <w:rtl w:val="0"/>
        </w:rPr>
      </w:r>
    </w:p>
    <w:p w:rsidR="00000000" w:rsidDel="00000000" w:rsidP="00000000" w:rsidRDefault="00000000" w:rsidRPr="00000000" w14:paraId="00000055">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56">
      <w:pPr>
        <w:spacing w:after="240" w:before="240" w:lineRule="auto"/>
        <w:rPr>
          <w:sz w:val="24"/>
          <w:szCs w:val="24"/>
          <w:highlight w:val="white"/>
        </w:rPr>
      </w:pPr>
      <w:r w:rsidDel="00000000" w:rsidR="00000000" w:rsidRPr="00000000">
        <w:rPr>
          <w:rtl w:val="0"/>
        </w:rPr>
      </w:r>
    </w:p>
    <w:p w:rsidR="00000000" w:rsidDel="00000000" w:rsidP="00000000" w:rsidRDefault="00000000" w:rsidRPr="00000000" w14:paraId="00000057">
      <w:pPr>
        <w:rPr>
          <w:sz w:val="24"/>
          <w:szCs w:val="24"/>
          <w:highlight w:val="white"/>
        </w:rPr>
      </w:pPr>
      <w:r w:rsidDel="00000000" w:rsidR="00000000" w:rsidRPr="00000000">
        <w:rPr>
          <w:rtl w:val="0"/>
        </w:rPr>
      </w:r>
    </w:p>
    <w:p w:rsidR="00000000" w:rsidDel="00000000" w:rsidP="00000000" w:rsidRDefault="00000000" w:rsidRPr="00000000" w14:paraId="00000058">
      <w:pPr>
        <w:rPr>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59">
      <w:pPr>
        <w:rPr>
          <w:sz w:val="24"/>
          <w:szCs w:val="24"/>
          <w:highlight w:val="white"/>
        </w:rPr>
      </w:pPr>
      <w:r w:rsidDel="00000000" w:rsidR="00000000" w:rsidRPr="00000000">
        <w:rPr>
          <w:rtl w:val="0"/>
        </w:rPr>
      </w:r>
    </w:p>
    <w:sectPr>
      <w:headerReference r:id="rId3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harpershaw.co.uk/back-to-basics-golden-hour-principles-in-serious-collision-investigation/#:~:text=Back%20to%20Basics%3A%20Golden%20Hour%20Principles%20in%20Serious%20Collision%20Investigation,-Posted%20on%2030th&amp;text=The%20Golden%20Hour%20is%20a,readily%20available%20to%20the%20police" TargetMode="External"/><Relationship Id="rId22" Type="http://schemas.openxmlformats.org/officeDocument/2006/relationships/hyperlink" Target="https://harpershaw.co.uk/back-to-basics-golden-hour-principles-in-serious-collision-investigation/#:~:text=Back%20to%20Basics%3A%20Golden%20Hour%20Principles%20in%20Serious%20Collision%20Investigation,-Posted%20on%2030th&amp;text=The%20Golden%20Hour%20is%20a,readily%20available%20to%20the%20police" TargetMode="External"/><Relationship Id="rId21" Type="http://schemas.openxmlformats.org/officeDocument/2006/relationships/hyperlink" Target="https://harpershaw.co.uk/back-to-basics-golden-hour-principles-in-serious-collision-investigation/#:~:text=Back%20to%20Basics%3A%20Golden%20Hour%20Principles%20in%20Serious%20Collision%20Investigation,-Posted%20on%2030th&amp;text=The%20Golden%20Hour%20is%20a,readily%20available%20to%20the%20police" TargetMode="External"/><Relationship Id="rId24" Type="http://schemas.openxmlformats.org/officeDocument/2006/relationships/hyperlink" Target="https://innocenceproject.org/record-retain-reveal-how-discovery-works-in-the-united-kingdom/" TargetMode="External"/><Relationship Id="rId23" Type="http://schemas.openxmlformats.org/officeDocument/2006/relationships/hyperlink" Target="https://harpershaw.co.uk/back-to-basics-golden-hour-principles-in-serious-collision-investigation/#:~:text=Back%20to%20Basics%3A%20Golden%20Hour%20Principles%20in%20Serious%20Collision%20Investigation,-Posted%20on%2030th&amp;text=The%20Golden%20Hour%20is%20a,readily%20available%20to%20the%20poli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ciencelearn.org.nz/resources/1978-forensics-and-dna#:~:text=An%20example%20of%20modern%20forensics,%2C%20saliva%2C%20bone%20and%20tissue.&amp;text=Fingerprints%20can%20be%20detected%20and%20used%20for%20forensic%20purposes" TargetMode="External"/><Relationship Id="rId26" Type="http://schemas.openxmlformats.org/officeDocument/2006/relationships/hyperlink" Target="https://assets.publishing.service.gov.uk/government/uploads/system/uploads/attachment_data/file/117591/pace-code-b-2011.pdf" TargetMode="External"/><Relationship Id="rId25" Type="http://schemas.openxmlformats.org/officeDocument/2006/relationships/hyperlink" Target="https://www.crime-scene-investigator.net/crime-scene-contamination-issues.html" TargetMode="External"/><Relationship Id="rId28" Type="http://schemas.openxmlformats.org/officeDocument/2006/relationships/hyperlink" Target="https://library.college.police.uk/docs/APPref/core-investigative-doctrine.pdf" TargetMode="External"/><Relationship Id="rId27" Type="http://schemas.openxmlformats.org/officeDocument/2006/relationships/hyperlink" Target="https://journals.sagepub.com/doi/abs/10.1177/1461355714566774" TargetMode="External"/><Relationship Id="rId5" Type="http://schemas.openxmlformats.org/officeDocument/2006/relationships/styles" Target="styles.xml"/><Relationship Id="rId6" Type="http://schemas.openxmlformats.org/officeDocument/2006/relationships/hyperlink" Target="https://scholarworks.sjsu.edu/cgi/viewcontent.cgi?article=1033&amp;context=themis" TargetMode="External"/><Relationship Id="rId29" Type="http://schemas.openxmlformats.org/officeDocument/2006/relationships/hyperlink" Target="https://aboutforensics.co.uk/links/" TargetMode="External"/><Relationship Id="rId7" Type="http://schemas.openxmlformats.org/officeDocument/2006/relationships/hyperlink" Target="https://www.sciencelearn.org.nz/resources/1978-forensics-and-dna#:~:text=An%20example%20of%20modern%20forensics,%2C%20saliva%2C%20bone%20and%20tissue.&amp;text=Fingerprints%20can%20be%20detected%20and%20used%20for%20forensic%20purposes" TargetMode="External"/><Relationship Id="rId8" Type="http://schemas.openxmlformats.org/officeDocument/2006/relationships/hyperlink" Target="https://www.sciencelearn.org.nz/resources/1978-forensics-and-dna#:~:text=An%20example%20of%20modern%20forensics,%2C%20saliva%2C%20bone%20and%20tissue.&amp;text=Fingerprints%20can%20be%20detected%20and%20used%20for%20forensic%20purposes" TargetMode="External"/><Relationship Id="rId31" Type="http://schemas.openxmlformats.org/officeDocument/2006/relationships/hyperlink" Target="https://www.azolifesciences.com/article/Reducing-Contamination-in-Forensic-Investigations.aspx" TargetMode="External"/><Relationship Id="rId30" Type="http://schemas.openxmlformats.org/officeDocument/2006/relationships/hyperlink" Target="http://www.forensicsciencesimplified.org/csi/how.html" TargetMode="External"/><Relationship Id="rId11" Type="http://schemas.openxmlformats.org/officeDocument/2006/relationships/hyperlink" Target="https://www.sciencelearn.org.nz/resources/1978-forensics-and-dna#:~:text=An%20example%20of%20modern%20forensics,%2C%20saliva%2C%20bone%20and%20tissue.&amp;text=Fingerprints%20can%20be%20detected%20and%20used%20for%20forensic%20purposes" TargetMode="External"/><Relationship Id="rId10" Type="http://schemas.openxmlformats.org/officeDocument/2006/relationships/hyperlink" Target="https://www.sciencelearn.org.nz/resources/1978-forensics-and-dna#:~:text=An%20example%20of%20modern%20forensics,%2C%20saliva%2C%20bone%20and%20tissue.&amp;text=Fingerprints%20can%20be%20detected%20and%20used%20for%20forensic%20purposes" TargetMode="External"/><Relationship Id="rId32" Type="http://schemas.openxmlformats.org/officeDocument/2006/relationships/header" Target="header1.xml"/><Relationship Id="rId13" Type="http://schemas.openxmlformats.org/officeDocument/2006/relationships/hyperlink" Target="https://assets.publishing.service.gov.uk/government/uploads/system/uploads/attachment_data/file/115849/hoor4305.pdf" TargetMode="External"/><Relationship Id="rId12" Type="http://schemas.openxmlformats.org/officeDocument/2006/relationships/hyperlink" Target="https://www.sciencelearn.org.nz/resources/1978-forensics-and-dna#:~:text=An%20example%20of%20modern%20forensics,%2C%20saliva%2C%20bone%20and%20tissue.&amp;text=Fingerprints%20can%20be%20detected%20and%20used%20for%20forensic%20purposes" TargetMode="External"/><Relationship Id="rId15" Type="http://schemas.openxmlformats.org/officeDocument/2006/relationships/hyperlink" Target="https://www.app.college.police.uk/app-content/investigations/investigative-strategies/search-powers-and-obtaining-and-executing-search-warrants/#record-keeping" TargetMode="External"/><Relationship Id="rId14" Type="http://schemas.openxmlformats.org/officeDocument/2006/relationships/hyperlink" Target="https://whatworks.college.police.uk/Research/Research-Map/Pages/ResearchProject.aspx?projectid=937" TargetMode="External"/><Relationship Id="rId17" Type="http://schemas.openxmlformats.org/officeDocument/2006/relationships/hyperlink" Target="https://www.app.college.police.uk/app-content/investigations/investigation-process/#golden-hour" TargetMode="External"/><Relationship Id="rId16" Type="http://schemas.openxmlformats.org/officeDocument/2006/relationships/hyperlink" Target="https://www.app.college.police.uk/app-content/national-decision-model/the-national-decision-model/" TargetMode="External"/><Relationship Id="rId19" Type="http://schemas.openxmlformats.org/officeDocument/2006/relationships/hyperlink" Target="https://harpershaw.co.uk/back-to-basics-golden-hour-principles-in-serious-collision-investigation/#:~:text=Back%20to%20Basics%3A%20Golden%20Hour%20Principles%20in%20Serious%20Collision%20Investigation,-Posted%20on%2030th&amp;text=The%20Golden%20Hour%20is%20a,readily%20available%20to%20the%20police" TargetMode="External"/><Relationship Id="rId18" Type="http://schemas.openxmlformats.org/officeDocument/2006/relationships/hyperlink" Target="https://assets.publishing.service.gov.uk/government/uploads/system/uploads/attachment_data/file/915221/FSR_G-206_Issue_2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