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E1C" w:rsidRPr="002F6E1C" w:rsidRDefault="002F6E1C" w:rsidP="00E029BF">
      <w:pPr>
        <w:spacing w:before="100" w:beforeAutospacing="1" w:after="100" w:afterAutospacing="1" w:line="360" w:lineRule="auto"/>
        <w:outlineLvl w:val="0"/>
        <w:rPr>
          <w:rFonts w:ascii="Arial" w:eastAsia="Times New Roman" w:hAnsi="Arial" w:cs="Arial"/>
          <w:b/>
          <w:bCs/>
          <w:kern w:val="36"/>
          <w:sz w:val="36"/>
          <w:szCs w:val="36"/>
          <w:lang w:eastAsia="en-GB"/>
        </w:rPr>
      </w:pPr>
      <w:r w:rsidRPr="002F6E1C">
        <w:rPr>
          <w:rFonts w:ascii="Arial" w:eastAsia="Times New Roman" w:hAnsi="Arial" w:cs="Arial"/>
          <w:b/>
          <w:bCs/>
          <w:kern w:val="36"/>
          <w:sz w:val="36"/>
          <w:szCs w:val="36"/>
          <w:lang w:eastAsia="en-GB"/>
        </w:rPr>
        <w:t>A Strategic Change Plan for Jaguar Land Rover (JLR</w:t>
      </w:r>
      <w:r w:rsidR="00B919A5">
        <w:rPr>
          <w:rFonts w:ascii="Arial" w:eastAsia="Times New Roman" w:hAnsi="Arial" w:cs="Arial"/>
          <w:b/>
          <w:bCs/>
          <w:kern w:val="36"/>
          <w:sz w:val="36"/>
          <w:szCs w:val="36"/>
          <w:lang w:eastAsia="en-GB"/>
        </w:rPr>
        <w:t>)</w:t>
      </w:r>
    </w:p>
    <w:p w:rsidR="002F6E1C" w:rsidRPr="002F6E1C" w:rsidRDefault="002F6E1C" w:rsidP="00E029BF">
      <w:pPr>
        <w:spacing w:before="100" w:beforeAutospacing="1" w:after="100" w:afterAutospacing="1" w:line="360" w:lineRule="auto"/>
        <w:rPr>
          <w:rFonts w:ascii="Arial" w:eastAsia="Times New Roman" w:hAnsi="Arial" w:cs="Arial"/>
          <w:lang w:eastAsia="en-GB"/>
        </w:rPr>
      </w:pPr>
      <w:r w:rsidRPr="00E029BF">
        <w:rPr>
          <w:rFonts w:ascii="Arial" w:eastAsia="Times New Roman" w:hAnsi="Arial" w:cs="Arial"/>
          <w:bCs/>
          <w:lang w:eastAsia="en-GB"/>
        </w:rPr>
        <w:t>Student Name:</w:t>
      </w:r>
      <w:r w:rsidR="00E029BF">
        <w:rPr>
          <w:rFonts w:ascii="Arial" w:eastAsia="Times New Roman" w:hAnsi="Arial" w:cs="Arial"/>
          <w:bCs/>
          <w:lang w:eastAsia="en-GB"/>
        </w:rPr>
        <w:t xml:space="preserve"> Valentina Nestian</w:t>
      </w:r>
      <w:r w:rsidRPr="002F6E1C">
        <w:rPr>
          <w:rFonts w:ascii="Arial" w:eastAsia="Times New Roman" w:hAnsi="Arial" w:cs="Arial"/>
          <w:lang w:eastAsia="en-GB"/>
        </w:rPr>
        <w:br/>
      </w:r>
      <w:r w:rsidRPr="00E029BF">
        <w:rPr>
          <w:rFonts w:ascii="Arial" w:eastAsia="Times New Roman" w:hAnsi="Arial" w:cs="Arial"/>
          <w:bCs/>
          <w:lang w:eastAsia="en-GB"/>
        </w:rPr>
        <w:t>Student ID:</w:t>
      </w:r>
      <w:r w:rsidRPr="002F6E1C">
        <w:rPr>
          <w:rFonts w:ascii="Arial" w:eastAsia="Times New Roman" w:hAnsi="Arial" w:cs="Arial"/>
          <w:lang w:eastAsia="en-GB"/>
        </w:rPr>
        <w:t xml:space="preserve"> 2322674</w:t>
      </w:r>
    </w:p>
    <w:p w:rsidR="002F6E1C" w:rsidRPr="002F6E1C" w:rsidRDefault="002F6E1C" w:rsidP="00E029BF">
      <w:pPr>
        <w:spacing w:before="100" w:beforeAutospacing="1" w:after="100" w:afterAutospacing="1" w:line="360" w:lineRule="auto"/>
        <w:rPr>
          <w:rFonts w:ascii="Arial" w:eastAsia="Times New Roman" w:hAnsi="Arial" w:cs="Arial"/>
          <w:lang w:eastAsia="en-GB"/>
        </w:rPr>
      </w:pPr>
      <w:r w:rsidRPr="00E029BF">
        <w:rPr>
          <w:rFonts w:ascii="Arial" w:eastAsia="Times New Roman" w:hAnsi="Arial" w:cs="Arial"/>
          <w:bCs/>
          <w:lang w:eastAsia="en-GB"/>
        </w:rPr>
        <w:t>Module:</w:t>
      </w:r>
      <w:r w:rsidRPr="002F6E1C">
        <w:rPr>
          <w:rFonts w:ascii="Arial" w:eastAsia="Times New Roman" w:hAnsi="Arial" w:cs="Arial"/>
          <w:lang w:eastAsia="en-GB"/>
        </w:rPr>
        <w:t xml:space="preserve"> LCLM6003 – Leading and Implementing Change</w:t>
      </w:r>
    </w:p>
    <w:p w:rsidR="00E029BF" w:rsidRDefault="00E029BF" w:rsidP="00E029BF">
      <w:pPr>
        <w:spacing w:line="360" w:lineRule="auto"/>
        <w:rPr>
          <w:rFonts w:ascii="Arial" w:hAnsi="Arial" w:cs="Arial"/>
        </w:rPr>
      </w:pPr>
      <w:r w:rsidRPr="00E029BF">
        <w:rPr>
          <w:rFonts w:ascii="Arial" w:hAnsi="Arial" w:cs="Arial"/>
        </w:rPr>
        <w:t>Lecturer</w:t>
      </w:r>
      <w:r w:rsidR="00B919A5">
        <w:rPr>
          <w:rFonts w:ascii="Arial" w:hAnsi="Arial" w:cs="Arial"/>
        </w:rPr>
        <w:t>: Eric  O</w:t>
      </w:r>
      <w:r>
        <w:rPr>
          <w:rFonts w:ascii="Arial" w:hAnsi="Arial" w:cs="Arial"/>
        </w:rPr>
        <w:t>sei</w:t>
      </w:r>
    </w:p>
    <w:p w:rsidR="00E029BF" w:rsidRDefault="00E029BF">
      <w:pPr>
        <w:rPr>
          <w:rFonts w:ascii="Arial" w:hAnsi="Arial" w:cs="Arial"/>
        </w:rPr>
      </w:pPr>
      <w:r>
        <w:rPr>
          <w:rFonts w:ascii="Arial" w:hAnsi="Arial" w:cs="Arial"/>
        </w:rPr>
        <w:br w:type="page"/>
      </w:r>
    </w:p>
    <w:p w:rsidR="00231216" w:rsidRPr="00231216" w:rsidRDefault="00231216" w:rsidP="00231216">
      <w:pPr>
        <w:spacing w:before="100" w:beforeAutospacing="1" w:after="100" w:afterAutospacing="1" w:line="240" w:lineRule="auto"/>
        <w:outlineLvl w:val="0"/>
        <w:rPr>
          <w:rFonts w:ascii="Arial" w:eastAsia="Times New Roman" w:hAnsi="Arial" w:cs="Arial"/>
          <w:b/>
          <w:bCs/>
          <w:kern w:val="36"/>
          <w:sz w:val="32"/>
          <w:szCs w:val="32"/>
          <w:lang w:eastAsia="en-GB"/>
        </w:rPr>
      </w:pPr>
      <w:r w:rsidRPr="00231216">
        <w:rPr>
          <w:rFonts w:ascii="Arial" w:eastAsia="Times New Roman" w:hAnsi="Arial" w:cs="Arial"/>
          <w:b/>
          <w:bCs/>
          <w:kern w:val="36"/>
          <w:sz w:val="32"/>
          <w:szCs w:val="32"/>
          <w:lang w:eastAsia="en-GB"/>
        </w:rPr>
        <w:lastRenderedPageBreak/>
        <w:t>Table of Contents</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Executive Summary </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Introduction </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Company Background </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Internal and External Environment Analysis </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Drivers of Strategic Change </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Evaluation of Change Management Models </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Leadership and Organisational Culture </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Strategic Change Management Plan </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Financial Plan </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Communication Plan </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Evaluation and Monitoring </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Reflection </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Conclusion </w:t>
      </w:r>
    </w:p>
    <w:p w:rsidR="00231216" w:rsidRPr="00231216" w:rsidRDefault="00231216" w:rsidP="00231216">
      <w:pPr>
        <w:numPr>
          <w:ilvl w:val="0"/>
          <w:numId w:val="2"/>
        </w:num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References </w:t>
      </w:r>
    </w:p>
    <w:p w:rsidR="00E029BF" w:rsidRPr="00E029BF" w:rsidRDefault="00E029BF" w:rsidP="00231216">
      <w:pPr>
        <w:spacing w:before="100" w:beforeAutospacing="1" w:after="100" w:afterAutospacing="1" w:line="360" w:lineRule="auto"/>
        <w:outlineLvl w:val="0"/>
        <w:rPr>
          <w:rFonts w:ascii="Arial" w:eastAsia="Times New Roman" w:hAnsi="Arial" w:cs="Arial"/>
          <w:b/>
          <w:bCs/>
          <w:kern w:val="36"/>
          <w:lang w:eastAsia="en-GB"/>
        </w:rPr>
      </w:pPr>
    </w:p>
    <w:p w:rsidR="00E029BF" w:rsidRDefault="00E029BF">
      <w:pPr>
        <w:rPr>
          <w:rFonts w:ascii="Arial" w:hAnsi="Arial" w:cs="Arial"/>
        </w:rPr>
      </w:pPr>
      <w:r>
        <w:rPr>
          <w:rFonts w:ascii="Arial" w:hAnsi="Arial" w:cs="Arial"/>
        </w:rPr>
        <w:br w:type="page"/>
      </w:r>
    </w:p>
    <w:p w:rsidR="00E029BF" w:rsidRPr="00E029BF" w:rsidRDefault="00E029BF" w:rsidP="00E029BF">
      <w:pPr>
        <w:spacing w:before="100" w:beforeAutospacing="1" w:after="100" w:afterAutospacing="1" w:line="240" w:lineRule="auto"/>
        <w:outlineLvl w:val="0"/>
        <w:rPr>
          <w:rFonts w:ascii="Arial" w:eastAsia="Times New Roman" w:hAnsi="Arial" w:cs="Arial"/>
          <w:b/>
          <w:bCs/>
          <w:kern w:val="36"/>
          <w:sz w:val="32"/>
          <w:szCs w:val="32"/>
          <w:lang w:eastAsia="en-GB"/>
        </w:rPr>
      </w:pPr>
      <w:r w:rsidRPr="00E029BF">
        <w:rPr>
          <w:rFonts w:ascii="Arial" w:eastAsia="Times New Roman" w:hAnsi="Arial" w:cs="Arial"/>
          <w:b/>
          <w:bCs/>
          <w:kern w:val="36"/>
          <w:sz w:val="32"/>
          <w:szCs w:val="32"/>
          <w:lang w:eastAsia="en-GB"/>
        </w:rPr>
        <w:lastRenderedPageBreak/>
        <w:t>Strategic Change Plan for Jaguar Land Rover (JLR)</w:t>
      </w:r>
    </w:p>
    <w:p w:rsidR="00E029BF" w:rsidRPr="00E029BF" w:rsidRDefault="00E029BF" w:rsidP="00E029BF">
      <w:pPr>
        <w:spacing w:before="100" w:beforeAutospacing="1" w:after="100" w:afterAutospacing="1" w:line="240" w:lineRule="auto"/>
        <w:outlineLvl w:val="1"/>
        <w:rPr>
          <w:rFonts w:ascii="Arial" w:eastAsia="Times New Roman" w:hAnsi="Arial" w:cs="Arial"/>
          <w:b/>
          <w:bCs/>
          <w:sz w:val="24"/>
          <w:szCs w:val="24"/>
          <w:lang w:eastAsia="en-GB"/>
        </w:rPr>
      </w:pPr>
      <w:r w:rsidRPr="00E029BF">
        <w:rPr>
          <w:rFonts w:ascii="Arial" w:eastAsia="Times New Roman" w:hAnsi="Arial" w:cs="Arial"/>
          <w:b/>
          <w:bCs/>
          <w:sz w:val="24"/>
          <w:szCs w:val="24"/>
          <w:lang w:eastAsia="en-GB"/>
        </w:rPr>
        <w:t>Executive Summary</w:t>
      </w:r>
    </w:p>
    <w:p w:rsidR="00231216" w:rsidRPr="00231216" w:rsidRDefault="00231216" w:rsidP="0023121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Jaguar Land Rover (JLR) operates in an automotive industry undergoing rapid transformation driven by electrification, digitalisation, sustainability requirements and increasing global competition. These developments have altered customer expectations, regulatory requirements and competitive dynamics, requiring manufacturers to rethink traditional business models. To remain competitive, JLR must continue implementing strategic change that strengthens innovation, organisational capability and operational resilience while supporting its long-term </w:t>
      </w:r>
      <w:r w:rsidRPr="00231216">
        <w:rPr>
          <w:rFonts w:ascii="Arial" w:eastAsia="Times New Roman" w:hAnsi="Arial" w:cs="Arial"/>
          <w:bCs/>
          <w:lang w:eastAsia="en-GB"/>
        </w:rPr>
        <w:t>Reimagine Strategy</w:t>
      </w:r>
      <w:r w:rsidRPr="00231216">
        <w:rPr>
          <w:rFonts w:ascii="Arial" w:eastAsia="Times New Roman" w:hAnsi="Arial" w:cs="Arial"/>
          <w:lang w:eastAsia="en-GB"/>
        </w:rPr>
        <w:t xml:space="preserve"> (Burnes, 2020; JLR, 2024).</w:t>
      </w:r>
    </w:p>
    <w:p w:rsidR="00231216" w:rsidRPr="00231216" w:rsidRDefault="00231216" w:rsidP="0023121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This report evaluates the internal and external factors influencing JLR through PESTLE and SWOT analyses before identifying the principal drivers of strategic change. It critically compares established change management models, including Lewin's Three-Step Model, Kotter's Eight-Step Model and the ADKAR Model, to determine the most appropriate framework for organisational transformation. The report argues that Kotter's model provides the strongest foundation because it combines leadership, communication and employee engagement throughout implementation (Kotter, 1996; Hughes, 2016).</w:t>
      </w:r>
    </w:p>
    <w:p w:rsidR="00231216" w:rsidRPr="00231216" w:rsidRDefault="00231216" w:rsidP="0023121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Building on this analysis, the report proposes a Strategic Change Management Plan focused on accelerating electrification, enhancing digital capabilities, strengthening workforce skills, improving supply chain resilience and embedding sustainability across the organisation. Supporting recommendations include financial planning, stakeholder communication and performance monitoring through measurable key performance indicators. Collectively, these initiatives aim to improve organisational adaptability and ensure JLR remains competitive within the global premium automotive market (Kaplan and Norton, 1996; Teece, 2018).</w:t>
      </w:r>
    </w:p>
    <w:p w:rsidR="00231216" w:rsidRDefault="00231216" w:rsidP="00672126">
      <w:pPr>
        <w:spacing w:line="360" w:lineRule="auto"/>
        <w:rPr>
          <w:rFonts w:ascii="Arial" w:hAnsi="Arial" w:cs="Arial"/>
        </w:rPr>
      </w:pPr>
    </w:p>
    <w:p w:rsidR="00231216" w:rsidRDefault="00231216">
      <w:pPr>
        <w:rPr>
          <w:rFonts w:ascii="Arial" w:hAnsi="Arial" w:cs="Arial"/>
        </w:rPr>
      </w:pPr>
      <w:r>
        <w:rPr>
          <w:rFonts w:ascii="Arial" w:hAnsi="Arial" w:cs="Arial"/>
        </w:rPr>
        <w:br w:type="page"/>
      </w:r>
    </w:p>
    <w:p w:rsidR="00231216" w:rsidRPr="00231216" w:rsidRDefault="00231216" w:rsidP="00231216">
      <w:pPr>
        <w:spacing w:before="100" w:beforeAutospacing="1" w:after="100" w:afterAutospacing="1" w:line="240" w:lineRule="auto"/>
        <w:outlineLvl w:val="0"/>
        <w:rPr>
          <w:rFonts w:ascii="Arial" w:eastAsia="Times New Roman" w:hAnsi="Arial" w:cs="Arial"/>
          <w:b/>
          <w:bCs/>
          <w:kern w:val="36"/>
          <w:sz w:val="24"/>
          <w:szCs w:val="24"/>
          <w:lang w:eastAsia="en-GB"/>
        </w:rPr>
      </w:pPr>
      <w:r w:rsidRPr="00231216">
        <w:rPr>
          <w:rFonts w:ascii="Arial" w:eastAsia="Times New Roman" w:hAnsi="Arial" w:cs="Arial"/>
          <w:b/>
          <w:bCs/>
          <w:kern w:val="36"/>
          <w:sz w:val="24"/>
          <w:szCs w:val="24"/>
          <w:lang w:eastAsia="en-GB"/>
        </w:rPr>
        <w:lastRenderedPageBreak/>
        <w:t>2. Introduction</w:t>
      </w:r>
    </w:p>
    <w:p w:rsidR="00231216" w:rsidRPr="00231216" w:rsidRDefault="00231216" w:rsidP="0023121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Strategic change has become essential for organisations operating in industries characterised by technological innovation, environmental regulation and evolving customer expectations. Within the automotive sector, competitive advantage is no longer determined solely by manufacturing excellence or vehicle performance. Instead, organisations increasingly compete through software capability, artificial intelligence, sustainability and digital customer experiences. Consequently, manufacturers must continually adapt their strategies to remain competitive in a rapidly changing global environment (Johnson et al., 2020; Grant, 2021).</w:t>
      </w:r>
    </w:p>
    <w:p w:rsidR="00231216" w:rsidRPr="00231216" w:rsidRDefault="00231216" w:rsidP="0023121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Jaguar Land Rover has responded to these challenges through its </w:t>
      </w:r>
      <w:r w:rsidRPr="00231216">
        <w:rPr>
          <w:rFonts w:ascii="Arial" w:eastAsia="Times New Roman" w:hAnsi="Arial" w:cs="Arial"/>
          <w:bCs/>
          <w:lang w:eastAsia="en-GB"/>
        </w:rPr>
        <w:t>Reimagine Strategy</w:t>
      </w:r>
      <w:r w:rsidRPr="00231216">
        <w:rPr>
          <w:rFonts w:ascii="Arial" w:eastAsia="Times New Roman" w:hAnsi="Arial" w:cs="Arial"/>
          <w:lang w:eastAsia="en-GB"/>
        </w:rPr>
        <w:t>, which aims to position the company as a global leader in modern luxury mobility. The strategy prioritises electrification, digital technologies, sustainable manufacturing and customer-focused innovation. Achieving these objectives, however, requires organisational transformation extending beyond new product development. Leadership, organisational culture, workforce capability and stakeholder collaboration must also evolve to support long-term strategic objectives (JLR, 2024; Burnes, 2020).</w:t>
      </w:r>
    </w:p>
    <w:p w:rsidR="00231216" w:rsidRPr="00231216" w:rsidRDefault="00231216" w:rsidP="0023121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The purpose of this report is to evaluate the factors driving strategic change within Jaguar Land Rover and develop practical recommendations for successful implementation. The report combines environmental analysis with recognised change management theories before proposing an integrated Strategic Change Management Plan that supports sustainable organisational performance. Throughout the discussion, academic literature is critically applied to the specific context of JLR rather than describing change management theories in isolation (Kotter, 1996; Hughes, 2016).</w:t>
      </w:r>
    </w:p>
    <w:p w:rsidR="00231216" w:rsidRDefault="00231216" w:rsidP="00672126">
      <w:pPr>
        <w:spacing w:line="360" w:lineRule="auto"/>
        <w:rPr>
          <w:rFonts w:ascii="Arial" w:hAnsi="Arial" w:cs="Arial"/>
        </w:rPr>
      </w:pPr>
    </w:p>
    <w:p w:rsidR="00231216" w:rsidRDefault="00231216">
      <w:pPr>
        <w:rPr>
          <w:rFonts w:ascii="Arial" w:hAnsi="Arial" w:cs="Arial"/>
        </w:rPr>
      </w:pPr>
      <w:r>
        <w:rPr>
          <w:rFonts w:ascii="Arial" w:hAnsi="Arial" w:cs="Arial"/>
        </w:rPr>
        <w:br w:type="page"/>
      </w:r>
    </w:p>
    <w:p w:rsidR="00231216" w:rsidRPr="00231216" w:rsidRDefault="00231216" w:rsidP="00231216">
      <w:pPr>
        <w:spacing w:before="100" w:beforeAutospacing="1" w:after="100" w:afterAutospacing="1" w:line="240" w:lineRule="auto"/>
        <w:outlineLvl w:val="0"/>
        <w:rPr>
          <w:rFonts w:ascii="Arial" w:eastAsia="Times New Roman" w:hAnsi="Arial" w:cs="Arial"/>
          <w:b/>
          <w:bCs/>
          <w:kern w:val="36"/>
          <w:sz w:val="24"/>
          <w:szCs w:val="24"/>
          <w:lang w:eastAsia="en-GB"/>
        </w:rPr>
      </w:pPr>
      <w:r w:rsidRPr="00231216">
        <w:rPr>
          <w:rFonts w:ascii="Arial" w:eastAsia="Times New Roman" w:hAnsi="Arial" w:cs="Arial"/>
          <w:b/>
          <w:bCs/>
          <w:kern w:val="36"/>
          <w:sz w:val="24"/>
          <w:szCs w:val="24"/>
          <w:lang w:eastAsia="en-GB"/>
        </w:rPr>
        <w:lastRenderedPageBreak/>
        <w:t>3. Company Background</w:t>
      </w:r>
    </w:p>
    <w:p w:rsidR="00231216" w:rsidRPr="00231216" w:rsidRDefault="00231216" w:rsidP="0023121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Jaguar Land Rover is one of the world's leading premium automotive manufacturers and has been part of Tata Motors since 2008. The organisation designs and manufactures luxury vehicles under the Range Rover, Defender, Discovery and Jaguar brands, serving customers in more than 120 international markets. Its reputation has traditionally been built upon engineering excellence, premium quality and innovative vehicle design, enabling it to compete successfully within the luxury automotive sector (JLR, 2024).</w:t>
      </w:r>
    </w:p>
    <w:p w:rsidR="00231216" w:rsidRPr="00231216" w:rsidRDefault="00231216" w:rsidP="0023121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Despite these strengths, the organisation faces significant strategic challenges. The rapid expansion of electric vehicles, increasing investment in digital technologies and intensifying competition from both established manufacturers and new entrants such as Tesla and BYD have fundamentally changed the competitive environment. Maintaining market leadership therefore requires continuous innovation together with organisational flexibility and effective strategic management (Grant, 2021; Porter, 1985).</w:t>
      </w:r>
    </w:p>
    <w:p w:rsidR="00231216" w:rsidRPr="00231216" w:rsidRDefault="00231216" w:rsidP="0023121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To address these challenges, JLR launched the </w:t>
      </w:r>
      <w:r w:rsidRPr="00231216">
        <w:rPr>
          <w:rFonts w:ascii="Arial" w:eastAsia="Times New Roman" w:hAnsi="Arial" w:cs="Arial"/>
          <w:bCs/>
          <w:lang w:eastAsia="en-GB"/>
        </w:rPr>
        <w:t>Reimagine Strategy</w:t>
      </w:r>
      <w:r w:rsidRPr="00231216">
        <w:rPr>
          <w:rFonts w:ascii="Arial" w:eastAsia="Times New Roman" w:hAnsi="Arial" w:cs="Arial"/>
          <w:lang w:eastAsia="en-GB"/>
        </w:rPr>
        <w:t>, committing major investment towards electrification, artificial intelligence, sustainable manufacturing and workforce development. The strategy also supports the company's ambition to achieve net-zero carbon emissions by 2039 while strengthening long-term competitiveness through innovation and operational excellence. Successfully delivering these objectives depends not only on financial investment but also on effective organisational change management (JLR, 2024; Teece, 2018).</w:t>
      </w:r>
    </w:p>
    <w:p w:rsidR="00231216" w:rsidRDefault="00231216" w:rsidP="00672126">
      <w:pPr>
        <w:spacing w:line="360" w:lineRule="auto"/>
        <w:rPr>
          <w:rFonts w:ascii="Arial" w:hAnsi="Arial" w:cs="Arial"/>
        </w:rPr>
      </w:pPr>
    </w:p>
    <w:p w:rsidR="00231216" w:rsidRDefault="00231216">
      <w:pPr>
        <w:rPr>
          <w:rFonts w:ascii="Arial" w:hAnsi="Arial" w:cs="Arial"/>
        </w:rPr>
      </w:pPr>
      <w:r>
        <w:rPr>
          <w:rFonts w:ascii="Arial" w:hAnsi="Arial" w:cs="Arial"/>
        </w:rPr>
        <w:br w:type="page"/>
      </w:r>
    </w:p>
    <w:p w:rsidR="00231216" w:rsidRPr="00231216" w:rsidRDefault="00231216" w:rsidP="00231216">
      <w:pPr>
        <w:spacing w:before="100" w:beforeAutospacing="1" w:after="100" w:afterAutospacing="1" w:line="240" w:lineRule="auto"/>
        <w:outlineLvl w:val="0"/>
        <w:rPr>
          <w:rFonts w:ascii="Arial" w:eastAsia="Times New Roman" w:hAnsi="Arial" w:cs="Arial"/>
          <w:b/>
          <w:bCs/>
          <w:kern w:val="36"/>
          <w:sz w:val="24"/>
          <w:szCs w:val="24"/>
          <w:lang w:eastAsia="en-GB"/>
        </w:rPr>
      </w:pPr>
      <w:r w:rsidRPr="00231216">
        <w:rPr>
          <w:rFonts w:ascii="Arial" w:eastAsia="Times New Roman" w:hAnsi="Arial" w:cs="Arial"/>
          <w:b/>
          <w:bCs/>
          <w:kern w:val="36"/>
          <w:sz w:val="24"/>
          <w:szCs w:val="24"/>
          <w:lang w:eastAsia="en-GB"/>
        </w:rPr>
        <w:lastRenderedPageBreak/>
        <w:t>4. Internal and External Environment Analysis</w:t>
      </w:r>
    </w:p>
    <w:p w:rsidR="00231216" w:rsidRPr="00231216" w:rsidRDefault="00231216" w:rsidP="0023121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Understanding the business environment is essential before implementing strategic change because organisational performance is influenced by both internal capabilities and external pressures. PESTLE analysis identifies the principal environmental factors affecting JLR, while SWOT analysis evaluates how effectively the organisation can respond to these challenges. Together, these frameworks justify the need for a comprehensive Strategic Change Management Plan (Johnson et al., 2020; Grant, 2021).</w:t>
      </w:r>
    </w:p>
    <w:p w:rsidR="00231216" w:rsidRPr="00231216" w:rsidRDefault="00231216" w:rsidP="00231216">
      <w:pPr>
        <w:spacing w:before="100" w:beforeAutospacing="1" w:after="100" w:afterAutospacing="1" w:line="240" w:lineRule="auto"/>
        <w:outlineLvl w:val="1"/>
        <w:rPr>
          <w:rFonts w:ascii="Arial" w:eastAsia="Times New Roman" w:hAnsi="Arial" w:cs="Arial"/>
          <w:b/>
          <w:bCs/>
          <w:sz w:val="28"/>
          <w:szCs w:val="28"/>
          <w:lang w:eastAsia="en-GB"/>
        </w:rPr>
      </w:pPr>
      <w:r w:rsidRPr="00231216">
        <w:rPr>
          <w:rFonts w:ascii="Arial" w:eastAsia="Times New Roman" w:hAnsi="Arial" w:cs="Arial"/>
          <w:b/>
          <w:bCs/>
          <w:sz w:val="28"/>
          <w:szCs w:val="28"/>
          <w:lang w:eastAsia="en-GB"/>
        </w:rPr>
        <w:t>4.1 External Environment Analysis (PESTLE)</w:t>
      </w:r>
    </w:p>
    <w:p w:rsidR="00231216" w:rsidRPr="00231216" w:rsidRDefault="00231216" w:rsidP="00231216">
      <w:pPr>
        <w:spacing w:before="100" w:beforeAutospacing="1" w:after="100" w:afterAutospacing="1" w:line="240" w:lineRule="auto"/>
        <w:outlineLvl w:val="2"/>
        <w:rPr>
          <w:rFonts w:ascii="Arial" w:eastAsia="Times New Roman" w:hAnsi="Arial" w:cs="Arial"/>
          <w:b/>
          <w:bCs/>
          <w:sz w:val="24"/>
          <w:szCs w:val="24"/>
          <w:lang w:eastAsia="en-GB"/>
        </w:rPr>
      </w:pPr>
      <w:r w:rsidRPr="00231216">
        <w:rPr>
          <w:rFonts w:ascii="Arial" w:eastAsia="Times New Roman" w:hAnsi="Arial" w:cs="Arial"/>
          <w:b/>
          <w:bCs/>
          <w:sz w:val="24"/>
          <w:szCs w:val="24"/>
          <w:lang w:eastAsia="en-GB"/>
        </w:rPr>
        <w:t>Political Factors</w:t>
      </w:r>
    </w:p>
    <w:p w:rsidR="00231216" w:rsidRPr="00231216" w:rsidRDefault="00231216" w:rsidP="00873D7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Government policies have become a major influence on automotive manufacturers due to increasingly strict environmental regulations. The UK's Zero Emission Vehicle (ZEV) Mandate requires manufacturers to increase electric vehicle sales, encouraging substantial investment in battery technology and sustainable manufacturing. While these regulations create opportunities for organisations already investing in electrification, they also increase financial and operational pressure on manufacturers that must rapidly transform existing production systems (UK Government, 2025; JLR, 2024).</w:t>
      </w:r>
    </w:p>
    <w:p w:rsidR="00231216" w:rsidRPr="00231216" w:rsidRDefault="00231216" w:rsidP="00873D7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Political uncertainty also creates supply chain risks. Brexit, international trade disputes and geopolitical instability continue to affect access to semiconductors, batteries and critical raw materials. As a global manufacturer, JLR must strengthen supplier relationships and diversify sourcing strategies to reduce dependence on vulnerable supply networks (Christopher and Peck, 2004; Grant, 2021).</w:t>
      </w:r>
    </w:p>
    <w:p w:rsidR="00231216" w:rsidRPr="00231216" w:rsidRDefault="00231216" w:rsidP="00231216">
      <w:pPr>
        <w:spacing w:before="100" w:beforeAutospacing="1" w:after="100" w:afterAutospacing="1" w:line="240" w:lineRule="auto"/>
        <w:outlineLvl w:val="2"/>
        <w:rPr>
          <w:rFonts w:ascii="Arial" w:eastAsia="Times New Roman" w:hAnsi="Arial" w:cs="Arial"/>
          <w:b/>
          <w:bCs/>
          <w:sz w:val="24"/>
          <w:szCs w:val="24"/>
          <w:lang w:eastAsia="en-GB"/>
        </w:rPr>
      </w:pPr>
      <w:r w:rsidRPr="00231216">
        <w:rPr>
          <w:rFonts w:ascii="Arial" w:eastAsia="Times New Roman" w:hAnsi="Arial" w:cs="Arial"/>
          <w:b/>
          <w:bCs/>
          <w:sz w:val="24"/>
          <w:szCs w:val="24"/>
          <w:lang w:eastAsia="en-GB"/>
        </w:rPr>
        <w:t>Economic Factors</w:t>
      </w:r>
    </w:p>
    <w:p w:rsidR="00231216" w:rsidRPr="00231216" w:rsidRDefault="00231216" w:rsidP="00873D7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Global economic uncertainty directly influences consumer demand for premium vehicles. Inflation, rising interest rates and slower economic growth reduce purchasing power and may delay vehicle replacement decisions. At the same time, the transition towards electric mobility requires substantial long-term investment in research, manufacturing facilities and digital technologies. Balancing these investments while maintaining profitability remains one of JLR's most significant strategic challenges (Grant, 2021).</w:t>
      </w:r>
    </w:p>
    <w:p w:rsidR="00231216" w:rsidRPr="00231216" w:rsidRDefault="00231216" w:rsidP="00231216">
      <w:pPr>
        <w:spacing w:before="100" w:beforeAutospacing="1" w:after="100" w:afterAutospacing="1" w:line="240" w:lineRule="auto"/>
        <w:outlineLvl w:val="2"/>
        <w:rPr>
          <w:rFonts w:ascii="Arial" w:eastAsia="Times New Roman" w:hAnsi="Arial" w:cs="Arial"/>
          <w:b/>
          <w:bCs/>
          <w:sz w:val="24"/>
          <w:szCs w:val="24"/>
          <w:lang w:eastAsia="en-GB"/>
        </w:rPr>
      </w:pPr>
      <w:r w:rsidRPr="00231216">
        <w:rPr>
          <w:rFonts w:ascii="Arial" w:eastAsia="Times New Roman" w:hAnsi="Arial" w:cs="Arial"/>
          <w:b/>
          <w:bCs/>
          <w:sz w:val="24"/>
          <w:szCs w:val="24"/>
          <w:lang w:eastAsia="en-GB"/>
        </w:rPr>
        <w:t>Social Factors</w:t>
      </w:r>
    </w:p>
    <w:p w:rsidR="00231216" w:rsidRPr="00231216" w:rsidRDefault="00231216" w:rsidP="00873D7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 xml:space="preserve">Consumer expectations have evolved beyond traditional measures of vehicle quality. Premium customers increasingly value sustainability, digital connectivity and personalised </w:t>
      </w:r>
      <w:r w:rsidRPr="00231216">
        <w:rPr>
          <w:rFonts w:ascii="Arial" w:eastAsia="Times New Roman" w:hAnsi="Arial" w:cs="Arial"/>
          <w:lang w:eastAsia="en-GB"/>
        </w:rPr>
        <w:lastRenderedPageBreak/>
        <w:t>driving experiences alongside luxury and performance. In response, JLR must integrate advanced digital technologies with environmentally responsible manufacturing to maintain customer loyalty. Social expectations have also changed within the workforce, where employees increasingly seek career development, continuous learning and meaningful organisational purpose (Kotler and Keller, 2022; Aguinis and Kraiger, 2009).</w:t>
      </w:r>
    </w:p>
    <w:p w:rsidR="00231216" w:rsidRPr="00231216" w:rsidRDefault="00231216" w:rsidP="00231216">
      <w:pPr>
        <w:spacing w:before="100" w:beforeAutospacing="1" w:after="100" w:afterAutospacing="1" w:line="240" w:lineRule="auto"/>
        <w:outlineLvl w:val="2"/>
        <w:rPr>
          <w:rFonts w:ascii="Arial" w:eastAsia="Times New Roman" w:hAnsi="Arial" w:cs="Arial"/>
          <w:b/>
          <w:bCs/>
          <w:sz w:val="24"/>
          <w:szCs w:val="24"/>
          <w:lang w:eastAsia="en-GB"/>
        </w:rPr>
      </w:pPr>
      <w:r w:rsidRPr="00231216">
        <w:rPr>
          <w:rFonts w:ascii="Arial" w:eastAsia="Times New Roman" w:hAnsi="Arial" w:cs="Arial"/>
          <w:b/>
          <w:bCs/>
          <w:sz w:val="24"/>
          <w:szCs w:val="24"/>
          <w:lang w:eastAsia="en-GB"/>
        </w:rPr>
        <w:t>Technological Factors</w:t>
      </w:r>
    </w:p>
    <w:p w:rsidR="00231216" w:rsidRPr="00231216" w:rsidRDefault="00231216" w:rsidP="00873D7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Technological innovation represents the strongest driver of change within the automotive industry. Artificial intelligence, connected vehicles, cloud computing and advanced battery technologies are transforming both manufacturing and customer experience. JLR has responded by investing in digital engineering, automation and AI-enabled production. However, increasing digitalisation also raises cybersecurity risks, requiring continuous investment in secure infrastructure and employee awareness (Vial, 2019; NIST, 2024).</w:t>
      </w:r>
    </w:p>
    <w:p w:rsidR="00231216" w:rsidRPr="00231216" w:rsidRDefault="00231216" w:rsidP="00231216">
      <w:pPr>
        <w:spacing w:before="100" w:beforeAutospacing="1" w:after="100" w:afterAutospacing="1" w:line="240" w:lineRule="auto"/>
        <w:outlineLvl w:val="2"/>
        <w:rPr>
          <w:rFonts w:ascii="Arial" w:eastAsia="Times New Roman" w:hAnsi="Arial" w:cs="Arial"/>
          <w:b/>
          <w:bCs/>
          <w:sz w:val="24"/>
          <w:szCs w:val="24"/>
          <w:lang w:eastAsia="en-GB"/>
        </w:rPr>
      </w:pPr>
      <w:r w:rsidRPr="00231216">
        <w:rPr>
          <w:rFonts w:ascii="Arial" w:eastAsia="Times New Roman" w:hAnsi="Arial" w:cs="Arial"/>
          <w:b/>
          <w:bCs/>
          <w:sz w:val="24"/>
          <w:szCs w:val="24"/>
          <w:lang w:eastAsia="en-GB"/>
        </w:rPr>
        <w:t>Legal and Environmental Factors</w:t>
      </w:r>
    </w:p>
    <w:p w:rsidR="00231216" w:rsidRPr="00231216" w:rsidRDefault="00231216" w:rsidP="00873D7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Automotive manufacturers must comply with increasingly demanding legislation covering emissions, product safety, data protection and responsible sourcing. Failure to meet these requirements may damage both financial performance and corporate reputation. Environmental sustainability has therefore become a strategic priority rather than simply a regulatory obligation. JLR's commitment to achieving net-zero emissions by 2039 demonstrates its intention to integrate sustainability throughout manufacturing, procurement and product development, strengthening both regulatory compliance and long-term competitiveness (Bansal and DesJardine, 2014; JLR, 2024).</w:t>
      </w:r>
    </w:p>
    <w:p w:rsidR="00873D76" w:rsidRPr="00873D76" w:rsidRDefault="00873D76" w:rsidP="00873D76">
      <w:pPr>
        <w:spacing w:before="100" w:beforeAutospacing="1" w:after="100" w:afterAutospacing="1" w:line="240" w:lineRule="auto"/>
        <w:outlineLvl w:val="1"/>
        <w:rPr>
          <w:rFonts w:ascii="Arial" w:eastAsia="Times New Roman" w:hAnsi="Arial" w:cs="Arial"/>
          <w:b/>
          <w:bCs/>
          <w:sz w:val="24"/>
          <w:szCs w:val="24"/>
          <w:lang w:eastAsia="en-GB"/>
        </w:rPr>
      </w:pPr>
      <w:r w:rsidRPr="00873D76">
        <w:rPr>
          <w:rFonts w:ascii="Arial" w:eastAsia="Times New Roman" w:hAnsi="Arial" w:cs="Arial"/>
          <w:b/>
          <w:bCs/>
          <w:sz w:val="24"/>
          <w:szCs w:val="24"/>
          <w:lang w:eastAsia="en-GB"/>
        </w:rPr>
        <w:t>Table 1. PESTLE Analysis of Jaguar Land Rover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4"/>
        <w:gridCol w:w="3537"/>
        <w:gridCol w:w="3975"/>
      </w:tblGrid>
      <w:tr w:rsidR="00873D76" w:rsidRPr="00873D76" w:rsidTr="00873D76">
        <w:trPr>
          <w:tblHeader/>
          <w:tblCellSpacing w:w="15" w:type="dxa"/>
        </w:trPr>
        <w:tc>
          <w:tcPr>
            <w:tcW w:w="0" w:type="auto"/>
            <w:vAlign w:val="center"/>
            <w:hideMark/>
          </w:tcPr>
          <w:p w:rsidR="00873D76" w:rsidRPr="00873D76" w:rsidRDefault="00873D76" w:rsidP="00873D76">
            <w:pPr>
              <w:spacing w:after="0" w:line="240" w:lineRule="auto"/>
              <w:jc w:val="center"/>
              <w:rPr>
                <w:rFonts w:ascii="Times New Roman" w:eastAsia="Times New Roman" w:hAnsi="Times New Roman" w:cs="Times New Roman"/>
                <w:b/>
                <w:bCs/>
                <w:sz w:val="24"/>
                <w:szCs w:val="24"/>
                <w:lang w:eastAsia="en-GB"/>
              </w:rPr>
            </w:pPr>
            <w:r w:rsidRPr="00873D76">
              <w:rPr>
                <w:rFonts w:ascii="Times New Roman" w:eastAsia="Times New Roman" w:hAnsi="Times New Roman" w:cs="Times New Roman"/>
                <w:b/>
                <w:bCs/>
                <w:sz w:val="24"/>
                <w:szCs w:val="24"/>
                <w:lang w:eastAsia="en-GB"/>
              </w:rPr>
              <w:t>Factor</w:t>
            </w:r>
          </w:p>
        </w:tc>
        <w:tc>
          <w:tcPr>
            <w:tcW w:w="0" w:type="auto"/>
            <w:vAlign w:val="center"/>
            <w:hideMark/>
          </w:tcPr>
          <w:p w:rsidR="00873D76" w:rsidRPr="00873D76" w:rsidRDefault="00873D76" w:rsidP="00873D76">
            <w:pPr>
              <w:spacing w:after="0" w:line="240" w:lineRule="auto"/>
              <w:jc w:val="center"/>
              <w:rPr>
                <w:rFonts w:ascii="Times New Roman" w:eastAsia="Times New Roman" w:hAnsi="Times New Roman" w:cs="Times New Roman"/>
                <w:b/>
                <w:bCs/>
                <w:sz w:val="24"/>
                <w:szCs w:val="24"/>
                <w:lang w:eastAsia="en-GB"/>
              </w:rPr>
            </w:pPr>
            <w:r w:rsidRPr="00873D76">
              <w:rPr>
                <w:rFonts w:ascii="Times New Roman" w:eastAsia="Times New Roman" w:hAnsi="Times New Roman" w:cs="Times New Roman"/>
                <w:b/>
                <w:bCs/>
                <w:sz w:val="24"/>
                <w:szCs w:val="24"/>
                <w:lang w:eastAsia="en-GB"/>
              </w:rPr>
              <w:t>Key Issues</w:t>
            </w:r>
          </w:p>
        </w:tc>
        <w:tc>
          <w:tcPr>
            <w:tcW w:w="0" w:type="auto"/>
            <w:vAlign w:val="center"/>
            <w:hideMark/>
          </w:tcPr>
          <w:p w:rsidR="00873D76" w:rsidRPr="00873D76" w:rsidRDefault="00873D76" w:rsidP="00873D76">
            <w:pPr>
              <w:spacing w:after="0" w:line="240" w:lineRule="auto"/>
              <w:jc w:val="center"/>
              <w:rPr>
                <w:rFonts w:ascii="Times New Roman" w:eastAsia="Times New Roman" w:hAnsi="Times New Roman" w:cs="Times New Roman"/>
                <w:b/>
                <w:bCs/>
                <w:sz w:val="24"/>
                <w:szCs w:val="24"/>
                <w:lang w:eastAsia="en-GB"/>
              </w:rPr>
            </w:pPr>
            <w:r w:rsidRPr="00873D76">
              <w:rPr>
                <w:rFonts w:ascii="Times New Roman" w:eastAsia="Times New Roman" w:hAnsi="Times New Roman" w:cs="Times New Roman"/>
                <w:b/>
                <w:bCs/>
                <w:sz w:val="24"/>
                <w:szCs w:val="24"/>
                <w:lang w:eastAsia="en-GB"/>
              </w:rPr>
              <w:t>Strategic Implications for JLR</w:t>
            </w:r>
          </w:p>
        </w:tc>
      </w:tr>
      <w:tr w:rsidR="00873D76" w:rsidRPr="00873D76" w:rsidTr="00873D76">
        <w:trPr>
          <w:tblCellSpacing w:w="15" w:type="dxa"/>
        </w:trPr>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b/>
                <w:bCs/>
                <w:lang w:eastAsia="en-GB"/>
              </w:rPr>
              <w:t>Political</w:t>
            </w:r>
          </w:p>
        </w:tc>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UK ZEV Mandate, Brexit, geopolitical tensions, trade policies</w:t>
            </w:r>
          </w:p>
        </w:tc>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Accelerate EV production, strengthen supply chain resilience and regulatory compliance.</w:t>
            </w:r>
          </w:p>
        </w:tc>
      </w:tr>
      <w:tr w:rsidR="00873D76" w:rsidRPr="00873D76" w:rsidTr="00873D76">
        <w:trPr>
          <w:tblCellSpacing w:w="15" w:type="dxa"/>
        </w:trPr>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b/>
                <w:bCs/>
                <w:lang w:eastAsia="en-GB"/>
              </w:rPr>
              <w:t>Economic</w:t>
            </w:r>
          </w:p>
        </w:tc>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Inflation, rising interest rates, high investment costs</w:t>
            </w:r>
          </w:p>
        </w:tc>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Balance investment in electrification with profitability and financial sustainability.</w:t>
            </w:r>
          </w:p>
        </w:tc>
      </w:tr>
      <w:tr w:rsidR="00873D76" w:rsidRPr="00873D76" w:rsidTr="00873D76">
        <w:trPr>
          <w:tblCellSpacing w:w="15" w:type="dxa"/>
        </w:trPr>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b/>
                <w:bCs/>
                <w:lang w:eastAsia="en-GB"/>
              </w:rPr>
              <w:t>Social</w:t>
            </w:r>
          </w:p>
        </w:tc>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Growing demand for sustainable and connected vehicles, changing workforce expectations</w:t>
            </w:r>
          </w:p>
        </w:tc>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Develop customer-focused innovation and invest in employee skills and retention.</w:t>
            </w:r>
          </w:p>
        </w:tc>
      </w:tr>
      <w:tr w:rsidR="00873D76" w:rsidRPr="00873D76" w:rsidTr="00873D76">
        <w:trPr>
          <w:tblCellSpacing w:w="15" w:type="dxa"/>
        </w:trPr>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b/>
                <w:bCs/>
                <w:lang w:eastAsia="en-GB"/>
              </w:rPr>
              <w:lastRenderedPageBreak/>
              <w:t>Technological</w:t>
            </w:r>
          </w:p>
        </w:tc>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Artificial intelligence, connected vehicles, battery technology, cyber security</w:t>
            </w:r>
          </w:p>
        </w:tc>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Increase digital transformation while protecting critical systems through cyber security investment.</w:t>
            </w:r>
          </w:p>
        </w:tc>
      </w:tr>
      <w:tr w:rsidR="00873D76" w:rsidRPr="00873D76" w:rsidTr="00873D76">
        <w:trPr>
          <w:tblCellSpacing w:w="15" w:type="dxa"/>
        </w:trPr>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b/>
                <w:bCs/>
                <w:lang w:eastAsia="en-GB"/>
              </w:rPr>
              <w:t>Legal</w:t>
            </w:r>
          </w:p>
        </w:tc>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Environmental legislation, data protection, product safety regulations</w:t>
            </w:r>
          </w:p>
        </w:tc>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Maintain compliance across operations and the global supply chain to reduce legal and reputational risks.</w:t>
            </w:r>
          </w:p>
        </w:tc>
      </w:tr>
      <w:tr w:rsidR="00873D76" w:rsidRPr="00873D76" w:rsidTr="00873D76">
        <w:trPr>
          <w:tblCellSpacing w:w="15" w:type="dxa"/>
        </w:trPr>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b/>
                <w:bCs/>
                <w:lang w:eastAsia="en-GB"/>
              </w:rPr>
              <w:t>Environmental</w:t>
            </w:r>
          </w:p>
        </w:tc>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Net-zero commitments, carbon reduction, circular economy</w:t>
            </w:r>
          </w:p>
        </w:tc>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Embed sustainability throughout manufacturing, procurement and product development.</w:t>
            </w:r>
          </w:p>
        </w:tc>
      </w:tr>
    </w:tbl>
    <w:p w:rsidR="00873D76" w:rsidRDefault="00873D76" w:rsidP="00873D76">
      <w:pPr>
        <w:pStyle w:val="pdq2pgselectionanchorcontainer"/>
        <w:spacing w:line="360" w:lineRule="auto"/>
      </w:pPr>
      <w:r w:rsidRPr="00873D76">
        <w:rPr>
          <w:rStyle w:val="Robust"/>
          <w:rFonts w:ascii="Arial" w:hAnsi="Arial" w:cs="Arial"/>
          <w:b w:val="0"/>
          <w:sz w:val="22"/>
          <w:szCs w:val="22"/>
        </w:rPr>
        <w:t>Table 1 demonstrates that technological innovation and environmental regulation represent the most significant external drivers of strategic change, requiring JLR to integrate sustainability, digital transformation and operational resilience into its long-term strategy (Johnson et al., 2020; JLR, 2024</w:t>
      </w:r>
      <w:r>
        <w:rPr>
          <w:rStyle w:val="Robust"/>
        </w:rPr>
        <w:t>).</w:t>
      </w:r>
    </w:p>
    <w:p w:rsidR="00231216" w:rsidRPr="00231216" w:rsidRDefault="00231216" w:rsidP="00873D76">
      <w:pPr>
        <w:spacing w:after="0" w:line="360" w:lineRule="auto"/>
        <w:rPr>
          <w:rFonts w:ascii="Arial" w:eastAsia="Times New Roman" w:hAnsi="Arial" w:cs="Arial"/>
          <w:lang w:eastAsia="en-GB"/>
        </w:rPr>
      </w:pPr>
    </w:p>
    <w:p w:rsidR="00231216" w:rsidRPr="00231216" w:rsidRDefault="00231216" w:rsidP="0023121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31216">
        <w:rPr>
          <w:rFonts w:ascii="Times New Roman" w:eastAsia="Times New Roman" w:hAnsi="Times New Roman" w:cs="Times New Roman"/>
          <w:b/>
          <w:bCs/>
          <w:sz w:val="36"/>
          <w:szCs w:val="36"/>
          <w:lang w:eastAsia="en-GB"/>
        </w:rPr>
        <w:t>4.2 Internal Environment Analysis (SWOT)</w:t>
      </w:r>
    </w:p>
    <w:p w:rsidR="00231216" w:rsidRPr="00231216" w:rsidRDefault="00231216" w:rsidP="00873D7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JLR possesses several important strengths, including globally recognised premium brands, advanced engineering expertise and a clear long-term strategic vision through the Reimagine Strategy. These capabilities provide a strong platform for innovation and support differentiation within the highly competitive luxury automotive market (Porter, 1985; JLR, 2024).</w:t>
      </w:r>
    </w:p>
    <w:p w:rsidR="00231216" w:rsidRPr="00231216" w:rsidRDefault="00231216" w:rsidP="00873D7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However, the organisation also faces internal weaknesses. Dependence on premium vehicle sales, the complexity of global manufacturing operations and skills gaps associated with digital technologies increase the difficulty of implementing large-scale transformation. Significant investment in workforce development and organisational learning will therefore be required to support future competitiveness (Burnes, 2020).</w:t>
      </w:r>
    </w:p>
    <w:p w:rsidR="00231216" w:rsidRPr="00231216" w:rsidRDefault="00231216" w:rsidP="00873D7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t>The greatest opportunities arise from expanding demand for electric vehicles, artificial intelligence and connected mobility services. At the same time, competition from organisations such as Tesla, BYD and established European manufacturers continues to intensify. Supply chain disruption and cybersecurity risks further increase uncertainty, highlighting the importance of organisational resilience and continuous innovation (Teece, 2018; NIST, 2024).</w:t>
      </w:r>
    </w:p>
    <w:p w:rsidR="00231216" w:rsidRPr="00231216" w:rsidRDefault="00231216" w:rsidP="00873D76">
      <w:pPr>
        <w:spacing w:before="100" w:beforeAutospacing="1" w:after="100" w:afterAutospacing="1" w:line="360" w:lineRule="auto"/>
        <w:rPr>
          <w:rFonts w:ascii="Arial" w:eastAsia="Times New Roman" w:hAnsi="Arial" w:cs="Arial"/>
          <w:lang w:eastAsia="en-GB"/>
        </w:rPr>
      </w:pPr>
      <w:r w:rsidRPr="00231216">
        <w:rPr>
          <w:rFonts w:ascii="Arial" w:eastAsia="Times New Roman" w:hAnsi="Arial" w:cs="Arial"/>
          <w:lang w:eastAsia="en-GB"/>
        </w:rPr>
        <w:lastRenderedPageBreak/>
        <w:t>Overall, the combined PESTLE and SWOT analyses demonstrate that JLR possesses strong strategic capabilities but operates within an increasingly dynamic business environment. Successfully responding to these challenges requires coordinated organisational change that integrates technological innovation, leadership and workforce development rather than focusing solely on product innovation (Johnson et al., 2020; Burnes, 2020).</w:t>
      </w:r>
    </w:p>
    <w:p w:rsidR="00873D76" w:rsidRPr="00873D76" w:rsidRDefault="00873D76" w:rsidP="00873D7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873D76">
        <w:rPr>
          <w:rFonts w:ascii="Times New Roman" w:eastAsia="Times New Roman" w:hAnsi="Times New Roman" w:cs="Times New Roman"/>
          <w:b/>
          <w:bCs/>
          <w:sz w:val="36"/>
          <w:szCs w:val="36"/>
          <w:lang w:eastAsia="en-GB"/>
        </w:rPr>
        <w:t>Table 2. SWOT Analysis of Jaguar Land Rover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49"/>
        <w:gridCol w:w="30"/>
        <w:gridCol w:w="3987"/>
        <w:gridCol w:w="1850"/>
      </w:tblGrid>
      <w:tr w:rsidR="00873D76" w:rsidRPr="00873D76" w:rsidTr="00873D76">
        <w:trPr>
          <w:tblHeader/>
          <w:tblCellSpacing w:w="15" w:type="dxa"/>
        </w:trPr>
        <w:tc>
          <w:tcPr>
            <w:tcW w:w="0" w:type="auto"/>
            <w:gridSpan w:val="2"/>
            <w:vAlign w:val="center"/>
            <w:hideMark/>
          </w:tcPr>
          <w:p w:rsidR="00873D76" w:rsidRPr="00873D76" w:rsidRDefault="00873D76" w:rsidP="00873D76">
            <w:pPr>
              <w:spacing w:after="0" w:line="240" w:lineRule="auto"/>
              <w:jc w:val="center"/>
              <w:rPr>
                <w:rFonts w:ascii="Arial" w:eastAsia="Times New Roman" w:hAnsi="Arial" w:cs="Arial"/>
                <w:b/>
                <w:bCs/>
                <w:sz w:val="24"/>
                <w:szCs w:val="24"/>
                <w:lang w:eastAsia="en-GB"/>
              </w:rPr>
            </w:pPr>
            <w:r w:rsidRPr="00873D76">
              <w:rPr>
                <w:rFonts w:ascii="Arial" w:eastAsia="Times New Roman" w:hAnsi="Arial" w:cs="Arial"/>
                <w:b/>
                <w:bCs/>
                <w:sz w:val="24"/>
                <w:szCs w:val="24"/>
                <w:lang w:eastAsia="en-GB"/>
              </w:rPr>
              <w:t>Strengths</w:t>
            </w:r>
          </w:p>
        </w:tc>
        <w:tc>
          <w:tcPr>
            <w:tcW w:w="0" w:type="auto"/>
            <w:gridSpan w:val="2"/>
            <w:vAlign w:val="center"/>
            <w:hideMark/>
          </w:tcPr>
          <w:p w:rsidR="00873D76" w:rsidRPr="00873D76" w:rsidRDefault="00873D76" w:rsidP="00873D76">
            <w:pPr>
              <w:spacing w:after="0" w:line="240" w:lineRule="auto"/>
              <w:jc w:val="center"/>
              <w:rPr>
                <w:rFonts w:ascii="Arial" w:eastAsia="Times New Roman" w:hAnsi="Arial" w:cs="Arial"/>
                <w:b/>
                <w:bCs/>
                <w:sz w:val="24"/>
                <w:szCs w:val="24"/>
                <w:lang w:eastAsia="en-GB"/>
              </w:rPr>
            </w:pPr>
            <w:r w:rsidRPr="00873D76">
              <w:rPr>
                <w:rFonts w:ascii="Arial" w:eastAsia="Times New Roman" w:hAnsi="Arial" w:cs="Arial"/>
                <w:b/>
                <w:bCs/>
                <w:sz w:val="24"/>
                <w:szCs w:val="24"/>
                <w:lang w:eastAsia="en-GB"/>
              </w:rPr>
              <w:t>Weaknesses</w:t>
            </w:r>
          </w:p>
        </w:tc>
      </w:tr>
      <w:tr w:rsidR="00873D76" w:rsidRPr="00873D76" w:rsidTr="00873D76">
        <w:trPr>
          <w:tblCellSpacing w:w="15" w:type="dxa"/>
        </w:trPr>
        <w:tc>
          <w:tcPr>
            <w:tcW w:w="0" w:type="auto"/>
            <w:gridSpan w:val="2"/>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Globally recognised premium brands</w:t>
            </w:r>
          </w:p>
        </w:tc>
        <w:tc>
          <w:tcPr>
            <w:tcW w:w="0" w:type="auto"/>
            <w:gridSpan w:val="2"/>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Dependence on premium vehicle segment</w:t>
            </w:r>
          </w:p>
        </w:tc>
      </w:tr>
      <w:tr w:rsidR="00873D76" w:rsidRPr="00873D76" w:rsidTr="00873D76">
        <w:trPr>
          <w:tblCellSpacing w:w="15" w:type="dxa"/>
        </w:trPr>
        <w:tc>
          <w:tcPr>
            <w:tcW w:w="0" w:type="auto"/>
            <w:gridSpan w:val="2"/>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Strong engineering expertise</w:t>
            </w:r>
          </w:p>
        </w:tc>
        <w:tc>
          <w:tcPr>
            <w:tcW w:w="0" w:type="auto"/>
            <w:gridSpan w:val="2"/>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High transformation costs</w:t>
            </w:r>
          </w:p>
        </w:tc>
      </w:tr>
      <w:tr w:rsidR="00873D76" w:rsidRPr="00873D76" w:rsidTr="00873D76">
        <w:trPr>
          <w:tblCellSpacing w:w="15" w:type="dxa"/>
        </w:trPr>
        <w:tc>
          <w:tcPr>
            <w:tcW w:w="0" w:type="auto"/>
            <w:gridSpan w:val="2"/>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Reimagine Strategy</w:t>
            </w:r>
          </w:p>
        </w:tc>
        <w:tc>
          <w:tcPr>
            <w:tcW w:w="0" w:type="auto"/>
            <w:gridSpan w:val="2"/>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Skills gaps in digital technologies</w:t>
            </w:r>
          </w:p>
        </w:tc>
      </w:tr>
      <w:tr w:rsidR="00873D76" w:rsidRPr="00873D76" w:rsidTr="00873D76">
        <w:trPr>
          <w:tblCellSpacing w:w="15" w:type="dxa"/>
        </w:trPr>
        <w:tc>
          <w:tcPr>
            <w:tcW w:w="0" w:type="auto"/>
            <w:gridSpan w:val="2"/>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Significant R&amp;D investment</w:t>
            </w:r>
          </w:p>
        </w:tc>
        <w:tc>
          <w:tcPr>
            <w:tcW w:w="0" w:type="auto"/>
            <w:gridSpan w:val="2"/>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Complex global supply chain</w:t>
            </w:r>
          </w:p>
        </w:tc>
      </w:tr>
      <w:tr w:rsidR="00873D76" w:rsidRPr="00873D76" w:rsidTr="00873D76">
        <w:trPr>
          <w:gridAfter w:val="1"/>
          <w:tblHeader/>
          <w:tblCellSpacing w:w="15" w:type="dxa"/>
        </w:trPr>
        <w:tc>
          <w:tcPr>
            <w:tcW w:w="0" w:type="auto"/>
            <w:vAlign w:val="center"/>
            <w:hideMark/>
          </w:tcPr>
          <w:p w:rsidR="00873D76" w:rsidRPr="00873D76" w:rsidRDefault="00873D76" w:rsidP="00873D76">
            <w:pPr>
              <w:spacing w:after="0" w:line="240" w:lineRule="auto"/>
              <w:jc w:val="center"/>
              <w:rPr>
                <w:rFonts w:ascii="Arial" w:eastAsia="Times New Roman" w:hAnsi="Arial" w:cs="Arial"/>
                <w:b/>
                <w:bCs/>
                <w:sz w:val="24"/>
                <w:szCs w:val="24"/>
                <w:lang w:eastAsia="en-GB"/>
              </w:rPr>
            </w:pPr>
            <w:r w:rsidRPr="00873D76">
              <w:rPr>
                <w:rFonts w:ascii="Arial" w:eastAsia="Times New Roman" w:hAnsi="Arial" w:cs="Arial"/>
                <w:b/>
                <w:bCs/>
                <w:sz w:val="24"/>
                <w:szCs w:val="24"/>
                <w:lang w:eastAsia="en-GB"/>
              </w:rPr>
              <w:t>Opportunities</w:t>
            </w:r>
          </w:p>
        </w:tc>
        <w:tc>
          <w:tcPr>
            <w:tcW w:w="0" w:type="auto"/>
            <w:gridSpan w:val="2"/>
            <w:vAlign w:val="center"/>
            <w:hideMark/>
          </w:tcPr>
          <w:p w:rsidR="00873D76" w:rsidRPr="00873D76" w:rsidRDefault="00873D76" w:rsidP="00873D76">
            <w:pPr>
              <w:spacing w:after="0" w:line="240" w:lineRule="auto"/>
              <w:jc w:val="center"/>
              <w:rPr>
                <w:rFonts w:ascii="Arial" w:eastAsia="Times New Roman" w:hAnsi="Arial" w:cs="Arial"/>
                <w:b/>
                <w:bCs/>
                <w:sz w:val="24"/>
                <w:szCs w:val="24"/>
                <w:lang w:eastAsia="en-GB"/>
              </w:rPr>
            </w:pPr>
            <w:r w:rsidRPr="00873D76">
              <w:rPr>
                <w:rFonts w:ascii="Arial" w:eastAsia="Times New Roman" w:hAnsi="Arial" w:cs="Arial"/>
                <w:b/>
                <w:bCs/>
                <w:sz w:val="24"/>
                <w:szCs w:val="24"/>
                <w:lang w:eastAsia="en-GB"/>
              </w:rPr>
              <w:t>Threats</w:t>
            </w:r>
          </w:p>
        </w:tc>
      </w:tr>
      <w:tr w:rsidR="00873D76" w:rsidRPr="00873D76" w:rsidTr="00873D76">
        <w:trPr>
          <w:gridAfter w:val="1"/>
          <w:tblCellSpacing w:w="15" w:type="dxa"/>
        </w:trPr>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Growth of EV market</w:t>
            </w:r>
          </w:p>
        </w:tc>
        <w:tc>
          <w:tcPr>
            <w:tcW w:w="0" w:type="auto"/>
            <w:gridSpan w:val="2"/>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Tesla, BYD and established competitors</w:t>
            </w:r>
          </w:p>
        </w:tc>
      </w:tr>
      <w:tr w:rsidR="00873D76" w:rsidRPr="00873D76" w:rsidTr="00873D76">
        <w:trPr>
          <w:gridAfter w:val="1"/>
          <w:tblCellSpacing w:w="15" w:type="dxa"/>
        </w:trPr>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Artificial intelligence</w:t>
            </w:r>
          </w:p>
        </w:tc>
        <w:tc>
          <w:tcPr>
            <w:tcW w:w="0" w:type="auto"/>
            <w:gridSpan w:val="2"/>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Supply chain disruption</w:t>
            </w:r>
          </w:p>
        </w:tc>
      </w:tr>
      <w:tr w:rsidR="00873D76" w:rsidRPr="00873D76" w:rsidTr="00873D76">
        <w:trPr>
          <w:gridAfter w:val="1"/>
          <w:tblCellSpacing w:w="15" w:type="dxa"/>
        </w:trPr>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Digital services</w:t>
            </w:r>
          </w:p>
        </w:tc>
        <w:tc>
          <w:tcPr>
            <w:tcW w:w="0" w:type="auto"/>
            <w:gridSpan w:val="2"/>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Cyber</w:t>
            </w:r>
            <w:r>
              <w:rPr>
                <w:rFonts w:ascii="Arial" w:eastAsia="Times New Roman" w:hAnsi="Arial" w:cs="Arial"/>
                <w:lang w:eastAsia="en-GB"/>
              </w:rPr>
              <w:t xml:space="preserve"> </w:t>
            </w:r>
            <w:r w:rsidRPr="00873D76">
              <w:rPr>
                <w:rFonts w:ascii="Arial" w:eastAsia="Times New Roman" w:hAnsi="Arial" w:cs="Arial"/>
                <w:lang w:eastAsia="en-GB"/>
              </w:rPr>
              <w:t>security risks</w:t>
            </w:r>
          </w:p>
        </w:tc>
      </w:tr>
      <w:tr w:rsidR="00873D76" w:rsidRPr="00873D76" w:rsidTr="00873D76">
        <w:trPr>
          <w:gridAfter w:val="1"/>
          <w:tblCellSpacing w:w="15" w:type="dxa"/>
        </w:trPr>
        <w:tc>
          <w:tcPr>
            <w:tcW w:w="0" w:type="auto"/>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Strategic partnerships</w:t>
            </w:r>
          </w:p>
        </w:tc>
        <w:tc>
          <w:tcPr>
            <w:tcW w:w="0" w:type="auto"/>
            <w:gridSpan w:val="2"/>
            <w:vAlign w:val="center"/>
            <w:hideMark/>
          </w:tcPr>
          <w:p w:rsidR="00873D76" w:rsidRPr="00873D76" w:rsidRDefault="00873D76" w:rsidP="00873D76">
            <w:pPr>
              <w:spacing w:after="0" w:line="360" w:lineRule="auto"/>
              <w:rPr>
                <w:rFonts w:ascii="Arial" w:eastAsia="Times New Roman" w:hAnsi="Arial" w:cs="Arial"/>
                <w:lang w:eastAsia="en-GB"/>
              </w:rPr>
            </w:pPr>
            <w:r w:rsidRPr="00873D76">
              <w:rPr>
                <w:rFonts w:ascii="Arial" w:eastAsia="Times New Roman" w:hAnsi="Arial" w:cs="Arial"/>
                <w:lang w:eastAsia="en-GB"/>
              </w:rPr>
              <w:t>Economic uncertainty and changing regulations</w:t>
            </w:r>
          </w:p>
        </w:tc>
      </w:tr>
    </w:tbl>
    <w:p w:rsidR="00873D76" w:rsidRPr="00873D76" w:rsidRDefault="00873D76" w:rsidP="008262BD">
      <w:pPr>
        <w:spacing w:before="100" w:beforeAutospacing="1" w:after="100" w:afterAutospacing="1" w:line="360" w:lineRule="auto"/>
        <w:rPr>
          <w:rFonts w:ascii="Arial" w:eastAsia="Times New Roman" w:hAnsi="Arial" w:cs="Arial"/>
          <w:lang w:eastAsia="en-GB"/>
        </w:rPr>
      </w:pPr>
      <w:r w:rsidRPr="00873D76">
        <w:rPr>
          <w:rFonts w:ascii="Arial" w:eastAsia="Times New Roman" w:hAnsi="Arial" w:cs="Arial"/>
          <w:bCs/>
          <w:lang w:eastAsia="en-GB"/>
        </w:rPr>
        <w:t>The SWOT analysis indicates that although JLR possesses substantial internal capabilities, future competitiveness depends on exploiting opportunities in electrification and digital innovation while addressing weaknesses related to workforce capability and operational complexity (Grant, 2021; Burnes, 2020).</w:t>
      </w:r>
    </w:p>
    <w:p w:rsidR="008262BD" w:rsidRDefault="008262BD" w:rsidP="00873D76">
      <w:pPr>
        <w:spacing w:line="360" w:lineRule="auto"/>
        <w:rPr>
          <w:rFonts w:ascii="Arial" w:hAnsi="Arial" w:cs="Arial"/>
        </w:rPr>
      </w:pPr>
    </w:p>
    <w:p w:rsidR="008262BD" w:rsidRDefault="008262BD">
      <w:pPr>
        <w:rPr>
          <w:rFonts w:ascii="Arial" w:hAnsi="Arial" w:cs="Arial"/>
        </w:rPr>
      </w:pPr>
      <w:r>
        <w:rPr>
          <w:rFonts w:ascii="Arial" w:hAnsi="Arial" w:cs="Arial"/>
        </w:rPr>
        <w:br w:type="page"/>
      </w:r>
    </w:p>
    <w:p w:rsidR="008262BD" w:rsidRPr="008262BD" w:rsidRDefault="008262BD" w:rsidP="008262BD">
      <w:pPr>
        <w:spacing w:before="100" w:beforeAutospacing="1" w:after="100" w:afterAutospacing="1" w:line="240" w:lineRule="auto"/>
        <w:outlineLvl w:val="0"/>
        <w:rPr>
          <w:rFonts w:ascii="Arial" w:eastAsia="Times New Roman" w:hAnsi="Arial" w:cs="Arial"/>
          <w:b/>
          <w:bCs/>
          <w:kern w:val="36"/>
          <w:sz w:val="24"/>
          <w:szCs w:val="24"/>
          <w:lang w:eastAsia="en-GB"/>
        </w:rPr>
      </w:pPr>
      <w:r w:rsidRPr="008262BD">
        <w:rPr>
          <w:rFonts w:ascii="Arial" w:eastAsia="Times New Roman" w:hAnsi="Arial" w:cs="Arial"/>
          <w:b/>
          <w:bCs/>
          <w:kern w:val="36"/>
          <w:sz w:val="24"/>
          <w:szCs w:val="24"/>
          <w:lang w:eastAsia="en-GB"/>
        </w:rPr>
        <w:lastRenderedPageBreak/>
        <w:t>5. Drivers of Strategic Change</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The environmental analysis demonstrates that Jaguar Land Rover operates in an increasingly complex business environment where technological innovation, environmental regulation and competitive pressures are reshaping the automotive industry. Although the company possesses strong brands and engineering expertise, these strengths alone are insufficient to sustain long-term competitiveness. Strategic change is therefore driven by several interconnected factors that require organisational transformation rather than incremental operational improvements (Johnson et al., 2020; Burnes, 2020).</w:t>
      </w:r>
    </w:p>
    <w:p w:rsidR="008262BD" w:rsidRPr="008262BD" w:rsidRDefault="008262BD" w:rsidP="008262BD">
      <w:pPr>
        <w:spacing w:before="100" w:beforeAutospacing="1" w:after="100" w:afterAutospacing="1" w:line="240" w:lineRule="auto"/>
        <w:outlineLvl w:val="1"/>
        <w:rPr>
          <w:rFonts w:ascii="Arial" w:eastAsia="Times New Roman" w:hAnsi="Arial" w:cs="Arial"/>
          <w:b/>
          <w:bCs/>
          <w:sz w:val="24"/>
          <w:szCs w:val="24"/>
          <w:lang w:eastAsia="en-GB"/>
        </w:rPr>
      </w:pPr>
      <w:r w:rsidRPr="008262BD">
        <w:rPr>
          <w:rFonts w:ascii="Arial" w:eastAsia="Times New Roman" w:hAnsi="Arial" w:cs="Arial"/>
          <w:b/>
          <w:bCs/>
          <w:sz w:val="24"/>
          <w:szCs w:val="24"/>
          <w:lang w:eastAsia="en-GB"/>
        </w:rPr>
        <w:t>5.1 Electrification</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The transition from internal combustion engines to electric vehicles represents the most significant driver of change affecting JLR. Governments continue to tighten emissions regulations while customers increasingly favour environmentally sustainable transport. The UK's Zero Emission Vehicle (ZEV) Mandate requires manufacturers to expand electric vehicle production, forcing organisations to redesign manufacturing processes, invest in battery technologies and develop new engineering capabilities (UK Government, 2025; JLR, 2024).</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However, electrification extends beyond product development. It also requires workforce reskilling, investment in charging technologies and stronger partnerships across the battery supply chain. Consequently, competitive advantage will depend not only on producing electric vehicles but also on how effectively organisations manage organisational change during this transition (Grant, 2021; Christopher and Peck, 2004).</w:t>
      </w:r>
    </w:p>
    <w:p w:rsidR="008262BD" w:rsidRPr="008262BD" w:rsidRDefault="008262BD" w:rsidP="008262BD">
      <w:pPr>
        <w:spacing w:before="100" w:beforeAutospacing="1" w:after="100" w:afterAutospacing="1" w:line="240" w:lineRule="auto"/>
        <w:outlineLvl w:val="1"/>
        <w:rPr>
          <w:rFonts w:ascii="Arial" w:eastAsia="Times New Roman" w:hAnsi="Arial" w:cs="Arial"/>
          <w:b/>
          <w:bCs/>
          <w:sz w:val="24"/>
          <w:szCs w:val="24"/>
          <w:lang w:eastAsia="en-GB"/>
        </w:rPr>
      </w:pPr>
      <w:r w:rsidRPr="008262BD">
        <w:rPr>
          <w:rFonts w:ascii="Arial" w:eastAsia="Times New Roman" w:hAnsi="Arial" w:cs="Arial"/>
          <w:b/>
          <w:bCs/>
          <w:sz w:val="24"/>
          <w:szCs w:val="24"/>
          <w:lang w:eastAsia="en-GB"/>
        </w:rPr>
        <w:t>5.2 Digital Transformation and Artificial Intelligence</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Digital transformation has fundamentally changed the basis of competition within the automotive sector. Artificial intelligence, connected vehicles and advanced data analytics increasingly determine operational efficiency and customer value. JLR has already invested in digital engineering and AI-supported manufacturing; however, technology alone cannot guarantee success. Organisations must also develop digital skills, redesign business processes and strengthen cyber</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security to maximise the benefits of technological innovation (Vial, 2019; Davenport and Ronanki, 2018).</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 xml:space="preserve">This highlights an important distinction between technological investment and organisational transformation. While competitors may adopt similar technologies, sustainable competitive </w:t>
      </w:r>
      <w:r w:rsidRPr="008262BD">
        <w:rPr>
          <w:rFonts w:ascii="Arial" w:eastAsia="Times New Roman" w:hAnsi="Arial" w:cs="Arial"/>
          <w:lang w:eastAsia="en-GB"/>
        </w:rPr>
        <w:lastRenderedPageBreak/>
        <w:t>advantage depends upon an organisation's ability to integrate digital innovation into everyday operations through effective leadership and continuous learning (Warner and Wäger, 2019; Teece, 2018).</w:t>
      </w:r>
    </w:p>
    <w:p w:rsidR="008262BD" w:rsidRPr="008262BD" w:rsidRDefault="008262BD" w:rsidP="008262BD">
      <w:pPr>
        <w:spacing w:before="100" w:beforeAutospacing="1" w:after="100" w:afterAutospacing="1" w:line="240" w:lineRule="auto"/>
        <w:outlineLvl w:val="1"/>
        <w:rPr>
          <w:rFonts w:ascii="Arial" w:eastAsia="Times New Roman" w:hAnsi="Arial" w:cs="Arial"/>
          <w:b/>
          <w:bCs/>
          <w:sz w:val="24"/>
          <w:szCs w:val="24"/>
          <w:lang w:eastAsia="en-GB"/>
        </w:rPr>
      </w:pPr>
      <w:r w:rsidRPr="008262BD">
        <w:rPr>
          <w:rFonts w:ascii="Arial" w:eastAsia="Times New Roman" w:hAnsi="Arial" w:cs="Arial"/>
          <w:b/>
          <w:bCs/>
          <w:sz w:val="24"/>
          <w:szCs w:val="24"/>
          <w:lang w:eastAsia="en-GB"/>
        </w:rPr>
        <w:t>5.3 Competitive Pressure</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Competition within the premium automotive market has intensified significantly. Traditional manufacturers such as BMW and Mercedes-Benz continue investing heavily in electrification, while newer competitors including Tesla and BYD compete through rapid innovation and software capabilities. As a result, product quality alone is no longer sufficient to maintain market leadership (Porter, 1985).</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To remain competitive, JLR must accelerate innovation while improving organisational agility. This requires faster decision-making, stronger collaboration across departments and greater responsiveness to changing customer expectations. Organisations that adapt more quickly to technological and market changes are more likely to sustain competitive advantage over the long term (Grant, 2021; Johnson et al., 2020).</w:t>
      </w:r>
    </w:p>
    <w:p w:rsidR="008262BD" w:rsidRPr="008262BD" w:rsidRDefault="008262BD" w:rsidP="008262BD">
      <w:pPr>
        <w:spacing w:before="100" w:beforeAutospacing="1" w:after="100" w:afterAutospacing="1" w:line="240" w:lineRule="auto"/>
        <w:outlineLvl w:val="1"/>
        <w:rPr>
          <w:rFonts w:ascii="Arial" w:eastAsia="Times New Roman" w:hAnsi="Arial" w:cs="Arial"/>
          <w:b/>
          <w:bCs/>
          <w:sz w:val="24"/>
          <w:szCs w:val="24"/>
          <w:lang w:eastAsia="en-GB"/>
        </w:rPr>
      </w:pPr>
      <w:r w:rsidRPr="008262BD">
        <w:rPr>
          <w:rFonts w:ascii="Arial" w:eastAsia="Times New Roman" w:hAnsi="Arial" w:cs="Arial"/>
          <w:b/>
          <w:bCs/>
          <w:sz w:val="24"/>
          <w:szCs w:val="24"/>
          <w:lang w:eastAsia="en-GB"/>
        </w:rPr>
        <w:t>5.4 Sustainability and Workforce Capability</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Environmental sustainability has evolved into a strategic priority influencing organisational reputation, investment decisions and regulatory compliance. JLR's commitment to achieving net-zero carbon emissions by 2039 requires changes throughout manufacturing, procurement and product development rather than isolated environmental initiatives (JLR, 2024; Bansal and DesJardine, 2014).</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Equally important is workforce capability. The transition towards software-defined vehicles requires expertise in artificial intelligence, battery technology and cybersecurity. Developing these competencies through continuous learning will enable employees to support future innovation while improving organisational resilience. Consequently, workforce development should be viewed as a strategic investment rather than simply a human resource activity (Aguinis and Kraiger, 2009; Edmondson, 2019).</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Overall, electrification, digital transformation, sustainability and workforce capability collectively justify the need for a structured Strategic Change Management Plan. These drivers reinforce the importance of selecting an appropriate change management framework capable of supporting both organisational and behavioural transformation (Burnes, 2020; Johnson et al., 2020).</w:t>
      </w:r>
    </w:p>
    <w:p w:rsidR="008262BD" w:rsidRPr="008262BD" w:rsidRDefault="008262BD" w:rsidP="008262BD">
      <w:pPr>
        <w:spacing w:before="100" w:beforeAutospacing="1" w:after="100" w:afterAutospacing="1" w:line="240" w:lineRule="auto"/>
        <w:outlineLvl w:val="0"/>
        <w:rPr>
          <w:rFonts w:ascii="Arial" w:eastAsia="Times New Roman" w:hAnsi="Arial" w:cs="Arial"/>
          <w:b/>
          <w:bCs/>
          <w:kern w:val="36"/>
          <w:sz w:val="28"/>
          <w:szCs w:val="28"/>
          <w:lang w:eastAsia="en-GB"/>
        </w:rPr>
      </w:pPr>
      <w:r w:rsidRPr="008262BD">
        <w:rPr>
          <w:rFonts w:ascii="Arial" w:eastAsia="Times New Roman" w:hAnsi="Arial" w:cs="Arial"/>
          <w:b/>
          <w:bCs/>
          <w:kern w:val="36"/>
          <w:sz w:val="28"/>
          <w:szCs w:val="28"/>
          <w:lang w:eastAsia="en-GB"/>
        </w:rPr>
        <w:lastRenderedPageBreak/>
        <w:t>6. Evaluation of Change Management Models</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Implementing strategic change successfully requires more than recognising the need for transformation; it also depends on selecting an appropriate implementation framework. Although several recognised change management models exist, each reflects different assumptions regarding how organisations adapt to change. This section critically evaluates Lewin's Three-Step Model, Kotter's Eight-Step Model and the ADKAR Model to determine which approach best supports Jaguar Land Rover's transformation (Burnes, 2020; Hughes, 2016).</w:t>
      </w:r>
    </w:p>
    <w:p w:rsidR="008262BD" w:rsidRPr="008262BD" w:rsidRDefault="008262BD" w:rsidP="008262BD">
      <w:pPr>
        <w:spacing w:before="100" w:beforeAutospacing="1" w:after="100" w:afterAutospacing="1" w:line="240" w:lineRule="auto"/>
        <w:outlineLvl w:val="1"/>
        <w:rPr>
          <w:rFonts w:ascii="Arial" w:eastAsia="Times New Roman" w:hAnsi="Arial" w:cs="Arial"/>
          <w:b/>
          <w:bCs/>
          <w:sz w:val="24"/>
          <w:szCs w:val="24"/>
          <w:lang w:eastAsia="en-GB"/>
        </w:rPr>
      </w:pPr>
      <w:r w:rsidRPr="008262BD">
        <w:rPr>
          <w:rFonts w:ascii="Arial" w:eastAsia="Times New Roman" w:hAnsi="Arial" w:cs="Arial"/>
          <w:b/>
          <w:bCs/>
          <w:sz w:val="24"/>
          <w:szCs w:val="24"/>
          <w:lang w:eastAsia="en-GB"/>
        </w:rPr>
        <w:t>6.1 Lewin's Three-Step Model</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Lewin's Three-Step Model proposes that organisational change occurs through three stages: unfreezing existing behaviours, implementing new practices and refreezing those practices to establish long-term stability (Lewin, 1947).</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The model's greatest strength lies in its emphasis on behavioural change. Employees are encouraged to understand why transformation is necessary before new systems are introduced, reducing resistance and improving acceptance. For JLR, this approach is particularly relevant because employees must adapt to new technologies, digital processes and changing organisational priorities. Preparing employees before implementation is therefore essential for reducing uncertainty and strengthening commitment (Burnes, 2020).</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Despite these advantages, Lewin's framework has limitations. It assumes that organisations eventually reach a stable state after transformation, whereas modern automotive manufacturers operate in environments characterised by continuous technological disruption. JLR is unlikely to experience long periods of stability because innovation, regulation and customer expectations continue to evolve. Consequently, Lewin's model provides valuable theoretical insight but offers limited guidance for organisations experiencing continuous strategic change (Hughes, 2016).</w:t>
      </w:r>
    </w:p>
    <w:p w:rsidR="008262BD" w:rsidRPr="008262BD" w:rsidRDefault="008262BD" w:rsidP="008262BD">
      <w:pPr>
        <w:spacing w:before="100" w:beforeAutospacing="1" w:after="100" w:afterAutospacing="1" w:line="360" w:lineRule="auto"/>
        <w:outlineLvl w:val="1"/>
        <w:rPr>
          <w:rFonts w:ascii="Arial" w:eastAsia="Times New Roman" w:hAnsi="Arial" w:cs="Arial"/>
          <w:b/>
          <w:bCs/>
          <w:sz w:val="24"/>
          <w:szCs w:val="24"/>
          <w:lang w:eastAsia="en-GB"/>
        </w:rPr>
      </w:pPr>
      <w:r w:rsidRPr="008262BD">
        <w:rPr>
          <w:rFonts w:ascii="Arial" w:eastAsia="Times New Roman" w:hAnsi="Arial" w:cs="Arial"/>
          <w:b/>
          <w:bCs/>
          <w:sz w:val="24"/>
          <w:szCs w:val="24"/>
          <w:lang w:eastAsia="en-GB"/>
        </w:rPr>
        <w:t>6.2 Kotter's Eight-Step Model</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Kotter expanded earlier behavioural theories by developing an implementation framework consisting of eight stages, including establishing urgency, developing a guiding coalition, communicating the vision, empowering employees and embedding change within organisational culture (Kotter, 1996).</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lastRenderedPageBreak/>
        <w:t>A major advantage of Kotter's model is its practical focus. Unlike Lewin's relatively simple framework, Kotter provides managers with clear implementation stages that improve coordination across large organisations. This is particularly important for JLR because transformation affects manufacturing, engineering, procurement, finance and human resources simultaneously.</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The framework also highlights leadership and communication as essential components of successful change. Research consistently shows that employees are more likely to support organisational transformation when leaders communicate a clear vision and actively involve staff throughout implementation. Given the scale of JLR's transformation, these characteristics make Kotter's model particularly appropriate (Lewis, 2019; Johnson et al., 2020).</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Nevertheless, critics argue that Kotter presents change as a largely sequential process. In practice, organisations frequently revisit earlier stages as external conditions change. The rapidly evolving automotive industry requires greater flexibility than the model sometimes implies, suggesting that managers should adapt rather than follow the framework rigidly (Hughes, 2016).</w:t>
      </w:r>
    </w:p>
    <w:p w:rsidR="008262BD" w:rsidRPr="00AD510F" w:rsidRDefault="00AD510F" w:rsidP="00AD510F">
      <w:pPr>
        <w:spacing w:before="100" w:beforeAutospacing="1" w:after="100" w:afterAutospacing="1" w:line="240" w:lineRule="auto"/>
        <w:outlineLvl w:val="1"/>
        <w:rPr>
          <w:rFonts w:ascii="Arial" w:eastAsia="Times New Roman" w:hAnsi="Arial" w:cs="Arial"/>
          <w:b/>
          <w:bCs/>
          <w:sz w:val="24"/>
          <w:szCs w:val="24"/>
          <w:lang w:eastAsia="en-GB"/>
        </w:rPr>
      </w:pPr>
      <w:r>
        <w:rPr>
          <w:rFonts w:ascii="Arial" w:eastAsia="Times New Roman" w:hAnsi="Arial" w:cs="Arial"/>
          <w:b/>
          <w:bCs/>
          <w:sz w:val="24"/>
          <w:szCs w:val="24"/>
          <w:lang w:eastAsia="en-GB"/>
        </w:rPr>
        <w:t>6.3 ADKAR Model</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Unlike Lewin and Kotter, the ADKAR Model focuses primarily on individual employees. It proposes that successful organisational transformation depends upon employees progressing through five stages: Awareness, Desire, Knowledge, Ability and Reinforcement (Hiatt, 2006).</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Its principal strength lies in supporting employee development. JLR's transition towards digital manufacturing and electric vehicles requires extensive workforce reskilling, making ADKAR valuable for training and capability development. Employees who understand the purpose of change and receive appropriate support are more likely to adopt new working practices successfully (Aguinis and Kraiger, 2009).</w:t>
      </w:r>
    </w:p>
    <w:p w:rsid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However, ADKAR gives comparatively limited attention to organisational strategy, leadership and external business pressures. Consequently, although it effectively complements larger organisational frameworks, it is less suitable as the primary model for managing enterprise-wide transformation (Burnes, 2020).</w:t>
      </w:r>
    </w:p>
    <w:p w:rsidR="00AD510F" w:rsidRPr="008262BD" w:rsidRDefault="00AD510F" w:rsidP="008262BD">
      <w:pPr>
        <w:spacing w:before="100" w:beforeAutospacing="1" w:after="100" w:afterAutospacing="1" w:line="360" w:lineRule="auto"/>
        <w:rPr>
          <w:rFonts w:ascii="Arial" w:eastAsia="Times New Roman" w:hAnsi="Arial" w:cs="Arial"/>
          <w:lang w:eastAsia="en-GB"/>
        </w:rPr>
      </w:pPr>
    </w:p>
    <w:p w:rsidR="008262BD" w:rsidRPr="008262BD" w:rsidRDefault="008262BD" w:rsidP="008262BD">
      <w:pPr>
        <w:spacing w:before="100" w:beforeAutospacing="1" w:after="100" w:afterAutospacing="1" w:line="240" w:lineRule="auto"/>
        <w:outlineLvl w:val="1"/>
        <w:rPr>
          <w:rFonts w:ascii="Arial" w:eastAsia="Times New Roman" w:hAnsi="Arial" w:cs="Arial"/>
          <w:b/>
          <w:bCs/>
          <w:sz w:val="24"/>
          <w:szCs w:val="24"/>
          <w:lang w:eastAsia="en-GB"/>
        </w:rPr>
      </w:pPr>
      <w:r w:rsidRPr="008262BD">
        <w:rPr>
          <w:rFonts w:ascii="Arial" w:eastAsia="Times New Roman" w:hAnsi="Arial" w:cs="Arial"/>
          <w:b/>
          <w:bCs/>
          <w:sz w:val="24"/>
          <w:szCs w:val="24"/>
          <w:lang w:eastAsia="en-GB"/>
        </w:rPr>
        <w:lastRenderedPageBreak/>
        <w:t>6.4 Recommended Model</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Following critical evaluation, Kotter's Eight-Step Model provides the strongest foundation for Jaguar Land Rover's Strategic Change Management Plan. The organisation's transformation affects multiple business functions and requires coordinated leadership, effective communication and sustained employee engagement. These characteristics closely reflect the strengths of Kotter's framework.</w:t>
      </w:r>
    </w:p>
    <w:p w:rsidR="008262BD" w:rsidRPr="008262BD" w:rsidRDefault="008262BD" w:rsidP="008262BD">
      <w:pPr>
        <w:spacing w:before="100" w:beforeAutospacing="1" w:after="100" w:afterAutospacing="1" w:line="360" w:lineRule="auto"/>
        <w:rPr>
          <w:rFonts w:ascii="Arial" w:eastAsia="Times New Roman" w:hAnsi="Arial" w:cs="Arial"/>
          <w:lang w:eastAsia="en-GB"/>
        </w:rPr>
      </w:pPr>
      <w:r w:rsidRPr="008262BD">
        <w:rPr>
          <w:rFonts w:ascii="Arial" w:eastAsia="Times New Roman" w:hAnsi="Arial" w:cs="Arial"/>
          <w:lang w:eastAsia="en-GB"/>
        </w:rPr>
        <w:t>However, relying exclusively on one model would oversimplify organisational change. Lewin's emphasis on cultural change remains valuable when embedding new behaviours, while ADKAR strengthens workforce capability by focusing on individual development. Combining these complementary approaches enables JLR to address strategic, organisational and behavioural dimensions simultaneously, increasing the likelihood of successful long-term transformation (Kotter, 1996; Burnes, 2020; Hiatt, 2006).</w:t>
      </w:r>
    </w:p>
    <w:p w:rsidR="00AD510F" w:rsidRDefault="00AD510F" w:rsidP="00873D76">
      <w:pPr>
        <w:spacing w:line="360" w:lineRule="auto"/>
        <w:rPr>
          <w:rFonts w:ascii="Arial" w:hAnsi="Arial" w:cs="Arial"/>
        </w:rPr>
      </w:pPr>
    </w:p>
    <w:p w:rsidR="00AD510F" w:rsidRDefault="00AD510F">
      <w:pPr>
        <w:rPr>
          <w:rFonts w:ascii="Arial" w:hAnsi="Arial" w:cs="Arial"/>
        </w:rPr>
      </w:pPr>
      <w:r>
        <w:rPr>
          <w:rFonts w:ascii="Arial" w:hAnsi="Arial" w:cs="Arial"/>
        </w:rPr>
        <w:br w:type="page"/>
      </w:r>
    </w:p>
    <w:p w:rsidR="00AD510F" w:rsidRPr="00AD510F" w:rsidRDefault="00AD510F" w:rsidP="00AD510F">
      <w:pPr>
        <w:spacing w:before="100" w:beforeAutospacing="1" w:after="100" w:afterAutospacing="1" w:line="240" w:lineRule="auto"/>
        <w:outlineLvl w:val="0"/>
        <w:rPr>
          <w:rFonts w:ascii="Arial" w:eastAsia="Times New Roman" w:hAnsi="Arial" w:cs="Arial"/>
          <w:b/>
          <w:bCs/>
          <w:kern w:val="36"/>
          <w:sz w:val="24"/>
          <w:szCs w:val="24"/>
          <w:lang w:eastAsia="en-GB"/>
        </w:rPr>
      </w:pPr>
      <w:r w:rsidRPr="00AD510F">
        <w:rPr>
          <w:rFonts w:ascii="Arial" w:eastAsia="Times New Roman" w:hAnsi="Arial" w:cs="Arial"/>
          <w:b/>
          <w:bCs/>
          <w:kern w:val="36"/>
          <w:sz w:val="24"/>
          <w:szCs w:val="24"/>
          <w:lang w:eastAsia="en-GB"/>
        </w:rPr>
        <w:lastRenderedPageBreak/>
        <w:t>7. Leadership and Organisational Culture</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Successful strategic change depends not only on new technologies but also on leadership and organisational culture. Although change management models provide structured implementation processes, transformation is unlikely to succeed unless employees understand, accept and actively support organisational objectives. Consequently, leadership and culture should be viewed as strategic resources that enable change rather than as supporting activities (Burnes, 2020; Schein and Schein, 2017).</w:t>
      </w:r>
    </w:p>
    <w:p w:rsidR="00AD510F" w:rsidRPr="00AD510F" w:rsidRDefault="00AD510F" w:rsidP="00AD510F">
      <w:pPr>
        <w:spacing w:before="100" w:beforeAutospacing="1" w:after="100" w:afterAutospacing="1" w:line="240" w:lineRule="auto"/>
        <w:outlineLvl w:val="1"/>
        <w:rPr>
          <w:rFonts w:ascii="Arial" w:eastAsia="Times New Roman" w:hAnsi="Arial" w:cs="Arial"/>
          <w:b/>
          <w:bCs/>
          <w:sz w:val="24"/>
          <w:szCs w:val="24"/>
          <w:lang w:eastAsia="en-GB"/>
        </w:rPr>
      </w:pPr>
      <w:r w:rsidRPr="00AD510F">
        <w:rPr>
          <w:rFonts w:ascii="Arial" w:eastAsia="Times New Roman" w:hAnsi="Arial" w:cs="Arial"/>
          <w:b/>
          <w:bCs/>
          <w:sz w:val="24"/>
          <w:szCs w:val="24"/>
          <w:lang w:eastAsia="en-GB"/>
        </w:rPr>
        <w:t>7.1 Leadership</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Leadership plays a critical role during periods of organisational uncertainty because employees often experience concerns regarding changing responsibilities, new technologies and future career opportunities. Effective leaders reduce resistance by communicating a clear vision, encouraging collaboration and maintaining employee confidence throughout implementation. Rather than directing change through authority alone, leaders should create an environment in which employees understand the purpose of transformation and recognise how their individual contributions support organisational success (Kotter, 1996; Northouse, 2022).</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For Jaguar Land Rover, leadership is particularly important because several major initiatives are taking place simultaneously, including electrification, digital transformation and sustainability. Senior managers must therefore coordinate activities across engineering, manufacturing, procurement and human resources while ensuring that strategic priorities remain aligned. Visible leadership, supported by regular communication and employee engagement, is likely to strengthen trust and reduce uncertainty during implementation (Johnson et al., 2020; Lewis, 2019).</w:t>
      </w:r>
    </w:p>
    <w:p w:rsidR="00AD510F" w:rsidRPr="00AD510F" w:rsidRDefault="00AD510F" w:rsidP="00B508F6">
      <w:pPr>
        <w:spacing w:before="100" w:beforeAutospacing="1" w:after="100" w:afterAutospacing="1" w:line="360" w:lineRule="auto"/>
        <w:outlineLvl w:val="1"/>
        <w:rPr>
          <w:rFonts w:ascii="Arial" w:eastAsia="Times New Roman" w:hAnsi="Arial" w:cs="Arial"/>
          <w:b/>
          <w:bCs/>
          <w:sz w:val="24"/>
          <w:szCs w:val="24"/>
          <w:lang w:eastAsia="en-GB"/>
        </w:rPr>
      </w:pPr>
      <w:r w:rsidRPr="00AD510F">
        <w:rPr>
          <w:rFonts w:ascii="Arial" w:eastAsia="Times New Roman" w:hAnsi="Arial" w:cs="Arial"/>
          <w:b/>
          <w:bCs/>
          <w:sz w:val="24"/>
          <w:szCs w:val="24"/>
          <w:lang w:eastAsia="en-GB"/>
        </w:rPr>
        <w:t>7.2 Transformational Leadership</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Among the various leadership approaches, transformational leadership is particularly appropriate for JLR because it encourages innovation, collaboration and continuous learning. Transformational leaders inspire employees by presenting a compelling vision while empowering them to contribute towards organisational improvement. This approach is especially relevant within industries characterised by rapid technological change, where innovation depends upon employee creativity as much as managerial direction (Bass and Avolio, 1994).</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lastRenderedPageBreak/>
        <w:t>However, transformational leadership should not rely solely on inspirational communication. Sustainable change also requires investment in employee development, effective performance management and opportunities for continuous learning. Encouraging knowledge sharing, coaching and cross-functional collaboration will help employees develop the digital and technical capabilities required to support JLR's long-term strategic objectives (Edmondson, 2019; Aguinis and Kraiger, 2009).</w:t>
      </w:r>
    </w:p>
    <w:p w:rsidR="00AD510F" w:rsidRPr="00AD510F" w:rsidRDefault="00AD510F" w:rsidP="00AD510F">
      <w:pPr>
        <w:spacing w:before="100" w:beforeAutospacing="1" w:after="100" w:afterAutospacing="1" w:line="240" w:lineRule="auto"/>
        <w:outlineLvl w:val="1"/>
        <w:rPr>
          <w:rFonts w:ascii="Arial" w:eastAsia="Times New Roman" w:hAnsi="Arial" w:cs="Arial"/>
          <w:b/>
          <w:bCs/>
          <w:sz w:val="24"/>
          <w:szCs w:val="24"/>
          <w:lang w:eastAsia="en-GB"/>
        </w:rPr>
      </w:pPr>
      <w:r w:rsidRPr="00AD510F">
        <w:rPr>
          <w:rFonts w:ascii="Arial" w:eastAsia="Times New Roman" w:hAnsi="Arial" w:cs="Arial"/>
          <w:b/>
          <w:bCs/>
          <w:sz w:val="24"/>
          <w:szCs w:val="24"/>
          <w:lang w:eastAsia="en-GB"/>
        </w:rPr>
        <w:t>7.3 Organisational Culture</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Organisational culture significantly influences whether strategic initiatives become embedded within everyday practice. According to Schein's Three-Level Model, culture consists of visible organisational practices, shared values and deeply embedded assumptions that shape employee behaviour. Successfully implementing JLR's Reimagine Strategy therefore requires more than introducing new technologies; it also requires developing a culture that values innovation, sustainability and continuous improvement (Schein and Schein, 2017).</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Historically, automotive organisations have focused primarily on engineering excellence and manufacturing efficiency. While these capabilities remain essential, future competitiveness increasingly depends on digital innovation, collaboration and organisational learning. Leadership should therefore reinforce behaviours that encourage experimentation, knowledge sharing and adaptability while recognising employees who contribute to continuous improvement. Aligning leadership behaviour with organisational values will strengthen employee commitment and increase the likelihood of long-term strategic success (Kaplan and Norton, 1996; Burnes, 2020).</w:t>
      </w:r>
    </w:p>
    <w:p w:rsidR="00AD510F" w:rsidRPr="00AD510F" w:rsidRDefault="00AD510F" w:rsidP="00B919A5">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Overall, leadership and organisational culture should be considered complementary elements of strategic change. Strong leadership provides direction and motivation, while an adaptive culture ensures that new behaviours become embedded across the organisation.</w:t>
      </w:r>
      <w:r w:rsidR="00B919A5" w:rsidRPr="00B919A5">
        <w:t xml:space="preserve"> </w:t>
      </w:r>
      <w:r w:rsidR="00B919A5" w:rsidRPr="00B919A5">
        <w:rPr>
          <w:rFonts w:ascii="Arial" w:hAnsi="Arial" w:cs="Arial"/>
        </w:rPr>
        <w:t>Research indicates that employee readiness, leadership commitment and organisational support are fundamental factors influencing successful change implementation. Together, these elements create the organisational capability required to sustain competitive advantage within a rapidly changing automotive industry (Armenakis and Bedeian, 1999; Johnson et al., 2020; Kotter, 1996).</w:t>
      </w:r>
      <w:r w:rsidRPr="00AD510F">
        <w:rPr>
          <w:rFonts w:ascii="Arial" w:eastAsia="Times New Roman" w:hAnsi="Arial" w:cs="Arial"/>
          <w:lang w:eastAsia="en-GB"/>
        </w:rPr>
        <w:t xml:space="preserve"> </w:t>
      </w:r>
    </w:p>
    <w:p w:rsidR="00AD510F" w:rsidRDefault="00AD510F" w:rsidP="00873D76">
      <w:pPr>
        <w:spacing w:line="360" w:lineRule="auto"/>
        <w:rPr>
          <w:rFonts w:ascii="Arial" w:hAnsi="Arial" w:cs="Arial"/>
        </w:rPr>
      </w:pPr>
    </w:p>
    <w:p w:rsidR="00AD510F" w:rsidRDefault="00AD510F">
      <w:pPr>
        <w:rPr>
          <w:rFonts w:ascii="Arial" w:hAnsi="Arial" w:cs="Arial"/>
        </w:rPr>
      </w:pPr>
      <w:r>
        <w:rPr>
          <w:rFonts w:ascii="Arial" w:hAnsi="Arial" w:cs="Arial"/>
        </w:rPr>
        <w:br w:type="page"/>
      </w:r>
    </w:p>
    <w:p w:rsidR="00AD510F" w:rsidRPr="00AD510F" w:rsidRDefault="00AD510F" w:rsidP="00AD510F">
      <w:pPr>
        <w:spacing w:before="100" w:beforeAutospacing="1" w:after="100" w:afterAutospacing="1" w:line="240" w:lineRule="auto"/>
        <w:outlineLvl w:val="0"/>
        <w:rPr>
          <w:rFonts w:ascii="Arial" w:eastAsia="Times New Roman" w:hAnsi="Arial" w:cs="Arial"/>
          <w:b/>
          <w:bCs/>
          <w:kern w:val="36"/>
          <w:sz w:val="28"/>
          <w:szCs w:val="28"/>
          <w:lang w:eastAsia="en-GB"/>
        </w:rPr>
      </w:pPr>
      <w:r w:rsidRPr="00AD510F">
        <w:rPr>
          <w:rFonts w:ascii="Arial" w:eastAsia="Times New Roman" w:hAnsi="Arial" w:cs="Arial"/>
          <w:b/>
          <w:bCs/>
          <w:kern w:val="36"/>
          <w:sz w:val="28"/>
          <w:szCs w:val="28"/>
          <w:lang w:eastAsia="en-GB"/>
        </w:rPr>
        <w:lastRenderedPageBreak/>
        <w:t>8. Strategic Change Management Plan</w:t>
      </w:r>
    </w:p>
    <w:p w:rsidR="00AD510F" w:rsidRPr="00AD510F" w:rsidRDefault="00AD510F" w:rsidP="00B508F6">
      <w:pPr>
        <w:spacing w:before="100" w:beforeAutospacing="1" w:after="100" w:afterAutospacing="1" w:line="360" w:lineRule="auto"/>
        <w:rPr>
          <w:rFonts w:ascii="Times New Roman" w:eastAsia="Times New Roman" w:hAnsi="Times New Roman" w:cs="Times New Roman"/>
          <w:sz w:val="24"/>
          <w:szCs w:val="24"/>
          <w:lang w:eastAsia="en-GB"/>
        </w:rPr>
      </w:pPr>
      <w:r w:rsidRPr="00AD510F">
        <w:rPr>
          <w:rFonts w:ascii="Arial" w:eastAsia="Times New Roman" w:hAnsi="Arial" w:cs="Arial"/>
          <w:lang w:eastAsia="en-GB"/>
        </w:rPr>
        <w:t>The preceding analysis demonstrates that Jaguar Land Rover requires an integrated approach to strategic change that combines technological innovation with organisational development. The proposed Strategic Change Management Plan is designed to support the objectives of the Reimagine Strategy while improving long-term competitiveness, operational resilience and sustainability. Rather than focusing on isolated projects, the plan adopts a coordinated organisation-wide approach that aligns leadership, technology, workforce capability and stakeholder engagement (Burnes, 2020; JLR, 2024</w:t>
      </w:r>
      <w:r w:rsidRPr="00AD510F">
        <w:rPr>
          <w:rFonts w:ascii="Times New Roman" w:eastAsia="Times New Roman" w:hAnsi="Times New Roman" w:cs="Times New Roman"/>
          <w:sz w:val="24"/>
          <w:szCs w:val="24"/>
          <w:lang w:eastAsia="en-GB"/>
        </w:rPr>
        <w:t>).</w:t>
      </w:r>
    </w:p>
    <w:p w:rsidR="00AD510F" w:rsidRPr="00AD510F" w:rsidRDefault="00AD510F" w:rsidP="00AD510F">
      <w:pPr>
        <w:spacing w:before="100" w:beforeAutospacing="1" w:after="100" w:afterAutospacing="1" w:line="240" w:lineRule="auto"/>
        <w:outlineLvl w:val="1"/>
        <w:rPr>
          <w:rFonts w:ascii="Arial" w:eastAsia="Times New Roman" w:hAnsi="Arial" w:cs="Arial"/>
          <w:b/>
          <w:bCs/>
          <w:sz w:val="24"/>
          <w:szCs w:val="24"/>
          <w:lang w:eastAsia="en-GB"/>
        </w:rPr>
      </w:pPr>
      <w:r w:rsidRPr="00AD510F">
        <w:rPr>
          <w:rFonts w:ascii="Arial" w:eastAsia="Times New Roman" w:hAnsi="Arial" w:cs="Arial"/>
          <w:b/>
          <w:bCs/>
          <w:sz w:val="24"/>
          <w:szCs w:val="24"/>
          <w:lang w:eastAsia="en-GB"/>
        </w:rPr>
        <w:t>8.1 Vision</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The proposed vision is:</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B508F6">
        <w:rPr>
          <w:rFonts w:ascii="Arial" w:eastAsia="Times New Roman" w:hAnsi="Arial" w:cs="Arial"/>
          <w:b/>
          <w:bCs/>
          <w:lang w:eastAsia="en-GB"/>
        </w:rPr>
        <w:t>"To position Jaguar Land Rover as a global leader in modern luxury mobility by integrating electrification, digital innovation, sustainable manufacturing and continuous organisational learning."</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This vision reflects JLR's strategic direction while emphasising that future competitive advantage depends not only on products but also on organisational capability. A clearly communicated vision provides employees with a shared sense of purpose and supports consistent decision-making throughout implementation (Kotter, 1996).</w:t>
      </w:r>
    </w:p>
    <w:p w:rsidR="00AD510F" w:rsidRPr="00AD510F" w:rsidRDefault="00AD510F" w:rsidP="00AD510F">
      <w:pPr>
        <w:spacing w:before="100" w:beforeAutospacing="1" w:after="100" w:afterAutospacing="1" w:line="240" w:lineRule="auto"/>
        <w:outlineLvl w:val="1"/>
        <w:rPr>
          <w:rFonts w:ascii="Arial" w:eastAsia="Times New Roman" w:hAnsi="Arial" w:cs="Arial"/>
          <w:b/>
          <w:bCs/>
          <w:sz w:val="24"/>
          <w:szCs w:val="24"/>
          <w:lang w:eastAsia="en-GB"/>
        </w:rPr>
      </w:pPr>
      <w:r w:rsidRPr="00AD510F">
        <w:rPr>
          <w:rFonts w:ascii="Arial" w:eastAsia="Times New Roman" w:hAnsi="Arial" w:cs="Arial"/>
          <w:b/>
          <w:bCs/>
          <w:sz w:val="24"/>
          <w:szCs w:val="24"/>
          <w:lang w:eastAsia="en-GB"/>
        </w:rPr>
        <w:t>8.2 Strategic Objectives</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To achieve this vision, five strategic objectives are proposed.</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The first objective is to accelerate the transition towards electric vehicle production through continued investment in battery technology and software-defined vehicles. This supports regulatory requirements while strengthening JLR's position within the premium electric vehicle market (JLR, 2024).</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The second objective is to expand digital transformation by integrating artificial intelligence, predictive analytics and connected technologies throughout manufacturing and customer services. Improved digital capability should increase productivity while enhancing customer experience (Vial, 2019).</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 xml:space="preserve">A third objective is to strengthen workforce capability through continuous learning, leadership development and partnerships with universities and technology providers. </w:t>
      </w:r>
      <w:r w:rsidRPr="00AD510F">
        <w:rPr>
          <w:rFonts w:ascii="Arial" w:eastAsia="Times New Roman" w:hAnsi="Arial" w:cs="Arial"/>
          <w:lang w:eastAsia="en-GB"/>
        </w:rPr>
        <w:lastRenderedPageBreak/>
        <w:t>Developing employee skills will improve organisational adaptability and support future innovation (Aguinis and Kraiger, 2009).</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The fourth objective focuses on embedding sustainability throughout procurement, manufacturing and logistics to support JLR's commitment to achieving net-zero emissions by 2039 (Bansal and DesJardine, 2014; JLR, 2024).</w:t>
      </w:r>
    </w:p>
    <w:p w:rsidR="00AD510F" w:rsidRPr="00AD510F" w:rsidRDefault="00AD510F" w:rsidP="00B508F6">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Finally, the organisation should strengthen supply chain resilience and cybersecurity to improve operational continuity and reduce strategic risk within an increasingly uncertain global environment (Christopher and Peck, 2004; NIST, 2024).</w:t>
      </w:r>
    </w:p>
    <w:p w:rsidR="00AD510F" w:rsidRPr="00AD510F" w:rsidRDefault="00AD510F" w:rsidP="00AD510F">
      <w:pPr>
        <w:spacing w:before="100" w:beforeAutospacing="1" w:after="100" w:afterAutospacing="1" w:line="240" w:lineRule="auto"/>
        <w:outlineLvl w:val="1"/>
        <w:rPr>
          <w:rFonts w:ascii="Arial" w:eastAsia="Times New Roman" w:hAnsi="Arial" w:cs="Arial"/>
          <w:b/>
          <w:bCs/>
          <w:sz w:val="24"/>
          <w:szCs w:val="24"/>
          <w:lang w:eastAsia="en-GB"/>
        </w:rPr>
      </w:pPr>
      <w:r w:rsidRPr="00AD510F">
        <w:rPr>
          <w:rFonts w:ascii="Arial" w:eastAsia="Times New Roman" w:hAnsi="Arial" w:cs="Arial"/>
          <w:b/>
          <w:bCs/>
          <w:sz w:val="24"/>
          <w:szCs w:val="24"/>
          <w:lang w:eastAsia="en-GB"/>
        </w:rPr>
        <w:t>8.3 Implementation</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Implementation should follow a phased approach over approximately five years.</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During the first year, leadership should establish a Strategic Transformation Office responsible for coordinating organisational change. Initial priorities should include communicating the vision, identifying capability gaps and investing in digital infrastructure and employee training (Kotter, 1996).</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During years two and three, transformation should expand across manufacturing through automation, artificial intelligence and digital engineering while introducing additional electric vehicle platforms and strengthening supplier collaboration. Continuous employee development should accompany technological implementation to minimise resistance and improve adoption (JLR, 2024).</w:t>
      </w:r>
    </w:p>
    <w:p w:rsid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The final phase should focus on embedding new behaviours within organisational culture. Leadership development, performance management and reward systems should reinforce innovation, collaboration and sustainability, ensuring that strategic change becomes part of everyday organisational practice rather than a temporary initiative (Schein and Schein, 2017).</w:t>
      </w:r>
    </w:p>
    <w:p w:rsidR="00AD510F" w:rsidRDefault="00AD510F" w:rsidP="00AD510F">
      <w:pPr>
        <w:spacing w:before="100" w:beforeAutospacing="1" w:after="100" w:afterAutospacing="1" w:line="360" w:lineRule="auto"/>
        <w:rPr>
          <w:rFonts w:ascii="Arial" w:eastAsia="Times New Roman" w:hAnsi="Arial" w:cs="Arial"/>
          <w:lang w:eastAsia="en-GB"/>
        </w:rPr>
      </w:pPr>
    </w:p>
    <w:p w:rsidR="00B508F6" w:rsidRDefault="00B508F6" w:rsidP="00AD510F">
      <w:pPr>
        <w:spacing w:before="100" w:beforeAutospacing="1" w:after="100" w:afterAutospacing="1" w:line="360" w:lineRule="auto"/>
        <w:rPr>
          <w:rFonts w:ascii="Arial" w:eastAsia="Times New Roman" w:hAnsi="Arial" w:cs="Arial"/>
          <w:lang w:eastAsia="en-GB"/>
        </w:rPr>
      </w:pPr>
    </w:p>
    <w:p w:rsidR="00B508F6" w:rsidRDefault="00B508F6" w:rsidP="00AD510F">
      <w:pPr>
        <w:spacing w:before="100" w:beforeAutospacing="1" w:after="100" w:afterAutospacing="1" w:line="360" w:lineRule="auto"/>
        <w:rPr>
          <w:rFonts w:ascii="Arial" w:eastAsia="Times New Roman" w:hAnsi="Arial" w:cs="Arial"/>
          <w:lang w:eastAsia="en-GB"/>
        </w:rPr>
      </w:pPr>
    </w:p>
    <w:p w:rsidR="00B508F6" w:rsidRDefault="00B508F6" w:rsidP="00AD510F">
      <w:pPr>
        <w:spacing w:before="100" w:beforeAutospacing="1" w:after="100" w:afterAutospacing="1" w:line="360" w:lineRule="auto"/>
        <w:rPr>
          <w:rFonts w:ascii="Arial" w:eastAsia="Times New Roman" w:hAnsi="Arial" w:cs="Arial"/>
          <w:lang w:eastAsia="en-GB"/>
        </w:rPr>
      </w:pPr>
    </w:p>
    <w:p w:rsidR="00B508F6" w:rsidRPr="00B508F6" w:rsidRDefault="00B508F6" w:rsidP="00B508F6">
      <w:pPr>
        <w:spacing w:before="100" w:beforeAutospacing="1" w:after="100" w:afterAutospacing="1" w:line="240" w:lineRule="auto"/>
        <w:rPr>
          <w:rFonts w:ascii="Arial" w:eastAsia="Times New Roman" w:hAnsi="Arial" w:cs="Arial"/>
          <w:sz w:val="24"/>
          <w:szCs w:val="24"/>
          <w:lang w:eastAsia="en-GB"/>
        </w:rPr>
      </w:pPr>
      <w:r w:rsidRPr="00B508F6">
        <w:rPr>
          <w:rFonts w:ascii="Arial" w:eastAsia="Times New Roman" w:hAnsi="Arial" w:cs="Arial"/>
          <w:b/>
          <w:bCs/>
          <w:sz w:val="24"/>
          <w:szCs w:val="24"/>
          <w:lang w:eastAsia="en-GB"/>
        </w:rPr>
        <w:lastRenderedPageBreak/>
        <w:t>Table 3. Strategic Change Implementation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57"/>
        <w:gridCol w:w="1274"/>
        <w:gridCol w:w="6985"/>
      </w:tblGrid>
      <w:tr w:rsidR="00B508F6" w:rsidRPr="00B508F6" w:rsidTr="00B508F6">
        <w:trPr>
          <w:tblHeader/>
          <w:tblCellSpacing w:w="15" w:type="dxa"/>
        </w:trPr>
        <w:tc>
          <w:tcPr>
            <w:tcW w:w="0" w:type="auto"/>
            <w:vAlign w:val="center"/>
            <w:hideMark/>
          </w:tcPr>
          <w:p w:rsidR="00B508F6" w:rsidRPr="00B508F6" w:rsidRDefault="00B508F6" w:rsidP="00B508F6">
            <w:pPr>
              <w:spacing w:after="0" w:line="240" w:lineRule="auto"/>
              <w:jc w:val="center"/>
              <w:rPr>
                <w:rFonts w:ascii="Arial" w:eastAsia="Times New Roman" w:hAnsi="Arial" w:cs="Arial"/>
                <w:b/>
                <w:bCs/>
                <w:sz w:val="24"/>
                <w:szCs w:val="24"/>
                <w:lang w:eastAsia="en-GB"/>
              </w:rPr>
            </w:pPr>
            <w:r w:rsidRPr="00B508F6">
              <w:rPr>
                <w:rFonts w:ascii="Arial" w:eastAsia="Times New Roman" w:hAnsi="Arial" w:cs="Arial"/>
                <w:b/>
                <w:bCs/>
                <w:sz w:val="24"/>
                <w:szCs w:val="24"/>
                <w:lang w:eastAsia="en-GB"/>
              </w:rPr>
              <w:t>Phase</w:t>
            </w:r>
          </w:p>
        </w:tc>
        <w:tc>
          <w:tcPr>
            <w:tcW w:w="0" w:type="auto"/>
            <w:vAlign w:val="center"/>
            <w:hideMark/>
          </w:tcPr>
          <w:p w:rsidR="00B508F6" w:rsidRPr="00B508F6" w:rsidRDefault="00B508F6" w:rsidP="00B508F6">
            <w:pPr>
              <w:spacing w:after="0" w:line="240" w:lineRule="auto"/>
              <w:jc w:val="center"/>
              <w:rPr>
                <w:rFonts w:ascii="Arial" w:eastAsia="Times New Roman" w:hAnsi="Arial" w:cs="Arial"/>
                <w:b/>
                <w:bCs/>
                <w:sz w:val="24"/>
                <w:szCs w:val="24"/>
                <w:lang w:eastAsia="en-GB"/>
              </w:rPr>
            </w:pPr>
            <w:r w:rsidRPr="00B508F6">
              <w:rPr>
                <w:rFonts w:ascii="Arial" w:eastAsia="Times New Roman" w:hAnsi="Arial" w:cs="Arial"/>
                <w:b/>
                <w:bCs/>
                <w:sz w:val="24"/>
                <w:szCs w:val="24"/>
                <w:lang w:eastAsia="en-GB"/>
              </w:rPr>
              <w:t>Timeframe</w:t>
            </w:r>
          </w:p>
        </w:tc>
        <w:tc>
          <w:tcPr>
            <w:tcW w:w="0" w:type="auto"/>
            <w:vAlign w:val="center"/>
            <w:hideMark/>
          </w:tcPr>
          <w:p w:rsidR="00B508F6" w:rsidRPr="00B508F6" w:rsidRDefault="00B508F6" w:rsidP="00B508F6">
            <w:pPr>
              <w:spacing w:after="0" w:line="240" w:lineRule="auto"/>
              <w:jc w:val="center"/>
              <w:rPr>
                <w:rFonts w:ascii="Arial" w:eastAsia="Times New Roman" w:hAnsi="Arial" w:cs="Arial"/>
                <w:b/>
                <w:bCs/>
                <w:sz w:val="24"/>
                <w:szCs w:val="24"/>
                <w:lang w:eastAsia="en-GB"/>
              </w:rPr>
            </w:pPr>
            <w:r w:rsidRPr="00B508F6">
              <w:rPr>
                <w:rFonts w:ascii="Arial" w:eastAsia="Times New Roman" w:hAnsi="Arial" w:cs="Arial"/>
                <w:b/>
                <w:bCs/>
                <w:sz w:val="24"/>
                <w:szCs w:val="24"/>
                <w:lang w:eastAsia="en-GB"/>
              </w:rPr>
              <w:t>Key Activities</w:t>
            </w:r>
          </w:p>
        </w:tc>
      </w:tr>
      <w:tr w:rsidR="00B508F6" w:rsidRPr="00B508F6" w:rsidTr="00B508F6">
        <w:trPr>
          <w:tblCellSpacing w:w="15" w:type="dxa"/>
        </w:trPr>
        <w:tc>
          <w:tcPr>
            <w:tcW w:w="0" w:type="auto"/>
            <w:vAlign w:val="center"/>
            <w:hideMark/>
          </w:tcPr>
          <w:p w:rsidR="00B508F6" w:rsidRPr="00B508F6" w:rsidRDefault="00B508F6" w:rsidP="00B508F6">
            <w:pPr>
              <w:spacing w:after="0" w:line="240" w:lineRule="auto"/>
              <w:rPr>
                <w:rFonts w:ascii="Arial" w:eastAsia="Times New Roman" w:hAnsi="Arial" w:cs="Arial"/>
                <w:sz w:val="24"/>
                <w:szCs w:val="24"/>
                <w:lang w:eastAsia="en-GB"/>
              </w:rPr>
            </w:pPr>
            <w:r w:rsidRPr="00B508F6">
              <w:rPr>
                <w:rFonts w:ascii="Arial" w:eastAsia="Times New Roman" w:hAnsi="Arial" w:cs="Arial"/>
                <w:b/>
                <w:bCs/>
                <w:sz w:val="24"/>
                <w:szCs w:val="24"/>
                <w:lang w:eastAsia="en-GB"/>
              </w:rPr>
              <w:t>Phase 1</w:t>
            </w:r>
          </w:p>
        </w:tc>
        <w:tc>
          <w:tcPr>
            <w:tcW w:w="0" w:type="auto"/>
            <w:vAlign w:val="center"/>
            <w:hideMark/>
          </w:tcPr>
          <w:p w:rsidR="00B508F6" w:rsidRPr="00B508F6" w:rsidRDefault="00B508F6" w:rsidP="00B508F6">
            <w:pPr>
              <w:spacing w:after="0" w:line="240" w:lineRule="auto"/>
              <w:rPr>
                <w:rFonts w:ascii="Arial" w:eastAsia="Times New Roman" w:hAnsi="Arial" w:cs="Arial"/>
                <w:lang w:eastAsia="en-GB"/>
              </w:rPr>
            </w:pPr>
            <w:r w:rsidRPr="00B508F6">
              <w:rPr>
                <w:rFonts w:ascii="Arial" w:eastAsia="Times New Roman" w:hAnsi="Arial" w:cs="Arial"/>
                <w:lang w:eastAsia="en-GB"/>
              </w:rPr>
              <w:t>Year 1</w:t>
            </w:r>
          </w:p>
        </w:tc>
        <w:tc>
          <w:tcPr>
            <w:tcW w:w="0" w:type="auto"/>
            <w:vAlign w:val="center"/>
            <w:hideMark/>
          </w:tcPr>
          <w:p w:rsidR="00B508F6" w:rsidRPr="00B508F6" w:rsidRDefault="00B508F6" w:rsidP="00B508F6">
            <w:pPr>
              <w:spacing w:after="0" w:line="360" w:lineRule="auto"/>
              <w:rPr>
                <w:rFonts w:ascii="Arial" w:eastAsia="Times New Roman" w:hAnsi="Arial" w:cs="Arial"/>
                <w:lang w:eastAsia="en-GB"/>
              </w:rPr>
            </w:pPr>
            <w:r w:rsidRPr="00B508F6">
              <w:rPr>
                <w:rFonts w:ascii="Arial" w:eastAsia="Times New Roman" w:hAnsi="Arial" w:cs="Arial"/>
                <w:lang w:eastAsia="en-GB"/>
              </w:rPr>
              <w:t>Establish Strategic Transformation Office, communicate the strategic vision, identify workforce capability gaps and invest in digital infrastructure and employee training.</w:t>
            </w:r>
          </w:p>
        </w:tc>
      </w:tr>
      <w:tr w:rsidR="00B508F6" w:rsidRPr="00B508F6" w:rsidTr="00B508F6">
        <w:trPr>
          <w:tblCellSpacing w:w="15" w:type="dxa"/>
        </w:trPr>
        <w:tc>
          <w:tcPr>
            <w:tcW w:w="0" w:type="auto"/>
            <w:vAlign w:val="center"/>
            <w:hideMark/>
          </w:tcPr>
          <w:p w:rsidR="00B508F6" w:rsidRPr="00B508F6" w:rsidRDefault="00B508F6" w:rsidP="00B508F6">
            <w:pPr>
              <w:spacing w:after="0" w:line="240" w:lineRule="auto"/>
              <w:rPr>
                <w:rFonts w:ascii="Arial" w:eastAsia="Times New Roman" w:hAnsi="Arial" w:cs="Arial"/>
                <w:sz w:val="24"/>
                <w:szCs w:val="24"/>
                <w:lang w:eastAsia="en-GB"/>
              </w:rPr>
            </w:pPr>
            <w:r w:rsidRPr="00B508F6">
              <w:rPr>
                <w:rFonts w:ascii="Arial" w:eastAsia="Times New Roman" w:hAnsi="Arial" w:cs="Arial"/>
                <w:b/>
                <w:bCs/>
                <w:sz w:val="24"/>
                <w:szCs w:val="24"/>
                <w:lang w:eastAsia="en-GB"/>
              </w:rPr>
              <w:t>Phase 2</w:t>
            </w:r>
          </w:p>
        </w:tc>
        <w:tc>
          <w:tcPr>
            <w:tcW w:w="0" w:type="auto"/>
            <w:vAlign w:val="center"/>
            <w:hideMark/>
          </w:tcPr>
          <w:p w:rsidR="00B508F6" w:rsidRPr="00B508F6" w:rsidRDefault="00B508F6" w:rsidP="00B508F6">
            <w:pPr>
              <w:spacing w:after="0" w:line="240" w:lineRule="auto"/>
              <w:rPr>
                <w:rFonts w:ascii="Arial" w:eastAsia="Times New Roman" w:hAnsi="Arial" w:cs="Arial"/>
                <w:lang w:eastAsia="en-GB"/>
              </w:rPr>
            </w:pPr>
            <w:r w:rsidRPr="00B508F6">
              <w:rPr>
                <w:rFonts w:ascii="Arial" w:eastAsia="Times New Roman" w:hAnsi="Arial" w:cs="Arial"/>
                <w:lang w:eastAsia="en-GB"/>
              </w:rPr>
              <w:t>Years 2–3</w:t>
            </w:r>
          </w:p>
        </w:tc>
        <w:tc>
          <w:tcPr>
            <w:tcW w:w="0" w:type="auto"/>
            <w:vAlign w:val="center"/>
            <w:hideMark/>
          </w:tcPr>
          <w:p w:rsidR="00B508F6" w:rsidRPr="00B508F6" w:rsidRDefault="00B508F6" w:rsidP="00B508F6">
            <w:pPr>
              <w:spacing w:after="0" w:line="360" w:lineRule="auto"/>
              <w:rPr>
                <w:rFonts w:ascii="Arial" w:eastAsia="Times New Roman" w:hAnsi="Arial" w:cs="Arial"/>
                <w:lang w:eastAsia="en-GB"/>
              </w:rPr>
            </w:pPr>
            <w:r w:rsidRPr="00B508F6">
              <w:rPr>
                <w:rFonts w:ascii="Arial" w:eastAsia="Times New Roman" w:hAnsi="Arial" w:cs="Arial"/>
                <w:lang w:eastAsia="en-GB"/>
              </w:rPr>
              <w:t>Expand electric vehicle production, implement AI technologies, automate manufacturing processes and strengthen supplier collaboration.</w:t>
            </w:r>
          </w:p>
        </w:tc>
      </w:tr>
      <w:tr w:rsidR="00B508F6" w:rsidRPr="00B508F6" w:rsidTr="00B508F6">
        <w:trPr>
          <w:tblCellSpacing w:w="15" w:type="dxa"/>
        </w:trPr>
        <w:tc>
          <w:tcPr>
            <w:tcW w:w="0" w:type="auto"/>
            <w:vAlign w:val="center"/>
            <w:hideMark/>
          </w:tcPr>
          <w:p w:rsidR="00B508F6" w:rsidRPr="00B508F6" w:rsidRDefault="00B508F6" w:rsidP="00B508F6">
            <w:pPr>
              <w:spacing w:after="0" w:line="240" w:lineRule="auto"/>
              <w:rPr>
                <w:rFonts w:ascii="Arial" w:eastAsia="Times New Roman" w:hAnsi="Arial" w:cs="Arial"/>
                <w:b/>
                <w:bCs/>
                <w:sz w:val="24"/>
                <w:szCs w:val="24"/>
                <w:lang w:eastAsia="en-GB"/>
              </w:rPr>
            </w:pPr>
            <w:r w:rsidRPr="00B508F6">
              <w:rPr>
                <w:rFonts w:ascii="Arial" w:eastAsia="Times New Roman" w:hAnsi="Arial" w:cs="Arial"/>
                <w:b/>
                <w:bCs/>
                <w:sz w:val="24"/>
                <w:szCs w:val="24"/>
                <w:lang w:eastAsia="en-GB"/>
              </w:rPr>
              <w:t>Phase 3</w:t>
            </w:r>
          </w:p>
        </w:tc>
        <w:tc>
          <w:tcPr>
            <w:tcW w:w="0" w:type="auto"/>
            <w:vAlign w:val="center"/>
            <w:hideMark/>
          </w:tcPr>
          <w:p w:rsidR="00B508F6" w:rsidRPr="00B508F6" w:rsidRDefault="00B508F6" w:rsidP="00B508F6">
            <w:pPr>
              <w:spacing w:after="0" w:line="240" w:lineRule="auto"/>
              <w:rPr>
                <w:rFonts w:ascii="Arial" w:eastAsia="Times New Roman" w:hAnsi="Arial" w:cs="Arial"/>
                <w:lang w:eastAsia="en-GB"/>
              </w:rPr>
            </w:pPr>
            <w:r w:rsidRPr="00B508F6">
              <w:rPr>
                <w:rFonts w:ascii="Arial" w:eastAsia="Times New Roman" w:hAnsi="Arial" w:cs="Arial"/>
                <w:lang w:eastAsia="en-GB"/>
              </w:rPr>
              <w:t>Years 4–5</w:t>
            </w:r>
          </w:p>
        </w:tc>
        <w:tc>
          <w:tcPr>
            <w:tcW w:w="0" w:type="auto"/>
            <w:vAlign w:val="center"/>
            <w:hideMark/>
          </w:tcPr>
          <w:p w:rsidR="00B508F6" w:rsidRPr="00B508F6" w:rsidRDefault="00B508F6" w:rsidP="00B508F6">
            <w:pPr>
              <w:spacing w:after="0" w:line="360" w:lineRule="auto"/>
              <w:rPr>
                <w:rFonts w:ascii="Arial" w:eastAsia="Times New Roman" w:hAnsi="Arial" w:cs="Arial"/>
                <w:lang w:eastAsia="en-GB"/>
              </w:rPr>
            </w:pPr>
            <w:r w:rsidRPr="00B508F6">
              <w:rPr>
                <w:rFonts w:ascii="Arial" w:eastAsia="Times New Roman" w:hAnsi="Arial" w:cs="Arial"/>
                <w:lang w:eastAsia="en-GB"/>
              </w:rPr>
              <w:t>Embed organisational culture, monitor KPIs, reinforce leadership development and establish continuous improvement practices.</w:t>
            </w:r>
          </w:p>
        </w:tc>
      </w:tr>
    </w:tbl>
    <w:p w:rsidR="00B508F6" w:rsidRPr="00B508F6" w:rsidRDefault="00B508F6" w:rsidP="00B508F6">
      <w:pPr>
        <w:spacing w:before="100" w:beforeAutospacing="1" w:after="100" w:afterAutospacing="1" w:line="240" w:lineRule="auto"/>
        <w:rPr>
          <w:rFonts w:ascii="Arial" w:eastAsia="Times New Roman" w:hAnsi="Arial" w:cs="Arial"/>
          <w:lang w:eastAsia="en-GB"/>
        </w:rPr>
      </w:pPr>
      <w:r w:rsidRPr="00B508F6">
        <w:rPr>
          <w:rFonts w:ascii="Arial" w:eastAsia="Times New Roman" w:hAnsi="Arial" w:cs="Arial"/>
          <w:iCs/>
          <w:lang w:eastAsia="en-GB"/>
        </w:rPr>
        <w:t>Source: Developed by the author based on Kotter (1996) and JLR (2024).</w:t>
      </w:r>
    </w:p>
    <w:p w:rsidR="00B508F6" w:rsidRDefault="00B508F6" w:rsidP="00AD510F">
      <w:pPr>
        <w:spacing w:before="100" w:beforeAutospacing="1" w:after="100" w:afterAutospacing="1" w:line="360" w:lineRule="auto"/>
        <w:rPr>
          <w:rFonts w:ascii="Arial" w:eastAsia="Times New Roman" w:hAnsi="Arial" w:cs="Arial"/>
          <w:lang w:eastAsia="en-GB"/>
        </w:rPr>
      </w:pPr>
    </w:p>
    <w:p w:rsidR="00B508F6" w:rsidRDefault="00B508F6" w:rsidP="00AD510F">
      <w:pPr>
        <w:spacing w:before="100" w:beforeAutospacing="1" w:after="100" w:afterAutospacing="1" w:line="360" w:lineRule="auto"/>
        <w:rPr>
          <w:rFonts w:ascii="Arial" w:eastAsia="Times New Roman" w:hAnsi="Arial" w:cs="Arial"/>
          <w:lang w:eastAsia="en-GB"/>
        </w:rPr>
      </w:pPr>
    </w:p>
    <w:p w:rsidR="00B508F6" w:rsidRDefault="00B508F6" w:rsidP="00AD510F">
      <w:pPr>
        <w:spacing w:before="100" w:beforeAutospacing="1" w:after="100" w:afterAutospacing="1" w:line="360" w:lineRule="auto"/>
        <w:rPr>
          <w:rFonts w:ascii="Arial" w:eastAsia="Times New Roman" w:hAnsi="Arial" w:cs="Arial"/>
          <w:lang w:eastAsia="en-GB"/>
        </w:rPr>
      </w:pPr>
    </w:p>
    <w:p w:rsidR="00B508F6" w:rsidRDefault="00B508F6" w:rsidP="00AD510F">
      <w:pPr>
        <w:spacing w:before="100" w:beforeAutospacing="1" w:after="100" w:afterAutospacing="1" w:line="360" w:lineRule="auto"/>
        <w:rPr>
          <w:rFonts w:ascii="Arial" w:eastAsia="Times New Roman" w:hAnsi="Arial" w:cs="Arial"/>
          <w:lang w:eastAsia="en-GB"/>
        </w:rPr>
      </w:pPr>
    </w:p>
    <w:p w:rsidR="00B508F6" w:rsidRDefault="00B508F6" w:rsidP="00AD510F">
      <w:pPr>
        <w:spacing w:before="100" w:beforeAutospacing="1" w:after="100" w:afterAutospacing="1" w:line="360" w:lineRule="auto"/>
        <w:rPr>
          <w:rFonts w:ascii="Arial" w:eastAsia="Times New Roman" w:hAnsi="Arial" w:cs="Arial"/>
          <w:lang w:eastAsia="en-GB"/>
        </w:rPr>
      </w:pPr>
    </w:p>
    <w:p w:rsidR="00B508F6" w:rsidRPr="00AD510F" w:rsidRDefault="00B508F6" w:rsidP="00AD510F">
      <w:pPr>
        <w:spacing w:before="100" w:beforeAutospacing="1" w:after="100" w:afterAutospacing="1" w:line="360" w:lineRule="auto"/>
        <w:rPr>
          <w:rFonts w:ascii="Arial" w:eastAsia="Times New Roman" w:hAnsi="Arial" w:cs="Arial"/>
          <w:lang w:eastAsia="en-GB"/>
        </w:rPr>
      </w:pPr>
    </w:p>
    <w:p w:rsidR="00AD510F" w:rsidRPr="00AD510F" w:rsidRDefault="00AD510F" w:rsidP="00AD510F">
      <w:pPr>
        <w:spacing w:before="100" w:beforeAutospacing="1" w:after="100" w:afterAutospacing="1" w:line="240" w:lineRule="auto"/>
        <w:outlineLvl w:val="1"/>
        <w:rPr>
          <w:rFonts w:ascii="Arial" w:eastAsia="Times New Roman" w:hAnsi="Arial" w:cs="Arial"/>
          <w:b/>
          <w:bCs/>
          <w:sz w:val="24"/>
          <w:szCs w:val="24"/>
          <w:lang w:eastAsia="en-GB"/>
        </w:rPr>
      </w:pPr>
      <w:r w:rsidRPr="00AD510F">
        <w:rPr>
          <w:rFonts w:ascii="Arial" w:eastAsia="Times New Roman" w:hAnsi="Arial" w:cs="Arial"/>
          <w:b/>
          <w:bCs/>
          <w:sz w:val="24"/>
          <w:szCs w:val="24"/>
          <w:lang w:eastAsia="en-GB"/>
        </w:rPr>
        <w:t>8.4 Stakeholder Engagement</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Effective stakeholder engagement is essential for successful implementation. Employees should receive regular communication, training and opportunities to contribute ideas through workshops and feedback programmes. Investors require transparent reporting regarding strategic progress, while customers should be engaged through digital platforms and product feedback to ensure that innovation reflects market expectations. Suppliers should be treated as long-term strategic partners to improve resilience, sustainability and collaborative innovation across the supply chain (Freeman, 1984; Kotler and Keller, 2022).</w:t>
      </w:r>
    </w:p>
    <w:p w:rsidR="00AD510F" w:rsidRPr="00AD510F" w:rsidRDefault="00AD510F" w:rsidP="00AD510F">
      <w:pPr>
        <w:spacing w:before="100" w:beforeAutospacing="1" w:after="100" w:afterAutospacing="1" w:line="240" w:lineRule="auto"/>
        <w:outlineLvl w:val="1"/>
        <w:rPr>
          <w:rFonts w:ascii="Arial" w:eastAsia="Times New Roman" w:hAnsi="Arial" w:cs="Arial"/>
          <w:b/>
          <w:bCs/>
          <w:sz w:val="24"/>
          <w:szCs w:val="24"/>
          <w:lang w:eastAsia="en-GB"/>
        </w:rPr>
      </w:pPr>
      <w:r w:rsidRPr="00AD510F">
        <w:rPr>
          <w:rFonts w:ascii="Arial" w:eastAsia="Times New Roman" w:hAnsi="Arial" w:cs="Arial"/>
          <w:b/>
          <w:bCs/>
          <w:sz w:val="24"/>
          <w:szCs w:val="24"/>
          <w:lang w:eastAsia="en-GB"/>
        </w:rPr>
        <w:t>8.5 Expected Outcomes</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 xml:space="preserve">Successful implementation of this Strategic Change Management Plan is expected to deliver measurable improvements in electric vehicle production, digital capability, employee skills, </w:t>
      </w:r>
      <w:r w:rsidRPr="00AD510F">
        <w:rPr>
          <w:rFonts w:ascii="Arial" w:eastAsia="Times New Roman" w:hAnsi="Arial" w:cs="Arial"/>
          <w:lang w:eastAsia="en-GB"/>
        </w:rPr>
        <w:lastRenderedPageBreak/>
        <w:t>operational efficiency and sustainability performance. Stronger stakeholder relationships and greater organisational adaptability will enhance JLR's ability to respond to future market changes while supporting the long-term ambitions of the Reimagine Strategy. Ultimately, these initiatives should strengthen competitive advantage and create sustainable value for customers, employees and shareholders (Kaplan and Norton, 1996; Teece, 2018).</w:t>
      </w:r>
    </w:p>
    <w:p w:rsidR="00AD510F" w:rsidRDefault="00AD510F" w:rsidP="00873D76">
      <w:pPr>
        <w:spacing w:line="360" w:lineRule="auto"/>
        <w:rPr>
          <w:rFonts w:ascii="Arial" w:hAnsi="Arial" w:cs="Arial"/>
        </w:rPr>
      </w:pPr>
    </w:p>
    <w:p w:rsidR="00AD510F" w:rsidRDefault="00AD510F">
      <w:pPr>
        <w:rPr>
          <w:rFonts w:ascii="Arial" w:hAnsi="Arial" w:cs="Arial"/>
        </w:rPr>
      </w:pPr>
      <w:r>
        <w:rPr>
          <w:rFonts w:ascii="Arial" w:hAnsi="Arial" w:cs="Arial"/>
        </w:rPr>
        <w:br w:type="page"/>
      </w:r>
    </w:p>
    <w:p w:rsidR="00AD510F" w:rsidRPr="00AD510F" w:rsidRDefault="00AD510F" w:rsidP="00AD510F">
      <w:pPr>
        <w:spacing w:before="100" w:beforeAutospacing="1" w:after="100" w:afterAutospacing="1" w:line="240" w:lineRule="auto"/>
        <w:outlineLvl w:val="0"/>
        <w:rPr>
          <w:rFonts w:ascii="Arial" w:eastAsia="Times New Roman" w:hAnsi="Arial" w:cs="Arial"/>
          <w:b/>
          <w:bCs/>
          <w:kern w:val="36"/>
          <w:sz w:val="24"/>
          <w:szCs w:val="24"/>
          <w:lang w:eastAsia="en-GB"/>
        </w:rPr>
      </w:pPr>
      <w:r w:rsidRPr="00AD510F">
        <w:rPr>
          <w:rFonts w:ascii="Arial" w:eastAsia="Times New Roman" w:hAnsi="Arial" w:cs="Arial"/>
          <w:b/>
          <w:bCs/>
          <w:kern w:val="36"/>
          <w:sz w:val="24"/>
          <w:szCs w:val="24"/>
          <w:lang w:eastAsia="en-GB"/>
        </w:rPr>
        <w:lastRenderedPageBreak/>
        <w:t>9. Financial Plan</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Successful strategic change depends on sufficient financial resources to support technological innovation, employee development and organisational transformation. Without appropriate investment, even well-designed strategies are unlikely to achieve sustainable results. Consequently, financial planning should align investment priorities with JLR's long-term strategic objectives while maintaining organisational flexibility in response to changing market conditions (Johnson et al., 2020).</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Through its Reimagine Strategy, Jaguar Land Rover has committed significant investment towards electrification, digital technologies and sustainable manufacturing. To maximise long-term value, resources should be prioritised across five key areas: electric vehicle development, digital transformation, manufacturing modernisation, workforce capability and sustainability initiatives. Investment in electrification should remain the highest priority because future competitiveness will increasingly depend upon the successful transition towards electric mobility (JLR, 2024; Grant, 2021).</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Although these investments require considerable short-term expenditure, they are expected to generate long-term benefits through improved operational efficiency, stronger customer loyalty and increased sales of premium electric vehicles. Nevertheless, risks including supply chain disruption, fluctuating raw material prices and uncertain market demand require continuous financial monitoring. Regular reviews will enable management to adjust investment priorities while maintaining financial sustainability throughout implementation (Kaplan and Norton, 1996; Christopher and Peck, 2004).</w:t>
      </w: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Pr="00AD510F" w:rsidRDefault="00AD510F" w:rsidP="00AD510F">
      <w:pPr>
        <w:spacing w:after="0" w:line="240" w:lineRule="auto"/>
        <w:rPr>
          <w:rFonts w:ascii="Times New Roman" w:eastAsia="Times New Roman" w:hAnsi="Times New Roman" w:cs="Times New Roman"/>
          <w:sz w:val="24"/>
          <w:szCs w:val="24"/>
          <w:lang w:eastAsia="en-GB"/>
        </w:rPr>
      </w:pPr>
    </w:p>
    <w:p w:rsidR="00AD510F" w:rsidRPr="00AD510F" w:rsidRDefault="00AD510F" w:rsidP="00AD510F">
      <w:pPr>
        <w:spacing w:before="100" w:beforeAutospacing="1" w:after="100" w:afterAutospacing="1" w:line="240" w:lineRule="auto"/>
        <w:outlineLvl w:val="0"/>
        <w:rPr>
          <w:rFonts w:ascii="Arial" w:eastAsia="Times New Roman" w:hAnsi="Arial" w:cs="Arial"/>
          <w:b/>
          <w:bCs/>
          <w:kern w:val="36"/>
          <w:sz w:val="24"/>
          <w:szCs w:val="24"/>
          <w:lang w:eastAsia="en-GB"/>
        </w:rPr>
      </w:pPr>
      <w:r w:rsidRPr="00AD510F">
        <w:rPr>
          <w:rFonts w:ascii="Arial" w:eastAsia="Times New Roman" w:hAnsi="Arial" w:cs="Arial"/>
          <w:b/>
          <w:bCs/>
          <w:kern w:val="36"/>
          <w:sz w:val="24"/>
          <w:szCs w:val="24"/>
          <w:lang w:eastAsia="en-GB"/>
        </w:rPr>
        <w:t>10. Communication Plan</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Effective communication is essential for reducing resistance and maintaining employee commitment throughout organisational transformation. Research consistently demonstrates that employees are more likely to support change when they understand why it is necessary, how it affects their roles and what benefits are expected for the organisation. Communication should therefore be continuous rather than limited to the initial announcement of change (Kotter, 1996; Lewis, 2019).</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At Jaguar Land Rover, senior leaders should communicate a consistent vision that explains how electrification, digitalisation and sustainability contribute to the organisation's long-term competitiveness. Employees should receive regular updates through workshops, team meetings and digital communication platforms that encourage two-way dialogue and allow concerns to be addressed promptly. Such engagement promotes trust while increasing employee ownership of organisational objectives (Burnes, 2020).</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External communication is equally important. Investors require transparent reporting on strategic progress, customers should be informed about technological innovation and sustainability initiatives, while suppliers should participate in collaborative planning to strengthen long-term partnerships. Maintaining open communication with all stakeholder groups will improve organisational resilience and support successful implementation of the Strategic Change Management Plan (Freeman, 1984).</w:t>
      </w: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Pr="00AD510F" w:rsidRDefault="00AD510F" w:rsidP="00AD510F">
      <w:pPr>
        <w:spacing w:after="0" w:line="240" w:lineRule="auto"/>
        <w:rPr>
          <w:rFonts w:ascii="Times New Roman" w:eastAsia="Times New Roman" w:hAnsi="Times New Roman" w:cs="Times New Roman"/>
          <w:sz w:val="24"/>
          <w:szCs w:val="24"/>
          <w:lang w:eastAsia="en-GB"/>
        </w:rPr>
      </w:pPr>
    </w:p>
    <w:p w:rsidR="00AD510F" w:rsidRPr="00AD510F" w:rsidRDefault="00AD510F" w:rsidP="00AD510F">
      <w:pPr>
        <w:spacing w:before="100" w:beforeAutospacing="1" w:after="100" w:afterAutospacing="1" w:line="240" w:lineRule="auto"/>
        <w:outlineLvl w:val="0"/>
        <w:rPr>
          <w:rFonts w:ascii="Arial" w:eastAsia="Times New Roman" w:hAnsi="Arial" w:cs="Arial"/>
          <w:b/>
          <w:bCs/>
          <w:kern w:val="36"/>
          <w:sz w:val="24"/>
          <w:szCs w:val="24"/>
          <w:lang w:eastAsia="en-GB"/>
        </w:rPr>
      </w:pPr>
      <w:r w:rsidRPr="00AD510F">
        <w:rPr>
          <w:rFonts w:ascii="Arial" w:eastAsia="Times New Roman" w:hAnsi="Arial" w:cs="Arial"/>
          <w:b/>
          <w:bCs/>
          <w:kern w:val="36"/>
          <w:sz w:val="24"/>
          <w:szCs w:val="24"/>
          <w:lang w:eastAsia="en-GB"/>
        </w:rPr>
        <w:lastRenderedPageBreak/>
        <w:t>11. Ev</w:t>
      </w:r>
      <w:bookmarkStart w:id="0" w:name="_GoBack"/>
      <w:bookmarkEnd w:id="0"/>
      <w:r w:rsidRPr="00AD510F">
        <w:rPr>
          <w:rFonts w:ascii="Arial" w:eastAsia="Times New Roman" w:hAnsi="Arial" w:cs="Arial"/>
          <w:b/>
          <w:bCs/>
          <w:kern w:val="36"/>
          <w:sz w:val="24"/>
          <w:szCs w:val="24"/>
          <w:lang w:eastAsia="en-GB"/>
        </w:rPr>
        <w:t>aluation and Monitoring</w:t>
      </w:r>
    </w:p>
    <w:p w:rsid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Continuous evaluation is essential to determine whether strategic objectives are being achieved and to identify areas requiring corrective action. Rather than measuring financial performance alone, JLR should adopt a Balanced Scorecard approach that assesses organisational performance from financial, customer, internal process and learning perspectives. This broader approach reflects the complex nature of strategic transformation, where employee capability and innovation are equally important indicators of success (Kaplan and Norton, 1996).</w:t>
      </w:r>
    </w:p>
    <w:p w:rsidR="000F5E61" w:rsidRPr="000F5E61" w:rsidRDefault="000F5E61" w:rsidP="000F5E61">
      <w:pPr>
        <w:spacing w:before="100" w:beforeAutospacing="1" w:after="100" w:afterAutospacing="1" w:line="240" w:lineRule="auto"/>
        <w:rPr>
          <w:rFonts w:ascii="Arial" w:eastAsia="Times New Roman" w:hAnsi="Arial" w:cs="Arial"/>
          <w:sz w:val="24"/>
          <w:szCs w:val="24"/>
          <w:lang w:eastAsia="en-GB"/>
        </w:rPr>
      </w:pPr>
      <w:r w:rsidRPr="000F5E61">
        <w:rPr>
          <w:rFonts w:ascii="Arial" w:eastAsia="Times New Roman" w:hAnsi="Arial" w:cs="Arial"/>
          <w:b/>
          <w:bCs/>
          <w:sz w:val="24"/>
          <w:szCs w:val="24"/>
          <w:lang w:eastAsia="en-GB"/>
        </w:rPr>
        <w:t>Table 4. Key Performance Indicators (KPIs) for Monitoring Strategic Change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71"/>
        <w:gridCol w:w="3177"/>
        <w:gridCol w:w="3268"/>
      </w:tblGrid>
      <w:tr w:rsidR="000F5E61" w:rsidRPr="000F5E61" w:rsidTr="000F5E61">
        <w:trPr>
          <w:tblHeader/>
          <w:tblCellSpacing w:w="15" w:type="dxa"/>
        </w:trPr>
        <w:tc>
          <w:tcPr>
            <w:tcW w:w="0" w:type="auto"/>
            <w:vAlign w:val="center"/>
            <w:hideMark/>
          </w:tcPr>
          <w:p w:rsidR="000F5E61" w:rsidRPr="000F5E61" w:rsidRDefault="000F5E61" w:rsidP="000F5E61">
            <w:pPr>
              <w:spacing w:after="0" w:line="240" w:lineRule="auto"/>
              <w:jc w:val="center"/>
              <w:rPr>
                <w:rFonts w:ascii="Arial" w:eastAsia="Times New Roman" w:hAnsi="Arial" w:cs="Arial"/>
                <w:b/>
                <w:bCs/>
                <w:lang w:eastAsia="en-GB"/>
              </w:rPr>
            </w:pPr>
            <w:r w:rsidRPr="000F5E61">
              <w:rPr>
                <w:rFonts w:ascii="Arial" w:eastAsia="Times New Roman" w:hAnsi="Arial" w:cs="Arial"/>
                <w:b/>
                <w:bCs/>
                <w:lang w:eastAsia="en-GB"/>
              </w:rPr>
              <w:t>Strategic Objective</w:t>
            </w:r>
          </w:p>
        </w:tc>
        <w:tc>
          <w:tcPr>
            <w:tcW w:w="0" w:type="auto"/>
            <w:vAlign w:val="center"/>
            <w:hideMark/>
          </w:tcPr>
          <w:p w:rsidR="000F5E61" w:rsidRPr="000F5E61" w:rsidRDefault="000F5E61" w:rsidP="000F5E61">
            <w:pPr>
              <w:spacing w:after="0" w:line="240" w:lineRule="auto"/>
              <w:jc w:val="center"/>
              <w:rPr>
                <w:rFonts w:ascii="Arial" w:eastAsia="Times New Roman" w:hAnsi="Arial" w:cs="Arial"/>
                <w:b/>
                <w:bCs/>
                <w:lang w:eastAsia="en-GB"/>
              </w:rPr>
            </w:pPr>
            <w:r w:rsidRPr="000F5E61">
              <w:rPr>
                <w:rFonts w:ascii="Arial" w:eastAsia="Times New Roman" w:hAnsi="Arial" w:cs="Arial"/>
                <w:b/>
                <w:bCs/>
                <w:lang w:eastAsia="en-GB"/>
              </w:rPr>
              <w:t>KPI</w:t>
            </w:r>
          </w:p>
        </w:tc>
        <w:tc>
          <w:tcPr>
            <w:tcW w:w="0" w:type="auto"/>
            <w:vAlign w:val="center"/>
            <w:hideMark/>
          </w:tcPr>
          <w:p w:rsidR="000F5E61" w:rsidRPr="000F5E61" w:rsidRDefault="000F5E61" w:rsidP="000F5E61">
            <w:pPr>
              <w:spacing w:after="0" w:line="240" w:lineRule="auto"/>
              <w:jc w:val="center"/>
              <w:rPr>
                <w:rFonts w:ascii="Arial" w:eastAsia="Times New Roman" w:hAnsi="Arial" w:cs="Arial"/>
                <w:b/>
                <w:bCs/>
                <w:lang w:eastAsia="en-GB"/>
              </w:rPr>
            </w:pPr>
            <w:r w:rsidRPr="000F5E61">
              <w:rPr>
                <w:rFonts w:ascii="Arial" w:eastAsia="Times New Roman" w:hAnsi="Arial" w:cs="Arial"/>
                <w:b/>
                <w:bCs/>
                <w:lang w:eastAsia="en-GB"/>
              </w:rPr>
              <w:t>Target</w:t>
            </w:r>
          </w:p>
        </w:tc>
      </w:tr>
      <w:tr w:rsidR="000F5E61" w:rsidRPr="000F5E61" w:rsidTr="000F5E61">
        <w:trPr>
          <w:tblCellSpacing w:w="15" w:type="dxa"/>
        </w:trPr>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Increase EV production</w:t>
            </w:r>
          </w:p>
        </w:tc>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EV sales growth</w:t>
            </w:r>
          </w:p>
        </w:tc>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Annual increase in EV sales</w:t>
            </w:r>
          </w:p>
        </w:tc>
      </w:tr>
      <w:tr w:rsidR="000F5E61" w:rsidRPr="000F5E61" w:rsidTr="000F5E61">
        <w:trPr>
          <w:tblCellSpacing w:w="15" w:type="dxa"/>
        </w:trPr>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Improve operational efficiency</w:t>
            </w:r>
          </w:p>
        </w:tc>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Manufacturing productivity</w:t>
            </w:r>
          </w:p>
        </w:tc>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10–15% improvement within five years</w:t>
            </w:r>
          </w:p>
        </w:tc>
      </w:tr>
      <w:tr w:rsidR="000F5E61" w:rsidRPr="000F5E61" w:rsidTr="000F5E61">
        <w:trPr>
          <w:tblCellSpacing w:w="15" w:type="dxa"/>
        </w:trPr>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Develop workforce capability</w:t>
            </w:r>
          </w:p>
        </w:tc>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Employees completing digital training</w:t>
            </w:r>
          </w:p>
        </w:tc>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More than 90% completion rate</w:t>
            </w:r>
          </w:p>
        </w:tc>
      </w:tr>
      <w:tr w:rsidR="000F5E61" w:rsidRPr="000F5E61" w:rsidTr="000F5E61">
        <w:trPr>
          <w:tblCellSpacing w:w="15" w:type="dxa"/>
        </w:trPr>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Enhance customer satisfaction</w:t>
            </w:r>
          </w:p>
        </w:tc>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Customer satisfaction score</w:t>
            </w:r>
          </w:p>
        </w:tc>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Continuous annual improvement</w:t>
            </w:r>
          </w:p>
        </w:tc>
      </w:tr>
      <w:tr w:rsidR="000F5E61" w:rsidRPr="000F5E61" w:rsidTr="000F5E61">
        <w:trPr>
          <w:tblCellSpacing w:w="15" w:type="dxa"/>
        </w:trPr>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Achieve sustainability goals</w:t>
            </w:r>
          </w:p>
        </w:tc>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Carbon emissions</w:t>
            </w:r>
          </w:p>
        </w:tc>
        <w:tc>
          <w:tcPr>
            <w:tcW w:w="0" w:type="auto"/>
            <w:vAlign w:val="center"/>
            <w:hideMark/>
          </w:tcPr>
          <w:p w:rsidR="000F5E61" w:rsidRPr="000F5E61" w:rsidRDefault="000F5E61" w:rsidP="000F5E61">
            <w:pPr>
              <w:spacing w:after="0" w:line="360" w:lineRule="auto"/>
              <w:rPr>
                <w:rFonts w:ascii="Arial" w:eastAsia="Times New Roman" w:hAnsi="Arial" w:cs="Arial"/>
                <w:lang w:eastAsia="en-GB"/>
              </w:rPr>
            </w:pPr>
            <w:r w:rsidRPr="000F5E61">
              <w:rPr>
                <w:rFonts w:ascii="Arial" w:eastAsia="Times New Roman" w:hAnsi="Arial" w:cs="Arial"/>
                <w:lang w:eastAsia="en-GB"/>
              </w:rPr>
              <w:t>Progress towards Net Zero 2039</w:t>
            </w:r>
          </w:p>
        </w:tc>
      </w:tr>
    </w:tbl>
    <w:p w:rsidR="000F5E61" w:rsidRPr="000F5E61" w:rsidRDefault="000F5E61" w:rsidP="000F5E61">
      <w:pPr>
        <w:spacing w:before="100" w:beforeAutospacing="1" w:after="100" w:afterAutospacing="1" w:line="360" w:lineRule="auto"/>
        <w:rPr>
          <w:rFonts w:ascii="Arial" w:eastAsia="Times New Roman" w:hAnsi="Arial" w:cs="Arial"/>
          <w:lang w:eastAsia="en-GB"/>
        </w:rPr>
      </w:pPr>
      <w:r w:rsidRPr="000F5E61">
        <w:rPr>
          <w:rFonts w:ascii="Arial" w:eastAsia="Times New Roman" w:hAnsi="Arial" w:cs="Arial"/>
          <w:iCs/>
          <w:lang w:eastAsia="en-GB"/>
        </w:rPr>
        <w:t>Source: Developed by the author based on Kaplan and Norton (1996) and JLR (2024).</w:t>
      </w:r>
    </w:p>
    <w:p w:rsidR="000F5E61" w:rsidRPr="000F5E61" w:rsidRDefault="000F5E61" w:rsidP="000F5E61">
      <w:pPr>
        <w:spacing w:before="100" w:beforeAutospacing="1" w:after="100" w:afterAutospacing="1" w:line="360" w:lineRule="auto"/>
        <w:rPr>
          <w:rFonts w:ascii="Arial" w:eastAsia="Times New Roman" w:hAnsi="Arial" w:cs="Arial"/>
          <w:lang w:eastAsia="en-GB"/>
        </w:rPr>
      </w:pPr>
      <w:r w:rsidRPr="000F5E61">
        <w:rPr>
          <w:rFonts w:ascii="Arial" w:hAnsi="Arial" w:cs="Arial"/>
        </w:rPr>
        <w:t>Monitoring these indicators quarterly will allow senior management to identify emerging challenges and respond before problems significantly affect organisational performance. Employee feedback should also contribute to evaluation through surveys, workshops and continuous improvement programmes. Combining performance data with employee perspectives encourages organisational learning and enables leadership to refine implementation strategies as external conditions evolve. Benchmarking against competitors such as BMW and Mercedes-Benz can further support continuous improvement by identifying industry best practice and emerging opportunities for innovation (Edmondson, 2019; Grant, 2021).</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 xml:space="preserve">Key performance indicators should include growth in electric vehicle sales, improvements in manufacturing productivity, adoption of artificial intelligence within production, employee training completion rates, customer satisfaction and progress towards net-zero carbon </w:t>
      </w:r>
      <w:r w:rsidRPr="00AD510F">
        <w:rPr>
          <w:rFonts w:ascii="Arial" w:eastAsia="Times New Roman" w:hAnsi="Arial" w:cs="Arial"/>
          <w:lang w:eastAsia="en-GB"/>
        </w:rPr>
        <w:lastRenderedPageBreak/>
        <w:t>emissions. Monitoring these indicators quarterly will allow senior management to identify emerging challenges and respond before problems significantly affect organisational performance (Johnson et al., 2020; JLR, 2024).</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Employee feedback should also contribute to evaluation through surveys, workshops and continuous improvement programmes. Combining performance data with employee perspectives encourages organisational learning and enables leadership to refine implementation strategies as external conditions evolve. Benchmarking against competitors such as BMW and Mercedes-Benz can further support continuous improvement by identifying industry best practice and emerging opportunities for innovation (Edmondson, 2019; Grant, 2021).</w:t>
      </w:r>
    </w:p>
    <w:p w:rsidR="00AD510F" w:rsidRDefault="00AD510F"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AD510F" w:rsidRDefault="00AD510F"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AD510F" w:rsidRDefault="00AD510F"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AD510F" w:rsidRDefault="00AD510F"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AD510F" w:rsidRDefault="00AD510F"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AD510F" w:rsidRDefault="00AD510F"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AD510F" w:rsidRDefault="00AD510F"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AD510F" w:rsidRDefault="00AD510F"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AD510F" w:rsidRDefault="00AD510F"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B919A5" w:rsidRDefault="00B919A5"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B919A5" w:rsidRDefault="00B919A5"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B919A5" w:rsidRDefault="00B919A5"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B919A5" w:rsidRDefault="00B919A5"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B919A5" w:rsidRDefault="00B919A5"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B919A5" w:rsidRDefault="00B919A5"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B919A5" w:rsidRDefault="00B919A5" w:rsidP="00AD510F">
      <w:pPr>
        <w:spacing w:before="100" w:beforeAutospacing="1" w:after="100" w:afterAutospacing="1" w:line="240" w:lineRule="auto"/>
        <w:rPr>
          <w:rFonts w:ascii="Times New Roman" w:eastAsia="Times New Roman" w:hAnsi="Times New Roman" w:cs="Times New Roman"/>
          <w:sz w:val="24"/>
          <w:szCs w:val="24"/>
          <w:lang w:eastAsia="en-GB"/>
        </w:rPr>
      </w:pPr>
    </w:p>
    <w:p w:rsidR="00AD510F" w:rsidRPr="00AD510F" w:rsidRDefault="00AD510F" w:rsidP="00AD510F">
      <w:pPr>
        <w:spacing w:after="0" w:line="240" w:lineRule="auto"/>
        <w:rPr>
          <w:rFonts w:ascii="Times New Roman" w:eastAsia="Times New Roman" w:hAnsi="Times New Roman" w:cs="Times New Roman"/>
          <w:sz w:val="24"/>
          <w:szCs w:val="24"/>
          <w:lang w:eastAsia="en-GB"/>
        </w:rPr>
      </w:pPr>
    </w:p>
    <w:p w:rsidR="00AD510F" w:rsidRPr="00AD510F" w:rsidRDefault="00AD510F" w:rsidP="00AD510F">
      <w:pPr>
        <w:spacing w:before="100" w:beforeAutospacing="1" w:after="100" w:afterAutospacing="1" w:line="240" w:lineRule="auto"/>
        <w:outlineLvl w:val="0"/>
        <w:rPr>
          <w:rFonts w:ascii="Arial" w:eastAsia="Times New Roman" w:hAnsi="Arial" w:cs="Arial"/>
          <w:b/>
          <w:bCs/>
          <w:kern w:val="36"/>
          <w:sz w:val="24"/>
          <w:szCs w:val="24"/>
          <w:lang w:eastAsia="en-GB"/>
        </w:rPr>
      </w:pPr>
      <w:r w:rsidRPr="00AD510F">
        <w:rPr>
          <w:rFonts w:ascii="Arial" w:eastAsia="Times New Roman" w:hAnsi="Arial" w:cs="Arial"/>
          <w:b/>
          <w:bCs/>
          <w:kern w:val="36"/>
          <w:sz w:val="24"/>
          <w:szCs w:val="24"/>
          <w:lang w:eastAsia="en-GB"/>
        </w:rPr>
        <w:lastRenderedPageBreak/>
        <w:t>12. Reflection</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This report demonstrates that successful strategic change extends beyond technological investment and requires the effective integration of leadership, organisational culture and employee capability. Although electrification and digital transformation are reshaping the automotive industry, organisations achieve sustainable competitive advantage only when employees understand, accept and actively support strategic objectives (Burnes, 2020).</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The analysis highlights that external pressures should not be viewed solely as threats but also as opportunities for innovation and long-term growth. Jaguar Land Rover's Reimagine Strategy illustrates how organisations can respond proactively by combining technological advancement with sustainability and organisational development. Nevertheless, successful implementation depends on maintaining employee engagement, effective leadership and continuous organisational learning throughout the transformation process (Schein and Schein, 2017; Kotter, 1996).</w:t>
      </w:r>
    </w:p>
    <w:p w:rsidR="00AD510F" w:rsidRPr="00AD510F" w:rsidRDefault="00AD510F" w:rsidP="00AD510F">
      <w:pPr>
        <w:spacing w:before="100" w:beforeAutospacing="1" w:after="100" w:afterAutospacing="1" w:line="360" w:lineRule="auto"/>
        <w:rPr>
          <w:rFonts w:ascii="Times New Roman" w:eastAsia="Times New Roman" w:hAnsi="Times New Roman" w:cs="Times New Roman"/>
          <w:sz w:val="24"/>
          <w:szCs w:val="24"/>
          <w:lang w:eastAsia="en-GB"/>
        </w:rPr>
      </w:pPr>
      <w:r w:rsidRPr="00AD510F">
        <w:rPr>
          <w:rFonts w:ascii="Arial" w:eastAsia="Times New Roman" w:hAnsi="Arial" w:cs="Arial"/>
          <w:lang w:eastAsia="en-GB"/>
        </w:rPr>
        <w:t>One limitation of this report is its reliance on publicly available information rather than internal organisational data. Future research involving employee interviews or management perspectives could provide deeper insight into implementation challenges and strengthen the practical application of the recommendations presented (Saunders, Lewis and Thornhill,</w:t>
      </w:r>
      <w:r w:rsidRPr="00AD510F">
        <w:rPr>
          <w:rFonts w:ascii="Times New Roman" w:eastAsia="Times New Roman" w:hAnsi="Times New Roman" w:cs="Times New Roman"/>
          <w:sz w:val="24"/>
          <w:szCs w:val="24"/>
          <w:lang w:eastAsia="en-GB"/>
        </w:rPr>
        <w:t xml:space="preserve"> 2023).</w:t>
      </w: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Default="00AD510F" w:rsidP="00AD510F">
      <w:pPr>
        <w:spacing w:after="0" w:line="240" w:lineRule="auto"/>
        <w:rPr>
          <w:rFonts w:ascii="Times New Roman" w:eastAsia="Times New Roman" w:hAnsi="Times New Roman" w:cs="Times New Roman"/>
          <w:sz w:val="24"/>
          <w:szCs w:val="24"/>
          <w:lang w:eastAsia="en-GB"/>
        </w:rPr>
      </w:pPr>
    </w:p>
    <w:p w:rsidR="00AD510F" w:rsidRPr="00AD510F" w:rsidRDefault="00AD510F" w:rsidP="00AD510F">
      <w:pPr>
        <w:spacing w:after="0" w:line="240" w:lineRule="auto"/>
        <w:rPr>
          <w:rFonts w:ascii="Times New Roman" w:eastAsia="Times New Roman" w:hAnsi="Times New Roman" w:cs="Times New Roman"/>
          <w:sz w:val="24"/>
          <w:szCs w:val="24"/>
          <w:lang w:eastAsia="en-GB"/>
        </w:rPr>
      </w:pPr>
    </w:p>
    <w:p w:rsidR="00AD510F" w:rsidRPr="00AD510F" w:rsidRDefault="00AD510F" w:rsidP="00AD510F">
      <w:pPr>
        <w:spacing w:before="100" w:beforeAutospacing="1" w:after="100" w:afterAutospacing="1" w:line="240" w:lineRule="auto"/>
        <w:outlineLvl w:val="0"/>
        <w:rPr>
          <w:rFonts w:ascii="Arial" w:eastAsia="Times New Roman" w:hAnsi="Arial" w:cs="Arial"/>
          <w:b/>
          <w:bCs/>
          <w:kern w:val="36"/>
          <w:sz w:val="24"/>
          <w:szCs w:val="24"/>
          <w:lang w:eastAsia="en-GB"/>
        </w:rPr>
      </w:pPr>
      <w:r w:rsidRPr="00AD510F">
        <w:rPr>
          <w:rFonts w:ascii="Arial" w:eastAsia="Times New Roman" w:hAnsi="Arial" w:cs="Arial"/>
          <w:b/>
          <w:bCs/>
          <w:kern w:val="36"/>
          <w:sz w:val="24"/>
          <w:szCs w:val="24"/>
          <w:lang w:eastAsia="en-GB"/>
        </w:rPr>
        <w:lastRenderedPageBreak/>
        <w:t>13. Conclusion</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Jaguar Land Rover operates within an automotive industry undergoing rapid technological, environmental and competitive transformation. The PESTLE and SWOT analyses demonstrate that although the organisation benefits from globally recognised brands and strong engineering capabilities, maintaining competitive advantage requires continuous adaptation. Electrification, digitalisation, sustainability and increasing global competition collectively justify the need for comprehensive strategic change (Johnson et al., 2020; JLR, 2024).</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The evaluation of Lewin's, Kotter's and ADKAR change models concludes that Kotter's Eight-Step Model provides the most appropriate framework for guiding JLR's transformation because of its emphasis on leadership, communication and employee engagement. However, integrating elements of Lewin and ADKAR creates a more balanced approach that addresses both organisational systems and individual behaviour, increasing the likelihood of successful implementation (Kotter, 1996; Burnes, 2020; Hiatt, 2006).</w:t>
      </w:r>
    </w:p>
    <w:p w:rsidR="00AD510F" w:rsidRPr="00AD510F" w:rsidRDefault="00AD510F" w:rsidP="00AD510F">
      <w:pPr>
        <w:spacing w:before="100" w:beforeAutospacing="1" w:after="100" w:afterAutospacing="1" w:line="360" w:lineRule="auto"/>
        <w:rPr>
          <w:rFonts w:ascii="Arial" w:eastAsia="Times New Roman" w:hAnsi="Arial" w:cs="Arial"/>
          <w:lang w:eastAsia="en-GB"/>
        </w:rPr>
      </w:pPr>
      <w:r w:rsidRPr="00AD510F">
        <w:rPr>
          <w:rFonts w:ascii="Arial" w:eastAsia="Times New Roman" w:hAnsi="Arial" w:cs="Arial"/>
          <w:lang w:eastAsia="en-GB"/>
        </w:rPr>
        <w:t>The Strategic Change Management Plan proposed in this report recommends accelerating electrification, expanding digital capabilities, strengthening workforce development, improving supply chain resilience and embedding sustainability throughout organisational operations. Supported by effective financial planning, stakeholder communication and continuous performance monitoring, these initiatives provide a practical roadmap for achieving the objectives of the Reimagine Strategy. Ultimately, JLR's long-term success will depend on its ability to combine technological innovation with effective leadership and an organisational culture that supports continuous learning and adaptation (Kaplan and Norton, 1996; Teece, 2018).</w:t>
      </w:r>
    </w:p>
    <w:p w:rsidR="00B919A5" w:rsidRDefault="00B919A5" w:rsidP="00AD510F">
      <w:pPr>
        <w:spacing w:line="360" w:lineRule="auto"/>
        <w:rPr>
          <w:rFonts w:ascii="Arial" w:hAnsi="Arial" w:cs="Arial"/>
        </w:rPr>
      </w:pPr>
    </w:p>
    <w:p w:rsidR="00B919A5" w:rsidRDefault="00B919A5">
      <w:pPr>
        <w:rPr>
          <w:rFonts w:ascii="Arial" w:hAnsi="Arial" w:cs="Arial"/>
        </w:rPr>
      </w:pPr>
      <w:r>
        <w:rPr>
          <w:rFonts w:ascii="Arial" w:hAnsi="Arial" w:cs="Arial"/>
        </w:rPr>
        <w:br w:type="page"/>
      </w:r>
    </w:p>
    <w:p w:rsidR="00B919A5" w:rsidRPr="00B919A5" w:rsidRDefault="00B919A5" w:rsidP="00B919A5">
      <w:pPr>
        <w:spacing w:before="100" w:beforeAutospacing="1" w:after="100" w:afterAutospacing="1" w:line="240" w:lineRule="auto"/>
        <w:outlineLvl w:val="0"/>
        <w:rPr>
          <w:rFonts w:ascii="Arial" w:eastAsia="Times New Roman" w:hAnsi="Arial" w:cs="Arial"/>
          <w:b/>
          <w:bCs/>
          <w:kern w:val="36"/>
          <w:lang w:eastAsia="en-GB"/>
        </w:rPr>
      </w:pPr>
      <w:r w:rsidRPr="00B919A5">
        <w:rPr>
          <w:rFonts w:ascii="Arial" w:eastAsia="Times New Roman" w:hAnsi="Arial" w:cs="Arial"/>
          <w:b/>
          <w:bCs/>
          <w:kern w:val="36"/>
          <w:lang w:eastAsia="en-GB"/>
        </w:rPr>
        <w:lastRenderedPageBreak/>
        <w:t>References</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Aguinis, H. and Kraiger, K. (2009) 'Benefits of training and development for individuals and teams, organisations and society', </w:t>
      </w:r>
      <w:r w:rsidRPr="00B919A5">
        <w:rPr>
          <w:rFonts w:ascii="Arial" w:eastAsia="Times New Roman" w:hAnsi="Arial" w:cs="Arial"/>
          <w:iCs/>
          <w:lang w:eastAsia="en-GB"/>
        </w:rPr>
        <w:t>Annual Review of Psychology</w:t>
      </w:r>
      <w:r w:rsidRPr="00B919A5">
        <w:rPr>
          <w:rFonts w:ascii="Arial" w:eastAsia="Times New Roman" w:hAnsi="Arial" w:cs="Arial"/>
          <w:lang w:eastAsia="en-GB"/>
        </w:rPr>
        <w:t>, 60(1), pp. 451–474.</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Armenakis, A.A. and Bedeian, A.G. (1999) 'Organizational change: A review of theory and research in the 1990s', </w:t>
      </w:r>
      <w:r w:rsidRPr="00B919A5">
        <w:rPr>
          <w:rFonts w:ascii="Arial" w:eastAsia="Times New Roman" w:hAnsi="Arial" w:cs="Arial"/>
          <w:iCs/>
          <w:lang w:eastAsia="en-GB"/>
        </w:rPr>
        <w:t>Journal of Management</w:t>
      </w:r>
      <w:r w:rsidRPr="00B919A5">
        <w:rPr>
          <w:rFonts w:ascii="Arial" w:eastAsia="Times New Roman" w:hAnsi="Arial" w:cs="Arial"/>
          <w:lang w:eastAsia="en-GB"/>
        </w:rPr>
        <w:t>, 25(3), pp. 293–315.</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Bansal, P. and DesJardine, M.R. (2014) 'Business sustainability: It is about time', </w:t>
      </w:r>
      <w:r w:rsidRPr="00B919A5">
        <w:rPr>
          <w:rFonts w:ascii="Arial" w:eastAsia="Times New Roman" w:hAnsi="Arial" w:cs="Arial"/>
          <w:iCs/>
          <w:lang w:eastAsia="en-GB"/>
        </w:rPr>
        <w:t>Strategic Organization</w:t>
      </w:r>
      <w:r w:rsidRPr="00B919A5">
        <w:rPr>
          <w:rFonts w:ascii="Arial" w:eastAsia="Times New Roman" w:hAnsi="Arial" w:cs="Arial"/>
          <w:lang w:eastAsia="en-GB"/>
        </w:rPr>
        <w:t>, 12(1), pp. 70–78.</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Bass, B.M. and Avolio, B.J. (1994) </w:t>
      </w:r>
      <w:r w:rsidRPr="00B919A5">
        <w:rPr>
          <w:rFonts w:ascii="Arial" w:eastAsia="Times New Roman" w:hAnsi="Arial" w:cs="Arial"/>
          <w:iCs/>
          <w:lang w:eastAsia="en-GB"/>
        </w:rPr>
        <w:t>Improving Organizational Effectiveness Through Transformational Leadership</w:t>
      </w:r>
      <w:r w:rsidRPr="00B919A5">
        <w:rPr>
          <w:rFonts w:ascii="Arial" w:eastAsia="Times New Roman" w:hAnsi="Arial" w:cs="Arial"/>
          <w:lang w:eastAsia="en-GB"/>
        </w:rPr>
        <w:t>. Thousand Oaks: Sage.</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Burnes, B. (2020) </w:t>
      </w:r>
      <w:r w:rsidRPr="00B919A5">
        <w:rPr>
          <w:rFonts w:ascii="Arial" w:eastAsia="Times New Roman" w:hAnsi="Arial" w:cs="Arial"/>
          <w:iCs/>
          <w:lang w:eastAsia="en-GB"/>
        </w:rPr>
        <w:t>Managing Change</w:t>
      </w:r>
      <w:r w:rsidRPr="00B919A5">
        <w:rPr>
          <w:rFonts w:ascii="Arial" w:eastAsia="Times New Roman" w:hAnsi="Arial" w:cs="Arial"/>
          <w:lang w:eastAsia="en-GB"/>
        </w:rPr>
        <w:t>. 8th edn. Harlow: Pearson.</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Christopher, M. and Peck, H. (2004) 'Building the resilient supply chain', </w:t>
      </w:r>
      <w:r w:rsidRPr="00B919A5">
        <w:rPr>
          <w:rFonts w:ascii="Arial" w:eastAsia="Times New Roman" w:hAnsi="Arial" w:cs="Arial"/>
          <w:iCs/>
          <w:lang w:eastAsia="en-GB"/>
        </w:rPr>
        <w:t>International Journal of Logistics Management</w:t>
      </w:r>
      <w:r w:rsidRPr="00B919A5">
        <w:rPr>
          <w:rFonts w:ascii="Arial" w:eastAsia="Times New Roman" w:hAnsi="Arial" w:cs="Arial"/>
          <w:lang w:eastAsia="en-GB"/>
        </w:rPr>
        <w:t>, 15(2), pp. 1–14.</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Davenport, T.H. and Ronanki, R. (2018) 'Artificial intelligence for the real world', </w:t>
      </w:r>
      <w:r w:rsidRPr="00B919A5">
        <w:rPr>
          <w:rFonts w:ascii="Arial" w:eastAsia="Times New Roman" w:hAnsi="Arial" w:cs="Arial"/>
          <w:iCs/>
          <w:lang w:eastAsia="en-GB"/>
        </w:rPr>
        <w:t>Harvard Business Review</w:t>
      </w:r>
      <w:r w:rsidRPr="00B919A5">
        <w:rPr>
          <w:rFonts w:ascii="Arial" w:eastAsia="Times New Roman" w:hAnsi="Arial" w:cs="Arial"/>
          <w:lang w:eastAsia="en-GB"/>
        </w:rPr>
        <w:t>, 96(1), pp. 108–116.</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Edmondson, A.C. (2019) </w:t>
      </w:r>
      <w:r w:rsidRPr="00B919A5">
        <w:rPr>
          <w:rFonts w:ascii="Arial" w:eastAsia="Times New Roman" w:hAnsi="Arial" w:cs="Arial"/>
          <w:iCs/>
          <w:lang w:eastAsia="en-GB"/>
        </w:rPr>
        <w:t>The Fearless Organization: Creating Psychological Safety in the Workplace for Learning, Innovation, and Growth</w:t>
      </w:r>
      <w:r w:rsidRPr="00B919A5">
        <w:rPr>
          <w:rFonts w:ascii="Arial" w:eastAsia="Times New Roman" w:hAnsi="Arial" w:cs="Arial"/>
          <w:lang w:eastAsia="en-GB"/>
        </w:rPr>
        <w:t>. Hoboken: Wiley.</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Freeman, R.E. (1984) </w:t>
      </w:r>
      <w:r w:rsidRPr="00B919A5">
        <w:rPr>
          <w:rFonts w:ascii="Arial" w:eastAsia="Times New Roman" w:hAnsi="Arial" w:cs="Arial"/>
          <w:iCs/>
          <w:lang w:eastAsia="en-GB"/>
        </w:rPr>
        <w:t>Strategic Management: A Stakeholder Approach</w:t>
      </w:r>
      <w:r w:rsidRPr="00B919A5">
        <w:rPr>
          <w:rFonts w:ascii="Arial" w:eastAsia="Times New Roman" w:hAnsi="Arial" w:cs="Arial"/>
          <w:lang w:eastAsia="en-GB"/>
        </w:rPr>
        <w:t>. Boston: Pitman.</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Grant, R.M. (2021) </w:t>
      </w:r>
      <w:r w:rsidRPr="00B919A5">
        <w:rPr>
          <w:rFonts w:ascii="Arial" w:eastAsia="Times New Roman" w:hAnsi="Arial" w:cs="Arial"/>
          <w:iCs/>
          <w:lang w:eastAsia="en-GB"/>
        </w:rPr>
        <w:t>Contemporary Strategy Analysis</w:t>
      </w:r>
      <w:r w:rsidRPr="00B919A5">
        <w:rPr>
          <w:rFonts w:ascii="Arial" w:eastAsia="Times New Roman" w:hAnsi="Arial" w:cs="Arial"/>
          <w:lang w:eastAsia="en-GB"/>
        </w:rPr>
        <w:t>. 11th edn. Hoboken: John Wiley &amp; Sons.</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Hayes, J. (2022) </w:t>
      </w:r>
      <w:r w:rsidRPr="00B919A5">
        <w:rPr>
          <w:rFonts w:ascii="Arial" w:eastAsia="Times New Roman" w:hAnsi="Arial" w:cs="Arial"/>
          <w:iCs/>
          <w:lang w:eastAsia="en-GB"/>
        </w:rPr>
        <w:t>The Theory and Practice of Change Management</w:t>
      </w:r>
      <w:r w:rsidRPr="00B919A5">
        <w:rPr>
          <w:rFonts w:ascii="Arial" w:eastAsia="Times New Roman" w:hAnsi="Arial" w:cs="Arial"/>
          <w:lang w:eastAsia="en-GB"/>
        </w:rPr>
        <w:t>. 6th edn. London: Red Globe Press.</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Hiatt, J. (2006) </w:t>
      </w:r>
      <w:r w:rsidRPr="00B919A5">
        <w:rPr>
          <w:rFonts w:ascii="Arial" w:eastAsia="Times New Roman" w:hAnsi="Arial" w:cs="Arial"/>
          <w:iCs/>
          <w:lang w:eastAsia="en-GB"/>
        </w:rPr>
        <w:t>ADKAR: A Model for Change in Business, Government and Our Community</w:t>
      </w:r>
      <w:r w:rsidRPr="00B919A5">
        <w:rPr>
          <w:rFonts w:ascii="Arial" w:eastAsia="Times New Roman" w:hAnsi="Arial" w:cs="Arial"/>
          <w:lang w:eastAsia="en-GB"/>
        </w:rPr>
        <w:t>. Loveland, CO: Prosci Learning Center Publications.</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Hughes, M. (2016) </w:t>
      </w:r>
      <w:r w:rsidRPr="00B919A5">
        <w:rPr>
          <w:rFonts w:ascii="Arial" w:eastAsia="Times New Roman" w:hAnsi="Arial" w:cs="Arial"/>
          <w:iCs/>
          <w:lang w:eastAsia="en-GB"/>
        </w:rPr>
        <w:t>Leading Changes: Why Transformation Explanations Fail</w:t>
      </w:r>
      <w:r w:rsidRPr="00B919A5">
        <w:rPr>
          <w:rFonts w:ascii="Arial" w:eastAsia="Times New Roman" w:hAnsi="Arial" w:cs="Arial"/>
          <w:lang w:eastAsia="en-GB"/>
        </w:rPr>
        <w:t>. London: Routledge.</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Jaguar Land Rover (2024a) </w:t>
      </w:r>
      <w:r w:rsidRPr="00B919A5">
        <w:rPr>
          <w:rFonts w:ascii="Arial" w:eastAsia="Times New Roman" w:hAnsi="Arial" w:cs="Arial"/>
          <w:iCs/>
          <w:lang w:eastAsia="en-GB"/>
        </w:rPr>
        <w:t>Annual Report 2023/24</w:t>
      </w:r>
      <w:r w:rsidRPr="00B919A5">
        <w:rPr>
          <w:rFonts w:ascii="Arial" w:eastAsia="Times New Roman" w:hAnsi="Arial" w:cs="Arial"/>
          <w:lang w:eastAsia="en-GB"/>
        </w:rPr>
        <w:t>. Coventry: Jaguar Land Rover.</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lastRenderedPageBreak/>
        <w:t xml:space="preserve">Jaguar Land Rover (2024b) </w:t>
      </w:r>
      <w:r w:rsidRPr="00B919A5">
        <w:rPr>
          <w:rFonts w:ascii="Arial" w:eastAsia="Times New Roman" w:hAnsi="Arial" w:cs="Arial"/>
          <w:iCs/>
          <w:lang w:eastAsia="en-GB"/>
        </w:rPr>
        <w:t>Reimagine Strategy</w:t>
      </w:r>
      <w:r w:rsidRPr="00B919A5">
        <w:rPr>
          <w:rFonts w:ascii="Arial" w:eastAsia="Times New Roman" w:hAnsi="Arial" w:cs="Arial"/>
          <w:lang w:eastAsia="en-GB"/>
        </w:rPr>
        <w:t xml:space="preserve">. Coventry: Jaguar Land Rover. Available at: </w:t>
      </w:r>
      <w:hyperlink r:id="rId9" w:tgtFrame="_new" w:history="1">
        <w:r w:rsidRPr="00B919A5">
          <w:rPr>
            <w:rFonts w:ascii="Arial" w:eastAsia="Times New Roman" w:hAnsi="Arial" w:cs="Arial"/>
            <w:color w:val="0000FF"/>
            <w:u w:val="single"/>
            <w:lang w:eastAsia="en-GB"/>
          </w:rPr>
          <w:t>https://www.jaguarlandrover.com</w:t>
        </w:r>
      </w:hyperlink>
      <w:r w:rsidRPr="00B919A5">
        <w:rPr>
          <w:rFonts w:ascii="Arial" w:eastAsia="Times New Roman" w:hAnsi="Arial" w:cs="Arial"/>
          <w:lang w:eastAsia="en-GB"/>
        </w:rPr>
        <w:t xml:space="preserve"> (Accessed: 19 July 2026).</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Johnson, G., Scholes, K., Whittington, R. and Angwin, D. (2020) </w:t>
      </w:r>
      <w:r w:rsidRPr="00B919A5">
        <w:rPr>
          <w:rFonts w:ascii="Arial" w:eastAsia="Times New Roman" w:hAnsi="Arial" w:cs="Arial"/>
          <w:iCs/>
          <w:lang w:eastAsia="en-GB"/>
        </w:rPr>
        <w:t>Exploring Strategy</w:t>
      </w:r>
      <w:r w:rsidRPr="00B919A5">
        <w:rPr>
          <w:rFonts w:ascii="Arial" w:eastAsia="Times New Roman" w:hAnsi="Arial" w:cs="Arial"/>
          <w:lang w:eastAsia="en-GB"/>
        </w:rPr>
        <w:t>. 12th edn. Harlow: Pearson.</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Kaplan, R.S. and Norton, D.P. (1996) </w:t>
      </w:r>
      <w:r w:rsidRPr="00B919A5">
        <w:rPr>
          <w:rFonts w:ascii="Arial" w:eastAsia="Times New Roman" w:hAnsi="Arial" w:cs="Arial"/>
          <w:iCs/>
          <w:lang w:eastAsia="en-GB"/>
        </w:rPr>
        <w:t>The Balanced Scorecard: Translating Strategy into Action</w:t>
      </w:r>
      <w:r w:rsidRPr="00B919A5">
        <w:rPr>
          <w:rFonts w:ascii="Arial" w:eastAsia="Times New Roman" w:hAnsi="Arial" w:cs="Arial"/>
          <w:lang w:eastAsia="en-GB"/>
        </w:rPr>
        <w:t>. Boston: Harvard Business School Press.</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Kotler, P. and Keller, K.L. (2022) </w:t>
      </w:r>
      <w:r w:rsidRPr="00B919A5">
        <w:rPr>
          <w:rFonts w:ascii="Arial" w:eastAsia="Times New Roman" w:hAnsi="Arial" w:cs="Arial"/>
          <w:iCs/>
          <w:lang w:eastAsia="en-GB"/>
        </w:rPr>
        <w:t>Marketing Management</w:t>
      </w:r>
      <w:r w:rsidRPr="00B919A5">
        <w:rPr>
          <w:rFonts w:ascii="Arial" w:eastAsia="Times New Roman" w:hAnsi="Arial" w:cs="Arial"/>
          <w:lang w:eastAsia="en-GB"/>
        </w:rPr>
        <w:t>. 16th edn. Harlow: Pearson.</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Kotter, J.P. (1996) </w:t>
      </w:r>
      <w:r w:rsidRPr="00B919A5">
        <w:rPr>
          <w:rFonts w:ascii="Arial" w:eastAsia="Times New Roman" w:hAnsi="Arial" w:cs="Arial"/>
          <w:iCs/>
          <w:lang w:eastAsia="en-GB"/>
        </w:rPr>
        <w:t>Leading Change</w:t>
      </w:r>
      <w:r w:rsidRPr="00B919A5">
        <w:rPr>
          <w:rFonts w:ascii="Arial" w:eastAsia="Times New Roman" w:hAnsi="Arial" w:cs="Arial"/>
          <w:lang w:eastAsia="en-GB"/>
        </w:rPr>
        <w:t>. Boston: Harvard Business School Press.</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Lewin, K. (1947) 'Frontiers in group dynamics', </w:t>
      </w:r>
      <w:r w:rsidRPr="00B919A5">
        <w:rPr>
          <w:rFonts w:ascii="Arial" w:eastAsia="Times New Roman" w:hAnsi="Arial" w:cs="Arial"/>
          <w:iCs/>
          <w:lang w:eastAsia="en-GB"/>
        </w:rPr>
        <w:t>Human Relations</w:t>
      </w:r>
      <w:r w:rsidRPr="00B919A5">
        <w:rPr>
          <w:rFonts w:ascii="Arial" w:eastAsia="Times New Roman" w:hAnsi="Arial" w:cs="Arial"/>
          <w:lang w:eastAsia="en-GB"/>
        </w:rPr>
        <w:t>, 1(1), pp. 5–41.</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Lewis, L.K. (2019) </w:t>
      </w:r>
      <w:r w:rsidRPr="00B919A5">
        <w:rPr>
          <w:rFonts w:ascii="Arial" w:eastAsia="Times New Roman" w:hAnsi="Arial" w:cs="Arial"/>
          <w:iCs/>
          <w:lang w:eastAsia="en-GB"/>
        </w:rPr>
        <w:t>Organizational Change: Creating Change Through Strategic Communication</w:t>
      </w:r>
      <w:r w:rsidRPr="00B919A5">
        <w:rPr>
          <w:rFonts w:ascii="Arial" w:eastAsia="Times New Roman" w:hAnsi="Arial" w:cs="Arial"/>
          <w:lang w:eastAsia="en-GB"/>
        </w:rPr>
        <w:t>. 2nd edn. Hoboken: John Wiley &amp; Sons.</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Northouse, P.G. (2022) </w:t>
      </w:r>
      <w:r w:rsidRPr="00B919A5">
        <w:rPr>
          <w:rFonts w:ascii="Arial" w:eastAsia="Times New Roman" w:hAnsi="Arial" w:cs="Arial"/>
          <w:iCs/>
          <w:lang w:eastAsia="en-GB"/>
        </w:rPr>
        <w:t>Leadership: Theory and Practice</w:t>
      </w:r>
      <w:r w:rsidRPr="00B919A5">
        <w:rPr>
          <w:rFonts w:ascii="Arial" w:eastAsia="Times New Roman" w:hAnsi="Arial" w:cs="Arial"/>
          <w:lang w:eastAsia="en-GB"/>
        </w:rPr>
        <w:t>. 9th edn. Thousand Oaks: Sage.</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NIST (2024) </w:t>
      </w:r>
      <w:r w:rsidRPr="00B919A5">
        <w:rPr>
          <w:rFonts w:ascii="Arial" w:eastAsia="Times New Roman" w:hAnsi="Arial" w:cs="Arial"/>
          <w:iCs/>
          <w:lang w:eastAsia="en-GB"/>
        </w:rPr>
        <w:t>Cybersecurity Framework (CSF) 2.0</w:t>
      </w:r>
      <w:r w:rsidRPr="00B919A5">
        <w:rPr>
          <w:rFonts w:ascii="Arial" w:eastAsia="Times New Roman" w:hAnsi="Arial" w:cs="Arial"/>
          <w:lang w:eastAsia="en-GB"/>
        </w:rPr>
        <w:t>. Gaithersburg, MD: National Institute of Standards and Technology.</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Porter, M.E. (1985) </w:t>
      </w:r>
      <w:r w:rsidRPr="00B919A5">
        <w:rPr>
          <w:rFonts w:ascii="Arial" w:eastAsia="Times New Roman" w:hAnsi="Arial" w:cs="Arial"/>
          <w:iCs/>
          <w:lang w:eastAsia="en-GB"/>
        </w:rPr>
        <w:t>Competitive Advantage: Creating and Sustaining Superior Performance</w:t>
      </w:r>
      <w:r w:rsidRPr="00B919A5">
        <w:rPr>
          <w:rFonts w:ascii="Arial" w:eastAsia="Times New Roman" w:hAnsi="Arial" w:cs="Arial"/>
          <w:lang w:eastAsia="en-GB"/>
        </w:rPr>
        <w:t>. New York: Free Press.</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Saunders, M., Lewis, P. and Thornhill, A. (2023) </w:t>
      </w:r>
      <w:r w:rsidRPr="00B919A5">
        <w:rPr>
          <w:rFonts w:ascii="Arial" w:eastAsia="Times New Roman" w:hAnsi="Arial" w:cs="Arial"/>
          <w:iCs/>
          <w:lang w:eastAsia="en-GB"/>
        </w:rPr>
        <w:t>Research Methods for Business Students</w:t>
      </w:r>
      <w:r w:rsidRPr="00B919A5">
        <w:rPr>
          <w:rFonts w:ascii="Arial" w:eastAsia="Times New Roman" w:hAnsi="Arial" w:cs="Arial"/>
          <w:lang w:eastAsia="en-GB"/>
        </w:rPr>
        <w:t>. 9th edn. Harlow: Pearson.</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Schein, E.H. and Schein, P.A. (2017) </w:t>
      </w:r>
      <w:r w:rsidRPr="00B919A5">
        <w:rPr>
          <w:rFonts w:ascii="Arial" w:eastAsia="Times New Roman" w:hAnsi="Arial" w:cs="Arial"/>
          <w:iCs/>
          <w:lang w:eastAsia="en-GB"/>
        </w:rPr>
        <w:t>Organizational Culture and Leadership</w:t>
      </w:r>
      <w:r w:rsidRPr="00B919A5">
        <w:rPr>
          <w:rFonts w:ascii="Arial" w:eastAsia="Times New Roman" w:hAnsi="Arial" w:cs="Arial"/>
          <w:lang w:eastAsia="en-GB"/>
        </w:rPr>
        <w:t>. 5th edn. Hoboken: John Wiley &amp; Sons.</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Teece, D.J. (2018) 'Business models and dynamic capabilities', </w:t>
      </w:r>
      <w:r w:rsidRPr="00B919A5">
        <w:rPr>
          <w:rFonts w:ascii="Arial" w:eastAsia="Times New Roman" w:hAnsi="Arial" w:cs="Arial"/>
          <w:iCs/>
          <w:lang w:eastAsia="en-GB"/>
        </w:rPr>
        <w:t>Long Range Planning</w:t>
      </w:r>
      <w:r w:rsidRPr="00B919A5">
        <w:rPr>
          <w:rFonts w:ascii="Arial" w:eastAsia="Times New Roman" w:hAnsi="Arial" w:cs="Arial"/>
          <w:lang w:eastAsia="en-GB"/>
        </w:rPr>
        <w:t>, 51(1), pp. 40–49.</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UK Government (2025) </w:t>
      </w:r>
      <w:r w:rsidRPr="00B919A5">
        <w:rPr>
          <w:rFonts w:ascii="Arial" w:eastAsia="Times New Roman" w:hAnsi="Arial" w:cs="Arial"/>
          <w:iCs/>
          <w:lang w:eastAsia="en-GB"/>
        </w:rPr>
        <w:t>Zero Emission Vehicle (ZEV) Mandate</w:t>
      </w:r>
      <w:r w:rsidRPr="00B919A5">
        <w:rPr>
          <w:rFonts w:ascii="Arial" w:eastAsia="Times New Roman" w:hAnsi="Arial" w:cs="Arial"/>
          <w:lang w:eastAsia="en-GB"/>
        </w:rPr>
        <w:t xml:space="preserve">. Available at: </w:t>
      </w:r>
      <w:hyperlink r:id="rId10" w:tgtFrame="_new" w:history="1">
        <w:r w:rsidRPr="00B919A5">
          <w:rPr>
            <w:rFonts w:ascii="Arial" w:eastAsia="Times New Roman" w:hAnsi="Arial" w:cs="Arial"/>
            <w:color w:val="0000FF"/>
            <w:u w:val="single"/>
            <w:lang w:eastAsia="en-GB"/>
          </w:rPr>
          <w:t>https://www.gov.uk</w:t>
        </w:r>
      </w:hyperlink>
      <w:r w:rsidRPr="00B919A5">
        <w:rPr>
          <w:rFonts w:ascii="Arial" w:eastAsia="Times New Roman" w:hAnsi="Arial" w:cs="Arial"/>
          <w:lang w:eastAsia="en-GB"/>
        </w:rPr>
        <w:t xml:space="preserve"> (Accessed: 19 July 2026).</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t xml:space="preserve">Vial, G. (2019) 'Understanding digital transformation: A review and a research agenda', </w:t>
      </w:r>
      <w:r w:rsidRPr="00B919A5">
        <w:rPr>
          <w:rFonts w:ascii="Arial" w:eastAsia="Times New Roman" w:hAnsi="Arial" w:cs="Arial"/>
          <w:iCs/>
          <w:lang w:eastAsia="en-GB"/>
        </w:rPr>
        <w:t>Journal of Strategic Information Systems</w:t>
      </w:r>
      <w:r w:rsidRPr="00B919A5">
        <w:rPr>
          <w:rFonts w:ascii="Arial" w:eastAsia="Times New Roman" w:hAnsi="Arial" w:cs="Arial"/>
          <w:lang w:eastAsia="en-GB"/>
        </w:rPr>
        <w:t>, 28(2), pp. 118–144.</w:t>
      </w:r>
    </w:p>
    <w:p w:rsidR="00B919A5" w:rsidRPr="00B919A5" w:rsidRDefault="00B919A5" w:rsidP="00B919A5">
      <w:pPr>
        <w:spacing w:before="100" w:beforeAutospacing="1" w:after="100" w:afterAutospacing="1" w:line="360" w:lineRule="auto"/>
        <w:rPr>
          <w:rFonts w:ascii="Arial" w:eastAsia="Times New Roman" w:hAnsi="Arial" w:cs="Arial"/>
          <w:lang w:eastAsia="en-GB"/>
        </w:rPr>
      </w:pPr>
      <w:r w:rsidRPr="00B919A5">
        <w:rPr>
          <w:rFonts w:ascii="Arial" w:eastAsia="Times New Roman" w:hAnsi="Arial" w:cs="Arial"/>
          <w:lang w:eastAsia="en-GB"/>
        </w:rPr>
        <w:lastRenderedPageBreak/>
        <w:t xml:space="preserve">Warner, K.S.R. and Wäger, M. (2019) 'Building dynamic capabilities for digital transformation: An ongoing process of strategic renewal', </w:t>
      </w:r>
      <w:r w:rsidRPr="00B919A5">
        <w:rPr>
          <w:rFonts w:ascii="Arial" w:eastAsia="Times New Roman" w:hAnsi="Arial" w:cs="Arial"/>
          <w:iCs/>
          <w:lang w:eastAsia="en-GB"/>
        </w:rPr>
        <w:t>Long Range Planning</w:t>
      </w:r>
      <w:r w:rsidRPr="00B919A5">
        <w:rPr>
          <w:rFonts w:ascii="Arial" w:eastAsia="Times New Roman" w:hAnsi="Arial" w:cs="Arial"/>
          <w:lang w:eastAsia="en-GB"/>
        </w:rPr>
        <w:t>, 52(3), pp. 326–349.</w:t>
      </w:r>
    </w:p>
    <w:p w:rsidR="00D82FAE" w:rsidRPr="00B919A5" w:rsidRDefault="00D82FAE" w:rsidP="00B919A5">
      <w:pPr>
        <w:spacing w:line="360" w:lineRule="auto"/>
        <w:rPr>
          <w:rFonts w:ascii="Arial" w:hAnsi="Arial" w:cs="Arial"/>
        </w:rPr>
      </w:pPr>
    </w:p>
    <w:sectPr w:rsidR="00D82FAE" w:rsidRPr="00B919A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106" w:rsidRDefault="00CA0106" w:rsidP="00627558">
      <w:pPr>
        <w:spacing w:after="0" w:line="240" w:lineRule="auto"/>
      </w:pPr>
      <w:r>
        <w:separator/>
      </w:r>
    </w:p>
  </w:endnote>
  <w:endnote w:type="continuationSeparator" w:id="0">
    <w:p w:rsidR="00CA0106" w:rsidRDefault="00CA0106" w:rsidP="00627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6331336"/>
      <w:docPartObj>
        <w:docPartGallery w:val="Page Numbers (Bottom of Page)"/>
        <w:docPartUnique/>
      </w:docPartObj>
    </w:sdtPr>
    <w:sdtContent>
      <w:p w:rsidR="00627558" w:rsidRDefault="00627558">
        <w:pPr>
          <w:pStyle w:val="Subsol"/>
        </w:pPr>
        <w:r>
          <w:fldChar w:fldCharType="begin"/>
        </w:r>
        <w:r>
          <w:instrText>PAGE   \* MERGEFORMAT</w:instrText>
        </w:r>
        <w:r>
          <w:fldChar w:fldCharType="separate"/>
        </w:r>
        <w:r w:rsidRPr="00627558">
          <w:rPr>
            <w:noProof/>
            <w:lang w:val="ro-RO"/>
          </w:rPr>
          <w:t>26</w:t>
        </w:r>
        <w:r>
          <w:fldChar w:fldCharType="end"/>
        </w:r>
      </w:p>
    </w:sdtContent>
  </w:sdt>
  <w:p w:rsidR="00627558" w:rsidRDefault="0062755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106" w:rsidRDefault="00CA0106" w:rsidP="00627558">
      <w:pPr>
        <w:spacing w:after="0" w:line="240" w:lineRule="auto"/>
      </w:pPr>
      <w:r>
        <w:separator/>
      </w:r>
    </w:p>
  </w:footnote>
  <w:footnote w:type="continuationSeparator" w:id="0">
    <w:p w:rsidR="00CA0106" w:rsidRDefault="00CA0106" w:rsidP="006275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0E0723"/>
    <w:multiLevelType w:val="multilevel"/>
    <w:tmpl w:val="0674DFFE"/>
    <w:lvl w:ilvl="0">
      <w:start w:val="1"/>
      <w:numFmt w:val="decimal"/>
      <w:lvlText w:val="%1."/>
      <w:lvlJc w:val="left"/>
      <w:pPr>
        <w:tabs>
          <w:tab w:val="num" w:pos="5038"/>
        </w:tabs>
        <w:ind w:left="5038" w:hanging="360"/>
      </w:pPr>
    </w:lvl>
    <w:lvl w:ilvl="1" w:tentative="1">
      <w:start w:val="1"/>
      <w:numFmt w:val="decimal"/>
      <w:lvlText w:val="%2."/>
      <w:lvlJc w:val="left"/>
      <w:pPr>
        <w:tabs>
          <w:tab w:val="num" w:pos="5758"/>
        </w:tabs>
        <w:ind w:left="5758" w:hanging="360"/>
      </w:pPr>
    </w:lvl>
    <w:lvl w:ilvl="2" w:tentative="1">
      <w:start w:val="1"/>
      <w:numFmt w:val="decimal"/>
      <w:lvlText w:val="%3."/>
      <w:lvlJc w:val="left"/>
      <w:pPr>
        <w:tabs>
          <w:tab w:val="num" w:pos="6478"/>
        </w:tabs>
        <w:ind w:left="6478" w:hanging="360"/>
      </w:pPr>
    </w:lvl>
    <w:lvl w:ilvl="3" w:tentative="1">
      <w:start w:val="1"/>
      <w:numFmt w:val="decimal"/>
      <w:lvlText w:val="%4."/>
      <w:lvlJc w:val="left"/>
      <w:pPr>
        <w:tabs>
          <w:tab w:val="num" w:pos="7198"/>
        </w:tabs>
        <w:ind w:left="7198" w:hanging="360"/>
      </w:pPr>
    </w:lvl>
    <w:lvl w:ilvl="4" w:tentative="1">
      <w:start w:val="1"/>
      <w:numFmt w:val="decimal"/>
      <w:lvlText w:val="%5."/>
      <w:lvlJc w:val="left"/>
      <w:pPr>
        <w:tabs>
          <w:tab w:val="num" w:pos="7918"/>
        </w:tabs>
        <w:ind w:left="7918" w:hanging="360"/>
      </w:pPr>
    </w:lvl>
    <w:lvl w:ilvl="5" w:tentative="1">
      <w:start w:val="1"/>
      <w:numFmt w:val="decimal"/>
      <w:lvlText w:val="%6."/>
      <w:lvlJc w:val="left"/>
      <w:pPr>
        <w:tabs>
          <w:tab w:val="num" w:pos="8638"/>
        </w:tabs>
        <w:ind w:left="8638" w:hanging="360"/>
      </w:pPr>
    </w:lvl>
    <w:lvl w:ilvl="6" w:tentative="1">
      <w:start w:val="1"/>
      <w:numFmt w:val="decimal"/>
      <w:lvlText w:val="%7."/>
      <w:lvlJc w:val="left"/>
      <w:pPr>
        <w:tabs>
          <w:tab w:val="num" w:pos="9358"/>
        </w:tabs>
        <w:ind w:left="9358" w:hanging="360"/>
      </w:pPr>
    </w:lvl>
    <w:lvl w:ilvl="7" w:tentative="1">
      <w:start w:val="1"/>
      <w:numFmt w:val="decimal"/>
      <w:lvlText w:val="%8."/>
      <w:lvlJc w:val="left"/>
      <w:pPr>
        <w:tabs>
          <w:tab w:val="num" w:pos="10078"/>
        </w:tabs>
        <w:ind w:left="10078" w:hanging="360"/>
      </w:pPr>
    </w:lvl>
    <w:lvl w:ilvl="8" w:tentative="1">
      <w:start w:val="1"/>
      <w:numFmt w:val="decimal"/>
      <w:lvlText w:val="%9."/>
      <w:lvlJc w:val="left"/>
      <w:pPr>
        <w:tabs>
          <w:tab w:val="num" w:pos="10798"/>
        </w:tabs>
        <w:ind w:left="10798" w:hanging="360"/>
      </w:pPr>
    </w:lvl>
  </w:abstractNum>
  <w:abstractNum w:abstractNumId="1">
    <w:nsid w:val="3F143399"/>
    <w:multiLevelType w:val="multilevel"/>
    <w:tmpl w:val="61B61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E1C"/>
    <w:rsid w:val="000F5E61"/>
    <w:rsid w:val="00231216"/>
    <w:rsid w:val="002C3A1C"/>
    <w:rsid w:val="002F6E1C"/>
    <w:rsid w:val="00341DD0"/>
    <w:rsid w:val="00627558"/>
    <w:rsid w:val="00672126"/>
    <w:rsid w:val="007927E2"/>
    <w:rsid w:val="008262BD"/>
    <w:rsid w:val="00873D76"/>
    <w:rsid w:val="00AD510F"/>
    <w:rsid w:val="00B508F6"/>
    <w:rsid w:val="00B919A5"/>
    <w:rsid w:val="00CA0106"/>
    <w:rsid w:val="00D82FAE"/>
    <w:rsid w:val="00E02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isselectedend">
    <w:name w:val="isselectedend"/>
    <w:basedOn w:val="Normal"/>
    <w:rsid w:val="00341D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Robust">
    <w:name w:val="Strong"/>
    <w:basedOn w:val="Fontdeparagrafimplicit"/>
    <w:uiPriority w:val="22"/>
    <w:qFormat/>
    <w:rsid w:val="00341DD0"/>
    <w:rPr>
      <w:b/>
      <w:bCs/>
    </w:rPr>
  </w:style>
  <w:style w:type="paragraph" w:styleId="NormalWeb">
    <w:name w:val="Normal (Web)"/>
    <w:basedOn w:val="Normal"/>
    <w:uiPriority w:val="99"/>
    <w:semiHidden/>
    <w:unhideWhenUsed/>
    <w:rsid w:val="00341D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dq2pgselectionanchorcontainer">
    <w:name w:val="pdq2pg_selectionanchorcontainer"/>
    <w:basedOn w:val="Normal"/>
    <w:rsid w:val="00873D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ntet">
    <w:name w:val="header"/>
    <w:basedOn w:val="Normal"/>
    <w:link w:val="AntetCaracter"/>
    <w:uiPriority w:val="99"/>
    <w:unhideWhenUsed/>
    <w:rsid w:val="0062755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27558"/>
  </w:style>
  <w:style w:type="paragraph" w:styleId="Subsol">
    <w:name w:val="footer"/>
    <w:basedOn w:val="Normal"/>
    <w:link w:val="SubsolCaracter"/>
    <w:uiPriority w:val="99"/>
    <w:unhideWhenUsed/>
    <w:rsid w:val="0062755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275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isselectedend">
    <w:name w:val="isselectedend"/>
    <w:basedOn w:val="Normal"/>
    <w:rsid w:val="00341D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Robust">
    <w:name w:val="Strong"/>
    <w:basedOn w:val="Fontdeparagrafimplicit"/>
    <w:uiPriority w:val="22"/>
    <w:qFormat/>
    <w:rsid w:val="00341DD0"/>
    <w:rPr>
      <w:b/>
      <w:bCs/>
    </w:rPr>
  </w:style>
  <w:style w:type="paragraph" w:styleId="NormalWeb">
    <w:name w:val="Normal (Web)"/>
    <w:basedOn w:val="Normal"/>
    <w:uiPriority w:val="99"/>
    <w:semiHidden/>
    <w:unhideWhenUsed/>
    <w:rsid w:val="00341D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dq2pgselectionanchorcontainer">
    <w:name w:val="pdq2pg_selectionanchorcontainer"/>
    <w:basedOn w:val="Normal"/>
    <w:rsid w:val="00873D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ntet">
    <w:name w:val="header"/>
    <w:basedOn w:val="Normal"/>
    <w:link w:val="AntetCaracter"/>
    <w:uiPriority w:val="99"/>
    <w:unhideWhenUsed/>
    <w:rsid w:val="0062755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27558"/>
  </w:style>
  <w:style w:type="paragraph" w:styleId="Subsol">
    <w:name w:val="footer"/>
    <w:basedOn w:val="Normal"/>
    <w:link w:val="SubsolCaracter"/>
    <w:uiPriority w:val="99"/>
    <w:unhideWhenUsed/>
    <w:rsid w:val="0062755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27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35145">
      <w:bodyDiv w:val="1"/>
      <w:marLeft w:val="0"/>
      <w:marRight w:val="0"/>
      <w:marTop w:val="0"/>
      <w:marBottom w:val="0"/>
      <w:divBdr>
        <w:top w:val="none" w:sz="0" w:space="0" w:color="auto"/>
        <w:left w:val="none" w:sz="0" w:space="0" w:color="auto"/>
        <w:bottom w:val="none" w:sz="0" w:space="0" w:color="auto"/>
        <w:right w:val="none" w:sz="0" w:space="0" w:color="auto"/>
      </w:divBdr>
    </w:div>
    <w:div w:id="144398817">
      <w:bodyDiv w:val="1"/>
      <w:marLeft w:val="0"/>
      <w:marRight w:val="0"/>
      <w:marTop w:val="0"/>
      <w:marBottom w:val="0"/>
      <w:divBdr>
        <w:top w:val="none" w:sz="0" w:space="0" w:color="auto"/>
        <w:left w:val="none" w:sz="0" w:space="0" w:color="auto"/>
        <w:bottom w:val="none" w:sz="0" w:space="0" w:color="auto"/>
        <w:right w:val="none" w:sz="0" w:space="0" w:color="auto"/>
      </w:divBdr>
    </w:div>
    <w:div w:id="156503891">
      <w:bodyDiv w:val="1"/>
      <w:marLeft w:val="0"/>
      <w:marRight w:val="0"/>
      <w:marTop w:val="0"/>
      <w:marBottom w:val="0"/>
      <w:divBdr>
        <w:top w:val="none" w:sz="0" w:space="0" w:color="auto"/>
        <w:left w:val="none" w:sz="0" w:space="0" w:color="auto"/>
        <w:bottom w:val="none" w:sz="0" w:space="0" w:color="auto"/>
        <w:right w:val="none" w:sz="0" w:space="0" w:color="auto"/>
      </w:divBdr>
      <w:divsChild>
        <w:div w:id="1486437140">
          <w:marLeft w:val="0"/>
          <w:marRight w:val="0"/>
          <w:marTop w:val="0"/>
          <w:marBottom w:val="0"/>
          <w:divBdr>
            <w:top w:val="none" w:sz="0" w:space="0" w:color="auto"/>
            <w:left w:val="none" w:sz="0" w:space="0" w:color="auto"/>
            <w:bottom w:val="none" w:sz="0" w:space="0" w:color="auto"/>
            <w:right w:val="none" w:sz="0" w:space="0" w:color="auto"/>
          </w:divBdr>
          <w:divsChild>
            <w:div w:id="719863821">
              <w:marLeft w:val="0"/>
              <w:marRight w:val="0"/>
              <w:marTop w:val="0"/>
              <w:marBottom w:val="0"/>
              <w:divBdr>
                <w:top w:val="none" w:sz="0" w:space="0" w:color="auto"/>
                <w:left w:val="none" w:sz="0" w:space="0" w:color="auto"/>
                <w:bottom w:val="none" w:sz="0" w:space="0" w:color="auto"/>
                <w:right w:val="none" w:sz="0" w:space="0" w:color="auto"/>
              </w:divBdr>
              <w:divsChild>
                <w:div w:id="2000038709">
                  <w:marLeft w:val="0"/>
                  <w:marRight w:val="0"/>
                  <w:marTop w:val="0"/>
                  <w:marBottom w:val="0"/>
                  <w:divBdr>
                    <w:top w:val="none" w:sz="0" w:space="0" w:color="auto"/>
                    <w:left w:val="none" w:sz="0" w:space="0" w:color="auto"/>
                    <w:bottom w:val="none" w:sz="0" w:space="0" w:color="auto"/>
                    <w:right w:val="none" w:sz="0" w:space="0" w:color="auto"/>
                  </w:divBdr>
                  <w:divsChild>
                    <w:div w:id="1510828950">
                      <w:marLeft w:val="0"/>
                      <w:marRight w:val="0"/>
                      <w:marTop w:val="0"/>
                      <w:marBottom w:val="0"/>
                      <w:divBdr>
                        <w:top w:val="none" w:sz="0" w:space="0" w:color="auto"/>
                        <w:left w:val="none" w:sz="0" w:space="0" w:color="auto"/>
                        <w:bottom w:val="none" w:sz="0" w:space="0" w:color="auto"/>
                        <w:right w:val="none" w:sz="0" w:space="0" w:color="auto"/>
                      </w:divBdr>
                      <w:divsChild>
                        <w:div w:id="1340346725">
                          <w:marLeft w:val="0"/>
                          <w:marRight w:val="0"/>
                          <w:marTop w:val="0"/>
                          <w:marBottom w:val="0"/>
                          <w:divBdr>
                            <w:top w:val="none" w:sz="0" w:space="0" w:color="auto"/>
                            <w:left w:val="none" w:sz="0" w:space="0" w:color="auto"/>
                            <w:bottom w:val="none" w:sz="0" w:space="0" w:color="auto"/>
                            <w:right w:val="none" w:sz="0" w:space="0" w:color="auto"/>
                          </w:divBdr>
                          <w:divsChild>
                            <w:div w:id="1458066186">
                              <w:marLeft w:val="0"/>
                              <w:marRight w:val="0"/>
                              <w:marTop w:val="0"/>
                              <w:marBottom w:val="0"/>
                              <w:divBdr>
                                <w:top w:val="none" w:sz="0" w:space="0" w:color="auto"/>
                                <w:left w:val="none" w:sz="0" w:space="0" w:color="auto"/>
                                <w:bottom w:val="none" w:sz="0" w:space="0" w:color="auto"/>
                                <w:right w:val="none" w:sz="0" w:space="0" w:color="auto"/>
                              </w:divBdr>
                              <w:divsChild>
                                <w:div w:id="66520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6447356">
      <w:bodyDiv w:val="1"/>
      <w:marLeft w:val="0"/>
      <w:marRight w:val="0"/>
      <w:marTop w:val="0"/>
      <w:marBottom w:val="0"/>
      <w:divBdr>
        <w:top w:val="none" w:sz="0" w:space="0" w:color="auto"/>
        <w:left w:val="none" w:sz="0" w:space="0" w:color="auto"/>
        <w:bottom w:val="none" w:sz="0" w:space="0" w:color="auto"/>
        <w:right w:val="none" w:sz="0" w:space="0" w:color="auto"/>
      </w:divBdr>
    </w:div>
    <w:div w:id="343243745">
      <w:bodyDiv w:val="1"/>
      <w:marLeft w:val="0"/>
      <w:marRight w:val="0"/>
      <w:marTop w:val="0"/>
      <w:marBottom w:val="0"/>
      <w:divBdr>
        <w:top w:val="none" w:sz="0" w:space="0" w:color="auto"/>
        <w:left w:val="none" w:sz="0" w:space="0" w:color="auto"/>
        <w:bottom w:val="none" w:sz="0" w:space="0" w:color="auto"/>
        <w:right w:val="none" w:sz="0" w:space="0" w:color="auto"/>
      </w:divBdr>
      <w:divsChild>
        <w:div w:id="1418288612">
          <w:marLeft w:val="0"/>
          <w:marRight w:val="0"/>
          <w:marTop w:val="0"/>
          <w:marBottom w:val="0"/>
          <w:divBdr>
            <w:top w:val="none" w:sz="0" w:space="0" w:color="auto"/>
            <w:left w:val="none" w:sz="0" w:space="0" w:color="auto"/>
            <w:bottom w:val="none" w:sz="0" w:space="0" w:color="auto"/>
            <w:right w:val="none" w:sz="0" w:space="0" w:color="auto"/>
          </w:divBdr>
          <w:divsChild>
            <w:div w:id="148068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557782">
      <w:bodyDiv w:val="1"/>
      <w:marLeft w:val="0"/>
      <w:marRight w:val="0"/>
      <w:marTop w:val="0"/>
      <w:marBottom w:val="0"/>
      <w:divBdr>
        <w:top w:val="none" w:sz="0" w:space="0" w:color="auto"/>
        <w:left w:val="none" w:sz="0" w:space="0" w:color="auto"/>
        <w:bottom w:val="none" w:sz="0" w:space="0" w:color="auto"/>
        <w:right w:val="none" w:sz="0" w:space="0" w:color="auto"/>
      </w:divBdr>
    </w:div>
    <w:div w:id="489978380">
      <w:bodyDiv w:val="1"/>
      <w:marLeft w:val="0"/>
      <w:marRight w:val="0"/>
      <w:marTop w:val="0"/>
      <w:marBottom w:val="0"/>
      <w:divBdr>
        <w:top w:val="none" w:sz="0" w:space="0" w:color="auto"/>
        <w:left w:val="none" w:sz="0" w:space="0" w:color="auto"/>
        <w:bottom w:val="none" w:sz="0" w:space="0" w:color="auto"/>
        <w:right w:val="none" w:sz="0" w:space="0" w:color="auto"/>
      </w:divBdr>
    </w:div>
    <w:div w:id="501972733">
      <w:bodyDiv w:val="1"/>
      <w:marLeft w:val="0"/>
      <w:marRight w:val="0"/>
      <w:marTop w:val="0"/>
      <w:marBottom w:val="0"/>
      <w:divBdr>
        <w:top w:val="none" w:sz="0" w:space="0" w:color="auto"/>
        <w:left w:val="none" w:sz="0" w:space="0" w:color="auto"/>
        <w:bottom w:val="none" w:sz="0" w:space="0" w:color="auto"/>
        <w:right w:val="none" w:sz="0" w:space="0" w:color="auto"/>
      </w:divBdr>
    </w:div>
    <w:div w:id="557712836">
      <w:bodyDiv w:val="1"/>
      <w:marLeft w:val="0"/>
      <w:marRight w:val="0"/>
      <w:marTop w:val="0"/>
      <w:marBottom w:val="0"/>
      <w:divBdr>
        <w:top w:val="none" w:sz="0" w:space="0" w:color="auto"/>
        <w:left w:val="none" w:sz="0" w:space="0" w:color="auto"/>
        <w:bottom w:val="none" w:sz="0" w:space="0" w:color="auto"/>
        <w:right w:val="none" w:sz="0" w:space="0" w:color="auto"/>
      </w:divBdr>
      <w:divsChild>
        <w:div w:id="76440457">
          <w:marLeft w:val="0"/>
          <w:marRight w:val="0"/>
          <w:marTop w:val="0"/>
          <w:marBottom w:val="0"/>
          <w:divBdr>
            <w:top w:val="none" w:sz="0" w:space="0" w:color="auto"/>
            <w:left w:val="none" w:sz="0" w:space="0" w:color="auto"/>
            <w:bottom w:val="none" w:sz="0" w:space="0" w:color="auto"/>
            <w:right w:val="none" w:sz="0" w:space="0" w:color="auto"/>
          </w:divBdr>
          <w:divsChild>
            <w:div w:id="196111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200994">
      <w:bodyDiv w:val="1"/>
      <w:marLeft w:val="0"/>
      <w:marRight w:val="0"/>
      <w:marTop w:val="0"/>
      <w:marBottom w:val="0"/>
      <w:divBdr>
        <w:top w:val="none" w:sz="0" w:space="0" w:color="auto"/>
        <w:left w:val="none" w:sz="0" w:space="0" w:color="auto"/>
        <w:bottom w:val="none" w:sz="0" w:space="0" w:color="auto"/>
        <w:right w:val="none" w:sz="0" w:space="0" w:color="auto"/>
      </w:divBdr>
    </w:div>
    <w:div w:id="694237932">
      <w:bodyDiv w:val="1"/>
      <w:marLeft w:val="0"/>
      <w:marRight w:val="0"/>
      <w:marTop w:val="0"/>
      <w:marBottom w:val="0"/>
      <w:divBdr>
        <w:top w:val="none" w:sz="0" w:space="0" w:color="auto"/>
        <w:left w:val="none" w:sz="0" w:space="0" w:color="auto"/>
        <w:bottom w:val="none" w:sz="0" w:space="0" w:color="auto"/>
        <w:right w:val="none" w:sz="0" w:space="0" w:color="auto"/>
      </w:divBdr>
    </w:div>
    <w:div w:id="833688543">
      <w:bodyDiv w:val="1"/>
      <w:marLeft w:val="0"/>
      <w:marRight w:val="0"/>
      <w:marTop w:val="0"/>
      <w:marBottom w:val="0"/>
      <w:divBdr>
        <w:top w:val="none" w:sz="0" w:space="0" w:color="auto"/>
        <w:left w:val="none" w:sz="0" w:space="0" w:color="auto"/>
        <w:bottom w:val="none" w:sz="0" w:space="0" w:color="auto"/>
        <w:right w:val="none" w:sz="0" w:space="0" w:color="auto"/>
      </w:divBdr>
      <w:divsChild>
        <w:div w:id="204683396">
          <w:marLeft w:val="0"/>
          <w:marRight w:val="0"/>
          <w:marTop w:val="0"/>
          <w:marBottom w:val="0"/>
          <w:divBdr>
            <w:top w:val="none" w:sz="0" w:space="0" w:color="auto"/>
            <w:left w:val="none" w:sz="0" w:space="0" w:color="auto"/>
            <w:bottom w:val="none" w:sz="0" w:space="0" w:color="auto"/>
            <w:right w:val="none" w:sz="0" w:space="0" w:color="auto"/>
          </w:divBdr>
          <w:divsChild>
            <w:div w:id="195953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60737">
      <w:bodyDiv w:val="1"/>
      <w:marLeft w:val="0"/>
      <w:marRight w:val="0"/>
      <w:marTop w:val="0"/>
      <w:marBottom w:val="0"/>
      <w:divBdr>
        <w:top w:val="none" w:sz="0" w:space="0" w:color="auto"/>
        <w:left w:val="none" w:sz="0" w:space="0" w:color="auto"/>
        <w:bottom w:val="none" w:sz="0" w:space="0" w:color="auto"/>
        <w:right w:val="none" w:sz="0" w:space="0" w:color="auto"/>
      </w:divBdr>
    </w:div>
    <w:div w:id="1027561558">
      <w:bodyDiv w:val="1"/>
      <w:marLeft w:val="0"/>
      <w:marRight w:val="0"/>
      <w:marTop w:val="0"/>
      <w:marBottom w:val="0"/>
      <w:divBdr>
        <w:top w:val="none" w:sz="0" w:space="0" w:color="auto"/>
        <w:left w:val="none" w:sz="0" w:space="0" w:color="auto"/>
        <w:bottom w:val="none" w:sz="0" w:space="0" w:color="auto"/>
        <w:right w:val="none" w:sz="0" w:space="0" w:color="auto"/>
      </w:divBdr>
      <w:divsChild>
        <w:div w:id="1700089152">
          <w:marLeft w:val="0"/>
          <w:marRight w:val="0"/>
          <w:marTop w:val="0"/>
          <w:marBottom w:val="0"/>
          <w:divBdr>
            <w:top w:val="none" w:sz="0" w:space="0" w:color="auto"/>
            <w:left w:val="none" w:sz="0" w:space="0" w:color="auto"/>
            <w:bottom w:val="none" w:sz="0" w:space="0" w:color="auto"/>
            <w:right w:val="none" w:sz="0" w:space="0" w:color="auto"/>
          </w:divBdr>
          <w:divsChild>
            <w:div w:id="51970231">
              <w:marLeft w:val="0"/>
              <w:marRight w:val="0"/>
              <w:marTop w:val="0"/>
              <w:marBottom w:val="0"/>
              <w:divBdr>
                <w:top w:val="none" w:sz="0" w:space="0" w:color="auto"/>
                <w:left w:val="none" w:sz="0" w:space="0" w:color="auto"/>
                <w:bottom w:val="none" w:sz="0" w:space="0" w:color="auto"/>
                <w:right w:val="none" w:sz="0" w:space="0" w:color="auto"/>
              </w:divBdr>
              <w:divsChild>
                <w:div w:id="1693920483">
                  <w:marLeft w:val="0"/>
                  <w:marRight w:val="0"/>
                  <w:marTop w:val="0"/>
                  <w:marBottom w:val="0"/>
                  <w:divBdr>
                    <w:top w:val="none" w:sz="0" w:space="0" w:color="auto"/>
                    <w:left w:val="none" w:sz="0" w:space="0" w:color="auto"/>
                    <w:bottom w:val="none" w:sz="0" w:space="0" w:color="auto"/>
                    <w:right w:val="none" w:sz="0" w:space="0" w:color="auto"/>
                  </w:divBdr>
                  <w:divsChild>
                    <w:div w:id="900942145">
                      <w:marLeft w:val="0"/>
                      <w:marRight w:val="0"/>
                      <w:marTop w:val="0"/>
                      <w:marBottom w:val="0"/>
                      <w:divBdr>
                        <w:top w:val="none" w:sz="0" w:space="0" w:color="auto"/>
                        <w:left w:val="none" w:sz="0" w:space="0" w:color="auto"/>
                        <w:bottom w:val="none" w:sz="0" w:space="0" w:color="auto"/>
                        <w:right w:val="none" w:sz="0" w:space="0" w:color="auto"/>
                      </w:divBdr>
                      <w:divsChild>
                        <w:div w:id="1207789877">
                          <w:marLeft w:val="0"/>
                          <w:marRight w:val="0"/>
                          <w:marTop w:val="0"/>
                          <w:marBottom w:val="0"/>
                          <w:divBdr>
                            <w:top w:val="none" w:sz="0" w:space="0" w:color="auto"/>
                            <w:left w:val="none" w:sz="0" w:space="0" w:color="auto"/>
                            <w:bottom w:val="none" w:sz="0" w:space="0" w:color="auto"/>
                            <w:right w:val="none" w:sz="0" w:space="0" w:color="auto"/>
                          </w:divBdr>
                          <w:divsChild>
                            <w:div w:id="148126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5811914">
      <w:bodyDiv w:val="1"/>
      <w:marLeft w:val="0"/>
      <w:marRight w:val="0"/>
      <w:marTop w:val="0"/>
      <w:marBottom w:val="0"/>
      <w:divBdr>
        <w:top w:val="none" w:sz="0" w:space="0" w:color="auto"/>
        <w:left w:val="none" w:sz="0" w:space="0" w:color="auto"/>
        <w:bottom w:val="none" w:sz="0" w:space="0" w:color="auto"/>
        <w:right w:val="none" w:sz="0" w:space="0" w:color="auto"/>
      </w:divBdr>
      <w:divsChild>
        <w:div w:id="1820724323">
          <w:marLeft w:val="0"/>
          <w:marRight w:val="0"/>
          <w:marTop w:val="0"/>
          <w:marBottom w:val="0"/>
          <w:divBdr>
            <w:top w:val="none" w:sz="0" w:space="0" w:color="auto"/>
            <w:left w:val="none" w:sz="0" w:space="0" w:color="auto"/>
            <w:bottom w:val="none" w:sz="0" w:space="0" w:color="auto"/>
            <w:right w:val="none" w:sz="0" w:space="0" w:color="auto"/>
          </w:divBdr>
          <w:divsChild>
            <w:div w:id="110418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91492">
      <w:bodyDiv w:val="1"/>
      <w:marLeft w:val="0"/>
      <w:marRight w:val="0"/>
      <w:marTop w:val="0"/>
      <w:marBottom w:val="0"/>
      <w:divBdr>
        <w:top w:val="none" w:sz="0" w:space="0" w:color="auto"/>
        <w:left w:val="none" w:sz="0" w:space="0" w:color="auto"/>
        <w:bottom w:val="none" w:sz="0" w:space="0" w:color="auto"/>
        <w:right w:val="none" w:sz="0" w:space="0" w:color="auto"/>
      </w:divBdr>
    </w:div>
    <w:div w:id="1287464024">
      <w:bodyDiv w:val="1"/>
      <w:marLeft w:val="0"/>
      <w:marRight w:val="0"/>
      <w:marTop w:val="0"/>
      <w:marBottom w:val="0"/>
      <w:divBdr>
        <w:top w:val="none" w:sz="0" w:space="0" w:color="auto"/>
        <w:left w:val="none" w:sz="0" w:space="0" w:color="auto"/>
        <w:bottom w:val="none" w:sz="0" w:space="0" w:color="auto"/>
        <w:right w:val="none" w:sz="0" w:space="0" w:color="auto"/>
      </w:divBdr>
    </w:div>
    <w:div w:id="1494683842">
      <w:bodyDiv w:val="1"/>
      <w:marLeft w:val="0"/>
      <w:marRight w:val="0"/>
      <w:marTop w:val="0"/>
      <w:marBottom w:val="0"/>
      <w:divBdr>
        <w:top w:val="none" w:sz="0" w:space="0" w:color="auto"/>
        <w:left w:val="none" w:sz="0" w:space="0" w:color="auto"/>
        <w:bottom w:val="none" w:sz="0" w:space="0" w:color="auto"/>
        <w:right w:val="none" w:sz="0" w:space="0" w:color="auto"/>
      </w:divBdr>
      <w:divsChild>
        <w:div w:id="793789067">
          <w:marLeft w:val="0"/>
          <w:marRight w:val="0"/>
          <w:marTop w:val="0"/>
          <w:marBottom w:val="0"/>
          <w:divBdr>
            <w:top w:val="none" w:sz="0" w:space="0" w:color="auto"/>
            <w:left w:val="none" w:sz="0" w:space="0" w:color="auto"/>
            <w:bottom w:val="none" w:sz="0" w:space="0" w:color="auto"/>
            <w:right w:val="none" w:sz="0" w:space="0" w:color="auto"/>
          </w:divBdr>
          <w:divsChild>
            <w:div w:id="1282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792439">
      <w:bodyDiv w:val="1"/>
      <w:marLeft w:val="0"/>
      <w:marRight w:val="0"/>
      <w:marTop w:val="0"/>
      <w:marBottom w:val="0"/>
      <w:divBdr>
        <w:top w:val="none" w:sz="0" w:space="0" w:color="auto"/>
        <w:left w:val="none" w:sz="0" w:space="0" w:color="auto"/>
        <w:bottom w:val="none" w:sz="0" w:space="0" w:color="auto"/>
        <w:right w:val="none" w:sz="0" w:space="0" w:color="auto"/>
      </w:divBdr>
    </w:div>
    <w:div w:id="1588465398">
      <w:bodyDiv w:val="1"/>
      <w:marLeft w:val="0"/>
      <w:marRight w:val="0"/>
      <w:marTop w:val="0"/>
      <w:marBottom w:val="0"/>
      <w:divBdr>
        <w:top w:val="none" w:sz="0" w:space="0" w:color="auto"/>
        <w:left w:val="none" w:sz="0" w:space="0" w:color="auto"/>
        <w:bottom w:val="none" w:sz="0" w:space="0" w:color="auto"/>
        <w:right w:val="none" w:sz="0" w:space="0" w:color="auto"/>
      </w:divBdr>
    </w:div>
    <w:div w:id="1592199304">
      <w:bodyDiv w:val="1"/>
      <w:marLeft w:val="0"/>
      <w:marRight w:val="0"/>
      <w:marTop w:val="0"/>
      <w:marBottom w:val="0"/>
      <w:divBdr>
        <w:top w:val="none" w:sz="0" w:space="0" w:color="auto"/>
        <w:left w:val="none" w:sz="0" w:space="0" w:color="auto"/>
        <w:bottom w:val="none" w:sz="0" w:space="0" w:color="auto"/>
        <w:right w:val="none" w:sz="0" w:space="0" w:color="auto"/>
      </w:divBdr>
    </w:div>
    <w:div w:id="1645700898">
      <w:bodyDiv w:val="1"/>
      <w:marLeft w:val="0"/>
      <w:marRight w:val="0"/>
      <w:marTop w:val="0"/>
      <w:marBottom w:val="0"/>
      <w:divBdr>
        <w:top w:val="none" w:sz="0" w:space="0" w:color="auto"/>
        <w:left w:val="none" w:sz="0" w:space="0" w:color="auto"/>
        <w:bottom w:val="none" w:sz="0" w:space="0" w:color="auto"/>
        <w:right w:val="none" w:sz="0" w:space="0" w:color="auto"/>
      </w:divBdr>
    </w:div>
    <w:div w:id="1676952482">
      <w:bodyDiv w:val="1"/>
      <w:marLeft w:val="0"/>
      <w:marRight w:val="0"/>
      <w:marTop w:val="0"/>
      <w:marBottom w:val="0"/>
      <w:divBdr>
        <w:top w:val="none" w:sz="0" w:space="0" w:color="auto"/>
        <w:left w:val="none" w:sz="0" w:space="0" w:color="auto"/>
        <w:bottom w:val="none" w:sz="0" w:space="0" w:color="auto"/>
        <w:right w:val="none" w:sz="0" w:space="0" w:color="auto"/>
      </w:divBdr>
    </w:div>
    <w:div w:id="1689019704">
      <w:bodyDiv w:val="1"/>
      <w:marLeft w:val="0"/>
      <w:marRight w:val="0"/>
      <w:marTop w:val="0"/>
      <w:marBottom w:val="0"/>
      <w:divBdr>
        <w:top w:val="none" w:sz="0" w:space="0" w:color="auto"/>
        <w:left w:val="none" w:sz="0" w:space="0" w:color="auto"/>
        <w:bottom w:val="none" w:sz="0" w:space="0" w:color="auto"/>
        <w:right w:val="none" w:sz="0" w:space="0" w:color="auto"/>
      </w:divBdr>
    </w:div>
    <w:div w:id="1841234716">
      <w:bodyDiv w:val="1"/>
      <w:marLeft w:val="0"/>
      <w:marRight w:val="0"/>
      <w:marTop w:val="0"/>
      <w:marBottom w:val="0"/>
      <w:divBdr>
        <w:top w:val="none" w:sz="0" w:space="0" w:color="auto"/>
        <w:left w:val="none" w:sz="0" w:space="0" w:color="auto"/>
        <w:bottom w:val="none" w:sz="0" w:space="0" w:color="auto"/>
        <w:right w:val="none" w:sz="0" w:space="0" w:color="auto"/>
      </w:divBdr>
    </w:div>
    <w:div w:id="1940872756">
      <w:bodyDiv w:val="1"/>
      <w:marLeft w:val="0"/>
      <w:marRight w:val="0"/>
      <w:marTop w:val="0"/>
      <w:marBottom w:val="0"/>
      <w:divBdr>
        <w:top w:val="none" w:sz="0" w:space="0" w:color="auto"/>
        <w:left w:val="none" w:sz="0" w:space="0" w:color="auto"/>
        <w:bottom w:val="none" w:sz="0" w:space="0" w:color="auto"/>
        <w:right w:val="none" w:sz="0" w:space="0" w:color="auto"/>
      </w:divBdr>
    </w:div>
    <w:div w:id="211027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gov.uk" TargetMode="External"/><Relationship Id="rId4" Type="http://schemas.microsoft.com/office/2007/relationships/stylesWithEffects" Target="stylesWithEffects.xml"/><Relationship Id="rId9" Type="http://schemas.openxmlformats.org/officeDocument/2006/relationships/hyperlink" Target="https://www.jaguarlandrover.com?utm_source=chatgpt.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AEEEB-0E64-4A26-8971-E80B2DDA8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29</Pages>
  <Words>7037</Words>
  <Characters>40112</Characters>
  <Application>Microsoft Office Word</Application>
  <DocSecurity>0</DocSecurity>
  <Lines>334</Lines>
  <Paragraphs>94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47055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2026-07-19T13:56:00Z</dcterms:created>
  <dcterms:modified xsi:type="dcterms:W3CDTF">2026-07-19T18:22:00Z</dcterms:modified>
</cp:coreProperties>
</file>