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240" w:lineRule="auto"/>
        <w:ind w:left="-180" w:right="-334" w:firstLine="0"/>
        <w:contextualSpacing w:val="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114300" distR="114300">
            <wp:extent cx="2058035" cy="856615"/>
            <wp:effectExtent b="0" l="0" r="0" t="0"/>
            <wp:docPr descr="C:\Users\ablettm\AppData\Local\Microsoft\Windows\Temporary Internet Files\Content.Outlook\R41HOZLM\UWTSD Logo.jpg" id="1" name="image2.jpg"/>
            <a:graphic>
              <a:graphicData uri="http://schemas.openxmlformats.org/drawingml/2006/picture">
                <pic:pic>
                  <pic:nvPicPr>
                    <pic:cNvPr descr="C:\Users\ablettm\AppData\Local\Microsoft\Windows\Temporary Internet Files\Content.Outlook\R41HOZLM\UWTSD Logo.jpg" id="0" name="image2.jpg"/>
                    <pic:cNvPicPr preferRelativeResize="0"/>
                  </pic:nvPicPr>
                  <pic:blipFill>
                    <a:blip r:embed="rId7"/>
                    <a:srcRect b="0" l="0" r="0" t="0"/>
                    <a:stretch>
                      <a:fillRect/>
                    </a:stretch>
                  </pic:blipFill>
                  <pic:spPr>
                    <a:xfrm>
                      <a:off x="0" y="0"/>
                      <a:ext cx="2058035" cy="856615"/>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spacing w:line="240" w:lineRule="auto"/>
        <w:ind w:left="-180" w:right="-334" w:firstLine="0"/>
        <w:contextualSpacing w:val="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2">
      <w:pPr>
        <w:spacing w:line="240" w:lineRule="auto"/>
        <w:ind w:left="-180" w:right="-334" w:firstLine="0"/>
        <w:contextualSpacing w:val="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contextualSpacing w:val="0"/>
        <w:jc w:val="center"/>
        <w:rPr>
          <w:sz w:val="28"/>
          <w:szCs w:val="28"/>
        </w:rPr>
      </w:pPr>
      <w:r w:rsidDel="00000000" w:rsidR="00000000" w:rsidRPr="00000000">
        <w:rPr>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4">
      <w:pPr>
        <w:spacing w:line="240" w:lineRule="auto"/>
        <w:ind w:left="-180" w:right="-334" w:firstLine="0"/>
        <w:contextualSpacing w:val="0"/>
        <w:jc w:val="center"/>
        <w:rPr>
          <w:sz w:val="28"/>
          <w:szCs w:val="28"/>
        </w:rPr>
      </w:pPr>
      <w:r w:rsidDel="00000000" w:rsidR="00000000" w:rsidRPr="00000000">
        <w:rPr>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5">
      <w:pPr>
        <w:spacing w:line="240" w:lineRule="auto"/>
        <w:contextualSpacing w:val="0"/>
        <w:rPr>
          <w:sz w:val="28"/>
          <w:szCs w:val="28"/>
        </w:rPr>
      </w:pPr>
      <w:r w:rsidDel="00000000" w:rsidR="00000000" w:rsidRPr="00000000">
        <w:rPr>
          <w:rtl w:val="0"/>
        </w:rPr>
      </w:r>
    </w:p>
    <w:p w:rsidR="00000000" w:rsidDel="00000000" w:rsidP="00000000" w:rsidRDefault="00000000" w:rsidRPr="00000000" w14:paraId="00000006">
      <w:pPr>
        <w:pStyle w:val="Heading3"/>
        <w:keepLines w:val="0"/>
        <w:spacing w:after="0" w:before="0" w:line="240" w:lineRule="auto"/>
        <w:ind w:left="720" w:firstLine="0"/>
        <w:contextualSpacing w:val="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7">
      <w:pPr>
        <w:pStyle w:val="Heading3"/>
        <w:keepLines w:val="0"/>
        <w:spacing w:after="0" w:before="0" w:line="240" w:lineRule="auto"/>
        <w:ind w:left="720" w:firstLine="0"/>
        <w:contextualSpacing w:val="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trHeight w:val="600" w:hRule="atLeast"/>
        </w:trPr>
        <w:tc>
          <w:tcPr>
            <w:gridSpan w:val="5"/>
            <w:vAlign w:val="top"/>
          </w:tcPr>
          <w:p w:rsidR="00000000" w:rsidDel="00000000" w:rsidP="00000000" w:rsidRDefault="00000000" w:rsidRPr="00000000" w14:paraId="00000008">
            <w:pPr>
              <w:spacing w:line="240" w:lineRule="auto"/>
              <w:ind w:right="34"/>
              <w:contextualSpacing w:val="0"/>
              <w:rPr/>
            </w:pPr>
            <w:r w:rsidDel="00000000" w:rsidR="00000000" w:rsidRPr="00000000">
              <w:rPr>
                <w:b w:val="1"/>
                <w:rtl w:val="0"/>
              </w:rPr>
              <w:t xml:space="preserve">For completion by the student</w:t>
            </w:r>
            <w:r w:rsidDel="00000000" w:rsidR="00000000" w:rsidRPr="00000000">
              <w:rPr>
                <w:rtl w:val="0"/>
              </w:rPr>
              <w:t xml:space="preserve">:</w:t>
            </w:r>
          </w:p>
        </w:tc>
      </w:tr>
      <w:tr>
        <w:trPr>
          <w:trHeight w:val="700" w:hRule="atLeast"/>
        </w:trPr>
        <w:tc>
          <w:tcPr>
            <w:gridSpan w:val="5"/>
            <w:vAlign w:val="top"/>
          </w:tcPr>
          <w:p w:rsidR="00000000" w:rsidDel="00000000" w:rsidP="00000000" w:rsidRDefault="00000000" w:rsidRPr="00000000" w14:paraId="0000000D">
            <w:pPr>
              <w:spacing w:line="240" w:lineRule="auto"/>
              <w:ind w:right="34"/>
              <w:contextualSpacing w:val="0"/>
              <w:rPr/>
            </w:pPr>
            <w:r w:rsidDel="00000000" w:rsidR="00000000" w:rsidRPr="00000000">
              <w:rPr>
                <w:rtl w:val="0"/>
              </w:rPr>
              <w:t xml:space="preserve">Student Name: REBECCA ROBERTS</w:t>
            </w:r>
          </w:p>
          <w:p w:rsidR="00000000" w:rsidDel="00000000" w:rsidP="00000000" w:rsidRDefault="00000000" w:rsidRPr="00000000" w14:paraId="0000000E">
            <w:pPr>
              <w:spacing w:line="240" w:lineRule="auto"/>
              <w:ind w:right="34"/>
              <w:contextualSpacing w:val="0"/>
              <w:rPr/>
            </w:pPr>
            <w:r w:rsidDel="00000000" w:rsidR="00000000" w:rsidRPr="00000000">
              <w:rPr>
                <w:rtl w:val="0"/>
              </w:rPr>
            </w:r>
          </w:p>
        </w:tc>
      </w:tr>
      <w:tr>
        <w:trPr>
          <w:trHeight w:val="840" w:hRule="atLeast"/>
        </w:trPr>
        <w:tc>
          <w:tcPr>
            <w:vAlign w:val="top"/>
          </w:tcPr>
          <w:p w:rsidR="00000000" w:rsidDel="00000000" w:rsidP="00000000" w:rsidRDefault="00000000" w:rsidRPr="00000000" w14:paraId="00000013">
            <w:pPr>
              <w:spacing w:line="240" w:lineRule="auto"/>
              <w:ind w:right="34"/>
              <w:contextualSpacing w:val="0"/>
              <w:rPr/>
            </w:pPr>
            <w:r w:rsidDel="00000000" w:rsidR="00000000" w:rsidRPr="00000000">
              <w:rPr>
                <w:rtl w:val="0"/>
              </w:rPr>
              <w:t xml:space="preserve">Module code: CSEN7037</w:t>
            </w:r>
          </w:p>
          <w:p w:rsidR="00000000" w:rsidDel="00000000" w:rsidP="00000000" w:rsidRDefault="00000000" w:rsidRPr="00000000" w14:paraId="00000014">
            <w:pPr>
              <w:spacing w:line="240" w:lineRule="auto"/>
              <w:ind w:right="34"/>
              <w:contextualSpacing w:val="0"/>
              <w:rPr/>
            </w:pPr>
            <w:r w:rsidDel="00000000" w:rsidR="00000000" w:rsidRPr="00000000">
              <w:rPr>
                <w:rtl w:val="0"/>
              </w:rPr>
            </w:r>
          </w:p>
          <w:p w:rsidR="00000000" w:rsidDel="00000000" w:rsidP="00000000" w:rsidRDefault="00000000" w:rsidRPr="00000000" w14:paraId="00000015">
            <w:pPr>
              <w:spacing w:line="240" w:lineRule="auto"/>
              <w:ind w:right="34"/>
              <w:contextualSpacing w:val="0"/>
              <w:rPr/>
            </w:pPr>
            <w:r w:rsidDel="00000000" w:rsidR="00000000" w:rsidRPr="00000000">
              <w:rPr>
                <w:rtl w:val="0"/>
              </w:rPr>
              <w:t xml:space="preserve">Module title: CRITICAL THEORY: FROM STRUCTURALISM ON</w:t>
            </w:r>
          </w:p>
          <w:p w:rsidR="00000000" w:rsidDel="00000000" w:rsidP="00000000" w:rsidRDefault="00000000" w:rsidRPr="00000000" w14:paraId="00000016">
            <w:pPr>
              <w:spacing w:line="240" w:lineRule="auto"/>
              <w:ind w:right="34"/>
              <w:contextualSpacing w:val="0"/>
              <w:rPr/>
            </w:pPr>
            <w:r w:rsidDel="00000000" w:rsidR="00000000" w:rsidRPr="00000000">
              <w:rPr>
                <w:rtl w:val="0"/>
              </w:rPr>
            </w:r>
          </w:p>
          <w:p w:rsidR="00000000" w:rsidDel="00000000" w:rsidP="00000000" w:rsidRDefault="00000000" w:rsidRPr="00000000" w14:paraId="00000017">
            <w:pPr>
              <w:spacing w:line="240" w:lineRule="auto"/>
              <w:ind w:right="34"/>
              <w:contextualSpacing w:val="0"/>
              <w:rPr/>
            </w:pPr>
            <w:r w:rsidDel="00000000" w:rsidR="00000000" w:rsidRPr="00000000">
              <w:rPr>
                <w:rtl w:val="0"/>
              </w:rPr>
            </w:r>
          </w:p>
        </w:tc>
        <w:tc>
          <w:tcPr>
            <w:gridSpan w:val="3"/>
            <w:vAlign w:val="top"/>
          </w:tcPr>
          <w:p w:rsidR="00000000" w:rsidDel="00000000" w:rsidP="00000000" w:rsidRDefault="00000000" w:rsidRPr="00000000" w14:paraId="00000018">
            <w:pPr>
              <w:spacing w:line="240" w:lineRule="auto"/>
              <w:ind w:right="34"/>
              <w:contextualSpacing w:val="0"/>
              <w:rPr/>
            </w:pPr>
            <w:r w:rsidDel="00000000" w:rsidR="00000000" w:rsidRPr="00000000">
              <w:rPr>
                <w:rtl w:val="0"/>
              </w:rPr>
              <w:t xml:space="preserve">Student ID number:</w:t>
            </w:r>
          </w:p>
          <w:p w:rsidR="00000000" w:rsidDel="00000000" w:rsidP="00000000" w:rsidRDefault="00000000" w:rsidRPr="00000000" w14:paraId="00000019">
            <w:pPr>
              <w:spacing w:line="240" w:lineRule="auto"/>
              <w:ind w:right="34"/>
              <w:contextualSpacing w:val="0"/>
              <w:rPr/>
            </w:pPr>
            <w:r w:rsidDel="00000000" w:rsidR="00000000" w:rsidRPr="00000000">
              <w:rPr>
                <w:rtl w:val="0"/>
              </w:rPr>
            </w:r>
          </w:p>
          <w:p w:rsidR="00000000" w:rsidDel="00000000" w:rsidP="00000000" w:rsidRDefault="00000000" w:rsidRPr="00000000" w14:paraId="0000001A">
            <w:pPr>
              <w:spacing w:line="240" w:lineRule="auto"/>
              <w:ind w:right="34"/>
              <w:contextualSpacing w:val="0"/>
              <w:rPr/>
            </w:pPr>
            <w:r w:rsidDel="00000000" w:rsidR="00000000" w:rsidRPr="00000000">
              <w:rPr>
                <w:rtl w:val="0"/>
              </w:rPr>
              <w:t xml:space="preserve">1706723</w:t>
            </w:r>
          </w:p>
        </w:tc>
        <w:tc>
          <w:tcPr>
            <w:vAlign w:val="top"/>
          </w:tcPr>
          <w:p w:rsidR="00000000" w:rsidDel="00000000" w:rsidP="00000000" w:rsidRDefault="00000000" w:rsidRPr="00000000" w14:paraId="0000001D">
            <w:pPr>
              <w:spacing w:line="240" w:lineRule="auto"/>
              <w:ind w:right="34"/>
              <w:contextualSpacing w:val="0"/>
              <w:rPr/>
            </w:pPr>
            <w:r w:rsidDel="00000000" w:rsidR="00000000" w:rsidRPr="00000000">
              <w:rPr>
                <w:rtl w:val="0"/>
              </w:rPr>
              <w:t xml:space="preserve">Educational support needs:</w:t>
            </w:r>
          </w:p>
          <w:p w:rsidR="00000000" w:rsidDel="00000000" w:rsidP="00000000" w:rsidRDefault="00000000" w:rsidRPr="00000000" w14:paraId="0000001E">
            <w:pPr>
              <w:spacing w:line="240" w:lineRule="auto"/>
              <w:ind w:right="34"/>
              <w:contextualSpacing w:val="0"/>
              <w:rPr/>
            </w:pPr>
            <w:r w:rsidDel="00000000" w:rsidR="00000000" w:rsidRPr="00000000">
              <w:rPr>
                <w:rtl w:val="0"/>
              </w:rPr>
              <w:t xml:space="preserve">No</w:t>
            </w:r>
          </w:p>
        </w:tc>
      </w:tr>
      <w:tr>
        <w:trPr>
          <w:trHeight w:val="1120" w:hRule="atLeast"/>
        </w:trPr>
        <w:tc>
          <w:tcPr>
            <w:gridSpan w:val="5"/>
            <w:vAlign w:val="top"/>
          </w:tcPr>
          <w:p w:rsidR="00000000" w:rsidDel="00000000" w:rsidP="00000000" w:rsidRDefault="00000000" w:rsidRPr="00000000" w14:paraId="0000001F">
            <w:pPr>
              <w:spacing w:line="240" w:lineRule="auto"/>
              <w:ind w:right="34"/>
              <w:contextualSpacing w:val="0"/>
              <w:rPr/>
            </w:pPr>
            <w:r w:rsidDel="00000000" w:rsidR="00000000" w:rsidRPr="00000000">
              <w:rPr>
                <w:rtl w:val="0"/>
              </w:rPr>
              <w:t xml:space="preserve">Module tutor: PETER MITCHELL</w:t>
            </w:r>
          </w:p>
          <w:p w:rsidR="00000000" w:rsidDel="00000000" w:rsidP="00000000" w:rsidRDefault="00000000" w:rsidRPr="00000000" w14:paraId="00000020">
            <w:pPr>
              <w:spacing w:line="240" w:lineRule="auto"/>
              <w:ind w:right="34"/>
              <w:contextualSpacing w:val="0"/>
              <w:rPr/>
            </w:pPr>
            <w:r w:rsidDel="00000000" w:rsidR="00000000" w:rsidRPr="00000000">
              <w:rPr>
                <w:rtl w:val="0"/>
              </w:rPr>
            </w:r>
          </w:p>
          <w:p w:rsidR="00000000" w:rsidDel="00000000" w:rsidP="00000000" w:rsidRDefault="00000000" w:rsidRPr="00000000" w14:paraId="00000021">
            <w:pPr>
              <w:spacing w:line="240" w:lineRule="auto"/>
              <w:ind w:right="34"/>
              <w:contextualSpacing w:val="0"/>
              <w:rPr/>
            </w:pPr>
            <w:r w:rsidDel="00000000" w:rsidR="00000000" w:rsidRPr="00000000">
              <w:rPr>
                <w:rtl w:val="0"/>
              </w:rPr>
            </w:r>
          </w:p>
          <w:p w:rsidR="00000000" w:rsidDel="00000000" w:rsidP="00000000" w:rsidRDefault="00000000" w:rsidRPr="00000000" w14:paraId="00000022">
            <w:pPr>
              <w:spacing w:line="240" w:lineRule="auto"/>
              <w:ind w:right="34"/>
              <w:contextualSpacing w:val="0"/>
              <w:rPr/>
            </w:pPr>
            <w:r w:rsidDel="00000000" w:rsidR="00000000" w:rsidRPr="00000000">
              <w:rPr>
                <w:rtl w:val="0"/>
              </w:rPr>
              <w:t xml:space="preserve">Assignment due date: THURSDAY 24TH MAY 2018</w:t>
            </w:r>
          </w:p>
        </w:tc>
      </w:tr>
      <w:tr>
        <w:trPr>
          <w:trHeight w:val="960" w:hRule="atLeast"/>
        </w:trPr>
        <w:tc>
          <w:tcPr>
            <w:gridSpan w:val="5"/>
            <w:tcBorders>
              <w:bottom w:color="000000" w:space="0" w:sz="4" w:val="single"/>
            </w:tcBorders>
            <w:vAlign w:val="top"/>
          </w:tcPr>
          <w:p w:rsidR="00000000" w:rsidDel="00000000" w:rsidP="00000000" w:rsidRDefault="00000000" w:rsidRPr="00000000" w14:paraId="00000027">
            <w:pPr>
              <w:spacing w:line="240" w:lineRule="auto"/>
              <w:contextualSpacing w:val="0"/>
              <w:rPr/>
            </w:pPr>
            <w:r w:rsidDel="00000000" w:rsidR="00000000" w:rsidRPr="00000000">
              <w:rPr>
                <w:rtl w:val="0"/>
              </w:rPr>
              <w:t xml:space="preserve">If your module has multiple submissions please indicate which piece of work this is.</w:t>
            </w:r>
          </w:p>
          <w:p w:rsidR="00000000" w:rsidDel="00000000" w:rsidP="00000000" w:rsidRDefault="00000000" w:rsidRPr="00000000" w14:paraId="00000028">
            <w:pPr>
              <w:spacing w:line="240" w:lineRule="auto"/>
              <w:contextualSpacing w:val="0"/>
              <w:rPr/>
            </w:pPr>
            <w:r w:rsidDel="00000000" w:rsidR="00000000" w:rsidRPr="00000000">
              <w:rPr>
                <w:rtl w:val="0"/>
              </w:rPr>
            </w:r>
          </w:p>
          <w:p w:rsidR="00000000" w:rsidDel="00000000" w:rsidP="00000000" w:rsidRDefault="00000000" w:rsidRPr="00000000" w14:paraId="00000029">
            <w:pPr>
              <w:spacing w:line="240" w:lineRule="auto"/>
              <w:contextualSpacing w:val="0"/>
              <w:rPr/>
            </w:pPr>
            <w:r w:rsidDel="00000000" w:rsidR="00000000" w:rsidRPr="00000000">
              <w:rPr>
                <w:rtl w:val="0"/>
              </w:rPr>
              <w:t xml:space="preserve">3rd </w:t>
            </w:r>
            <w:r w:rsidDel="00000000" w:rsidR="00000000" w:rsidRPr="00000000">
              <w:rPr>
                <w:vertAlign w:val="superscript"/>
                <w:rtl w:val="0"/>
              </w:rPr>
              <w:t xml:space="preserve"> </w:t>
            </w:r>
            <w:bookmarkStart w:colFirst="0" w:colLast="0" w:name="kix.3o4x7pbtmf8f" w:id="0"/>
            <w:bookmarkEnd w:id="0"/>
            <w:r w:rsidDel="00000000" w:rsidR="00000000" w:rsidRPr="00000000">
              <w:rPr>
                <w:rtl w:val="0"/>
              </w:rPr>
              <w:t xml:space="preserve">☐  </w:t>
            </w:r>
          </w:p>
        </w:tc>
      </w:tr>
      <w:tr>
        <w:trPr>
          <w:trHeight w:val="960" w:hRule="atLeast"/>
        </w:trPr>
        <w:tc>
          <w:tcPr>
            <w:gridSpan w:val="5"/>
            <w:shd w:fill="d9d9d9" w:val="clear"/>
            <w:vAlign w:val="top"/>
          </w:tcPr>
          <w:p w:rsidR="00000000" w:rsidDel="00000000" w:rsidP="00000000" w:rsidRDefault="00000000" w:rsidRPr="00000000" w14:paraId="0000002E">
            <w:pPr>
              <w:spacing w:line="240" w:lineRule="auto"/>
              <w:ind w:right="34"/>
              <w:contextualSpacing w:val="0"/>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2F">
            <w:pPr>
              <w:spacing w:line="240" w:lineRule="auto"/>
              <w:ind w:right="34"/>
              <w:contextualSpacing w:val="0"/>
              <w:rPr/>
            </w:pPr>
            <w:r w:rsidDel="00000000" w:rsidR="00000000" w:rsidRPr="00000000">
              <w:rPr>
                <w:rtl w:val="0"/>
              </w:rPr>
              <w:t xml:space="preserve">Signed ……R S ROBERTS………………………………………………………</w:t>
            </w:r>
          </w:p>
          <w:p w:rsidR="00000000" w:rsidDel="00000000" w:rsidP="00000000" w:rsidRDefault="00000000" w:rsidRPr="00000000" w14:paraId="00000030">
            <w:pPr>
              <w:spacing w:line="240" w:lineRule="auto"/>
              <w:ind w:right="34"/>
              <w:contextualSpacing w:val="0"/>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 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1">
            <w:pPr>
              <w:spacing w:line="240" w:lineRule="auto"/>
              <w:ind w:right="34"/>
              <w:contextualSpacing w:val="0"/>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trHeight w:val="3960" w:hRule="atLeast"/>
        </w:trPr>
        <w:tc>
          <w:tcPr>
            <w:gridSpan w:val="5"/>
            <w:vAlign w:val="top"/>
          </w:tcPr>
          <w:p w:rsidR="00000000" w:rsidDel="00000000" w:rsidP="00000000" w:rsidRDefault="00000000" w:rsidRPr="00000000" w14:paraId="00000036">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037">
            <w:pPr>
              <w:spacing w:line="240" w:lineRule="auto"/>
              <w:contextualSpacing w:val="0"/>
              <w:rPr>
                <w:sz w:val="24"/>
                <w:szCs w:val="24"/>
              </w:rPr>
            </w:pPr>
            <w:r w:rsidDel="00000000" w:rsidR="00000000" w:rsidRPr="00000000">
              <w:rPr>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c>
                <w:tcPr>
                  <w:vAlign w:val="top"/>
                </w:tcPr>
                <w:p w:rsidR="00000000" w:rsidDel="00000000" w:rsidP="00000000" w:rsidRDefault="00000000" w:rsidRPr="00000000" w14:paraId="00000038">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39">
                  <w:pPr>
                    <w:spacing w:line="240" w:lineRule="auto"/>
                    <w:contextualSpacing w:val="0"/>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A">
                  <w:pPr>
                    <w:spacing w:line="240" w:lineRule="auto"/>
                    <w:contextualSpacing w:val="0"/>
                    <w:rPr>
                      <w:sz w:val="20"/>
                      <w:szCs w:val="20"/>
                    </w:rPr>
                  </w:pPr>
                  <w:r w:rsidDel="00000000" w:rsidR="00000000" w:rsidRPr="00000000">
                    <w:rPr>
                      <w:rtl w:val="0"/>
                    </w:rPr>
                  </w:r>
                </w:p>
              </w:tc>
            </w:tr>
            <w:tr>
              <w:tc>
                <w:tcPr>
                  <w:vAlign w:val="top"/>
                </w:tcPr>
                <w:p w:rsidR="00000000" w:rsidDel="00000000" w:rsidP="00000000" w:rsidRDefault="00000000" w:rsidRPr="00000000" w14:paraId="0000003B">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3C">
                  <w:pPr>
                    <w:spacing w:line="240" w:lineRule="auto"/>
                    <w:contextualSpacing w:val="0"/>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3D">
                  <w:pPr>
                    <w:spacing w:line="240" w:lineRule="auto"/>
                    <w:contextualSpacing w:val="0"/>
                    <w:rPr>
                      <w:sz w:val="20"/>
                      <w:szCs w:val="20"/>
                    </w:rPr>
                  </w:pPr>
                  <w:r w:rsidDel="00000000" w:rsidR="00000000" w:rsidRPr="00000000">
                    <w:rPr>
                      <w:rtl w:val="0"/>
                    </w:rPr>
                  </w:r>
                </w:p>
              </w:tc>
            </w:tr>
            <w:tr>
              <w:tc>
                <w:tcPr>
                  <w:vAlign w:val="top"/>
                </w:tcPr>
                <w:p w:rsidR="00000000" w:rsidDel="00000000" w:rsidP="00000000" w:rsidRDefault="00000000" w:rsidRPr="00000000" w14:paraId="0000003E">
                  <w:pPr>
                    <w:spacing w:line="240" w:lineRule="auto"/>
                    <w:contextualSpacing w:val="0"/>
                    <w:rPr>
                      <w:sz w:val="20"/>
                      <w:szCs w:val="20"/>
                    </w:rPr>
                  </w:pPr>
                  <w:r w:rsidDel="00000000" w:rsidR="00000000" w:rsidRPr="00000000">
                    <w:rPr>
                      <w:sz w:val="20"/>
                      <w:szCs w:val="20"/>
                      <w:rtl w:val="0"/>
                    </w:rPr>
                    <w:t xml:space="preserve">Agreed Internal Mark: </w:t>
                  </w:r>
                </w:p>
                <w:p w:rsidR="00000000" w:rsidDel="00000000" w:rsidP="00000000" w:rsidRDefault="00000000" w:rsidRPr="00000000" w14:paraId="0000003F">
                  <w:pPr>
                    <w:spacing w:line="240" w:lineRule="auto"/>
                    <w:contextualSpacing w:val="0"/>
                    <w:rPr>
                      <w:sz w:val="20"/>
                      <w:szCs w:val="20"/>
                      <w:highlight w:val="yellow"/>
                    </w:rPr>
                  </w:pPr>
                  <w:r w:rsidDel="00000000" w:rsidR="00000000" w:rsidRPr="00000000">
                    <w:rPr>
                      <w:rtl w:val="0"/>
                    </w:rPr>
                  </w:r>
                </w:p>
              </w:tc>
              <w:tc>
                <w:tcPr>
                  <w:vAlign w:val="top"/>
                </w:tcPr>
                <w:p w:rsidR="00000000" w:rsidDel="00000000" w:rsidP="00000000" w:rsidRDefault="00000000" w:rsidRPr="00000000" w14:paraId="00000040">
                  <w:pPr>
                    <w:spacing w:line="240" w:lineRule="auto"/>
                    <w:contextualSpacing w:val="0"/>
                    <w:rPr>
                      <w:sz w:val="20"/>
                      <w:szCs w:val="20"/>
                      <w:highlight w:val="yellow"/>
                    </w:rPr>
                  </w:pPr>
                  <w:r w:rsidDel="00000000" w:rsidR="00000000" w:rsidRPr="00000000">
                    <w:rPr>
                      <w:rtl w:val="0"/>
                    </w:rPr>
                  </w:r>
                </w:p>
              </w:tc>
            </w:tr>
            <w:tr>
              <w:tc>
                <w:tcPr>
                  <w:vAlign w:val="top"/>
                </w:tcPr>
                <w:p w:rsidR="00000000" w:rsidDel="00000000" w:rsidP="00000000" w:rsidRDefault="00000000" w:rsidRPr="00000000" w14:paraId="00000041">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42">
                  <w:pPr>
                    <w:spacing w:line="240" w:lineRule="auto"/>
                    <w:contextualSpacing w:val="0"/>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43">
                  <w:pPr>
                    <w:spacing w:line="240" w:lineRule="auto"/>
                    <w:contextualSpacing w:val="0"/>
                    <w:rPr>
                      <w:sz w:val="20"/>
                      <w:szCs w:val="20"/>
                    </w:rPr>
                  </w:pPr>
                  <w:r w:rsidDel="00000000" w:rsidR="00000000" w:rsidRPr="00000000">
                    <w:rPr>
                      <w:rtl w:val="0"/>
                    </w:rPr>
                  </w:r>
                </w:p>
              </w:tc>
            </w:tr>
            <w:tr>
              <w:tc>
                <w:tcPr>
                  <w:vAlign w:val="top"/>
                </w:tcPr>
                <w:p w:rsidR="00000000" w:rsidDel="00000000" w:rsidP="00000000" w:rsidRDefault="00000000" w:rsidRPr="00000000" w14:paraId="00000044">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45">
                  <w:pPr>
                    <w:spacing w:line="240" w:lineRule="auto"/>
                    <w:contextualSpacing w:val="0"/>
                    <w:rPr>
                      <w:sz w:val="20"/>
                      <w:szCs w:val="20"/>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6">
                  <w:pPr>
                    <w:spacing w:line="240" w:lineRule="auto"/>
                    <w:contextualSpacing w:val="0"/>
                    <w:rPr>
                      <w:sz w:val="20"/>
                      <w:szCs w:val="20"/>
                    </w:rPr>
                  </w:pPr>
                  <w:r w:rsidDel="00000000" w:rsidR="00000000" w:rsidRPr="00000000">
                    <w:rPr>
                      <w:rtl w:val="0"/>
                    </w:rPr>
                  </w:r>
                </w:p>
              </w:tc>
              <w:tc>
                <w:tcPr>
                  <w:vAlign w:val="top"/>
                </w:tcPr>
                <w:p w:rsidR="00000000" w:rsidDel="00000000" w:rsidP="00000000" w:rsidRDefault="00000000" w:rsidRPr="00000000" w14:paraId="00000047">
                  <w:pPr>
                    <w:spacing w:line="240" w:lineRule="auto"/>
                    <w:contextualSpacing w:val="0"/>
                    <w:rPr>
                      <w:sz w:val="20"/>
                      <w:szCs w:val="20"/>
                    </w:rPr>
                  </w:pPr>
                  <w:r w:rsidDel="00000000" w:rsidR="00000000" w:rsidRPr="00000000">
                    <w:rPr>
                      <w:rtl w:val="0"/>
                    </w:rPr>
                  </w:r>
                </w:p>
              </w:tc>
            </w:tr>
          </w:tbl>
          <w:p w:rsidR="00000000" w:rsidDel="00000000" w:rsidP="00000000" w:rsidRDefault="00000000" w:rsidRPr="00000000" w14:paraId="00000048">
            <w:pPr>
              <w:spacing w:line="240" w:lineRule="auto"/>
              <w:ind w:left="142" w:right="34" w:firstLine="0"/>
              <w:contextualSpacing w:val="0"/>
              <w:rPr/>
            </w:pPr>
            <w:r w:rsidDel="00000000" w:rsidR="00000000" w:rsidRPr="00000000">
              <w:rPr>
                <w:rtl w:val="0"/>
              </w:rPr>
            </w:r>
          </w:p>
          <w:p w:rsidR="00000000" w:rsidDel="00000000" w:rsidP="00000000" w:rsidRDefault="00000000" w:rsidRPr="00000000" w14:paraId="00000049">
            <w:pPr>
              <w:spacing w:line="240" w:lineRule="auto"/>
              <w:ind w:left="142" w:right="34" w:firstLine="0"/>
              <w:contextualSpacing w:val="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A">
            <w:pPr>
              <w:spacing w:line="240" w:lineRule="auto"/>
              <w:contextualSpacing w:val="0"/>
              <w:rPr/>
            </w:pPr>
            <w:r w:rsidDel="00000000" w:rsidR="00000000" w:rsidRPr="00000000">
              <w:rPr>
                <w:rtl w:val="0"/>
              </w:rPr>
            </w:r>
          </w:p>
          <w:p w:rsidR="00000000" w:rsidDel="00000000" w:rsidP="00000000" w:rsidRDefault="00000000" w:rsidRPr="00000000" w14:paraId="0000004B">
            <w:pPr>
              <w:spacing w:line="240" w:lineRule="auto"/>
              <w:contextualSpacing w:val="0"/>
              <w:rPr/>
            </w:pPr>
            <w:r w:rsidDel="00000000" w:rsidR="00000000" w:rsidRPr="00000000">
              <w:rPr>
                <w:rtl w:val="0"/>
              </w:rPr>
            </w:r>
          </w:p>
          <w:p w:rsidR="00000000" w:rsidDel="00000000" w:rsidP="00000000" w:rsidRDefault="00000000" w:rsidRPr="00000000" w14:paraId="0000004C">
            <w:pPr>
              <w:spacing w:line="240" w:lineRule="auto"/>
              <w:contextualSpacing w:val="0"/>
              <w:rPr/>
            </w:pPr>
            <w:r w:rsidDel="00000000" w:rsidR="00000000" w:rsidRPr="00000000">
              <w:rPr>
                <w:rtl w:val="0"/>
              </w:rPr>
            </w:r>
          </w:p>
          <w:p w:rsidR="00000000" w:rsidDel="00000000" w:rsidP="00000000" w:rsidRDefault="00000000" w:rsidRPr="00000000" w14:paraId="0000004D">
            <w:pPr>
              <w:spacing w:line="240" w:lineRule="auto"/>
              <w:contextualSpacing w:val="0"/>
              <w:rPr/>
            </w:pPr>
            <w:r w:rsidDel="00000000" w:rsidR="00000000" w:rsidRPr="00000000">
              <w:rPr>
                <w:rtl w:val="0"/>
              </w:rPr>
            </w:r>
          </w:p>
          <w:p w:rsidR="00000000" w:rsidDel="00000000" w:rsidP="00000000" w:rsidRDefault="00000000" w:rsidRPr="00000000" w14:paraId="0000004E">
            <w:pPr>
              <w:spacing w:line="240" w:lineRule="auto"/>
              <w:contextualSpacing w:val="0"/>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4F">
            <w:pPr>
              <w:spacing w:after="100" w:before="100" w:line="240" w:lineRule="auto"/>
              <w:contextualSpacing w:val="0"/>
              <w:rPr/>
            </w:pPr>
            <w:r w:rsidDel="00000000" w:rsidR="00000000" w:rsidRPr="00000000">
              <w:rPr>
                <w:rtl w:val="0"/>
              </w:rPr>
              <w:t xml:space="preserve">Comments:</w:t>
            </w:r>
          </w:p>
          <w:p w:rsidR="00000000" w:rsidDel="00000000" w:rsidP="00000000" w:rsidRDefault="00000000" w:rsidRPr="00000000" w14:paraId="00000050">
            <w:pPr>
              <w:spacing w:after="100" w:before="100" w:line="240" w:lineRule="auto"/>
              <w:contextualSpacing w:val="0"/>
              <w:rPr/>
            </w:pPr>
            <w:r w:rsidDel="00000000" w:rsidR="00000000" w:rsidRPr="00000000">
              <w:rPr>
                <w:rtl w:val="0"/>
              </w:rPr>
            </w:r>
          </w:p>
        </w:tc>
      </w:tr>
      <w:tr>
        <w:trPr>
          <w:trHeight w:val="480" w:hRule="atLeast"/>
        </w:trPr>
        <w:tc>
          <w:tcPr>
            <w:gridSpan w:val="3"/>
            <w:vAlign w:val="top"/>
          </w:tcPr>
          <w:p w:rsidR="00000000" w:rsidDel="00000000" w:rsidP="00000000" w:rsidRDefault="00000000" w:rsidRPr="00000000" w14:paraId="00000055">
            <w:pPr>
              <w:spacing w:after="100" w:before="100" w:line="240" w:lineRule="auto"/>
              <w:ind w:left="142" w:right="34" w:firstLine="0"/>
              <w:contextualSpacing w:val="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8">
            <w:pPr>
              <w:spacing w:before="100" w:line="240" w:lineRule="auto"/>
              <w:ind w:left="142" w:right="34" w:firstLine="0"/>
              <w:contextualSpacing w:val="0"/>
              <w:rPr/>
            </w:pPr>
            <w:r w:rsidDel="00000000" w:rsidR="00000000" w:rsidRPr="00000000">
              <w:rPr>
                <w:rtl w:val="0"/>
              </w:rPr>
              <w:t xml:space="preserve">Date:</w:t>
            </w:r>
          </w:p>
        </w:tc>
      </w:tr>
      <w:tr>
        <w:tc>
          <w:tcPr>
            <w:gridSpan w:val="5"/>
            <w:vAlign w:val="top"/>
          </w:tcPr>
          <w:p w:rsidR="00000000" w:rsidDel="00000000" w:rsidP="00000000" w:rsidRDefault="00000000" w:rsidRPr="00000000" w14:paraId="0000005A">
            <w:pPr>
              <w:spacing w:line="240" w:lineRule="auto"/>
              <w:ind w:right="-334"/>
              <w:contextualSpacing w:val="0"/>
              <w:rPr/>
            </w:pPr>
            <w:r w:rsidDel="00000000" w:rsidR="00000000" w:rsidRPr="00000000">
              <w:rPr>
                <w:rtl w:val="0"/>
              </w:rPr>
            </w:r>
          </w:p>
          <w:p w:rsidR="00000000" w:rsidDel="00000000" w:rsidP="00000000" w:rsidRDefault="00000000" w:rsidRPr="00000000" w14:paraId="0000005B">
            <w:pPr>
              <w:spacing w:line="240" w:lineRule="auto"/>
              <w:ind w:right="-334"/>
              <w:contextualSpacing w:val="0"/>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C">
            <w:pPr>
              <w:spacing w:line="240" w:lineRule="auto"/>
              <w:ind w:right="-334"/>
              <w:contextualSpacing w:val="0"/>
              <w:rPr/>
            </w:pPr>
            <w:r w:rsidDel="00000000" w:rsidR="00000000" w:rsidRPr="00000000">
              <w:rPr>
                <w:rtl w:val="0"/>
              </w:rPr>
            </w:r>
          </w:p>
          <w:p w:rsidR="00000000" w:rsidDel="00000000" w:rsidP="00000000" w:rsidRDefault="00000000" w:rsidRPr="00000000" w14:paraId="0000005D">
            <w:pPr>
              <w:spacing w:line="240" w:lineRule="auto"/>
              <w:ind w:right="-334"/>
              <w:contextualSpacing w:val="0"/>
              <w:rPr/>
            </w:pPr>
            <w:r w:rsidDel="00000000" w:rsidR="00000000" w:rsidRPr="00000000">
              <w:rPr>
                <w:rtl w:val="0"/>
              </w:rPr>
              <w:t xml:space="preserve">Comments:</w:t>
            </w:r>
          </w:p>
          <w:p w:rsidR="00000000" w:rsidDel="00000000" w:rsidP="00000000" w:rsidRDefault="00000000" w:rsidRPr="00000000" w14:paraId="0000005E">
            <w:pPr>
              <w:spacing w:line="240" w:lineRule="auto"/>
              <w:ind w:right="-334"/>
              <w:contextualSpacing w:val="0"/>
              <w:rPr/>
            </w:pPr>
            <w:r w:rsidDel="00000000" w:rsidR="00000000" w:rsidRPr="00000000">
              <w:rPr>
                <w:rtl w:val="0"/>
              </w:rPr>
            </w:r>
          </w:p>
          <w:p w:rsidR="00000000" w:rsidDel="00000000" w:rsidP="00000000" w:rsidRDefault="00000000" w:rsidRPr="00000000" w14:paraId="0000005F">
            <w:pPr>
              <w:spacing w:line="240" w:lineRule="auto"/>
              <w:ind w:right="-334"/>
              <w:contextualSpacing w:val="0"/>
              <w:rPr/>
            </w:pPr>
            <w:r w:rsidDel="00000000" w:rsidR="00000000" w:rsidRPr="00000000">
              <w:rPr>
                <w:rtl w:val="0"/>
              </w:rPr>
            </w:r>
          </w:p>
          <w:p w:rsidR="00000000" w:rsidDel="00000000" w:rsidP="00000000" w:rsidRDefault="00000000" w:rsidRPr="00000000" w14:paraId="00000060">
            <w:pPr>
              <w:spacing w:line="240" w:lineRule="auto"/>
              <w:ind w:right="-334"/>
              <w:contextualSpacing w:val="0"/>
              <w:rPr/>
            </w:pPr>
            <w:r w:rsidDel="00000000" w:rsidR="00000000" w:rsidRPr="00000000">
              <w:rPr>
                <w:rtl w:val="0"/>
              </w:rPr>
            </w:r>
          </w:p>
        </w:tc>
      </w:tr>
      <w:tr>
        <w:trPr>
          <w:trHeight w:val="720" w:hRule="atLeast"/>
        </w:trPr>
        <w:tc>
          <w:tcPr>
            <w:gridSpan w:val="2"/>
            <w:vAlign w:val="top"/>
          </w:tcPr>
          <w:p w:rsidR="00000000" w:rsidDel="00000000" w:rsidP="00000000" w:rsidRDefault="00000000" w:rsidRPr="00000000" w14:paraId="00000065">
            <w:pPr>
              <w:spacing w:line="240" w:lineRule="auto"/>
              <w:ind w:right="-334"/>
              <w:contextualSpacing w:val="0"/>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7">
            <w:pPr>
              <w:spacing w:line="240" w:lineRule="auto"/>
              <w:ind w:right="-334"/>
              <w:contextualSpacing w:val="0"/>
              <w:rPr/>
            </w:pPr>
            <w:r w:rsidDel="00000000" w:rsidR="00000000" w:rsidRPr="00000000">
              <w:rPr>
                <w:rtl w:val="0"/>
              </w:rPr>
              <w:t xml:space="preserve">Date:</w:t>
            </w:r>
          </w:p>
        </w:tc>
      </w:tr>
      <w:tr>
        <w:trPr>
          <w:trHeight w:val="720" w:hRule="atLeast"/>
        </w:trPr>
        <w:tc>
          <w:tcPr>
            <w:gridSpan w:val="5"/>
            <w:vAlign w:val="top"/>
          </w:tcPr>
          <w:p w:rsidR="00000000" w:rsidDel="00000000" w:rsidP="00000000" w:rsidRDefault="00000000" w:rsidRPr="00000000" w14:paraId="0000006A">
            <w:pPr>
              <w:spacing w:line="240" w:lineRule="auto"/>
              <w:contextualSpacing w:val="0"/>
              <w:rPr/>
            </w:pPr>
            <w:r w:rsidDel="00000000" w:rsidR="00000000" w:rsidRPr="00000000">
              <w:rPr>
                <w:b w:val="1"/>
                <w:rtl w:val="0"/>
              </w:rPr>
              <w:t xml:space="preserve">AGREED INTERNAL MARK (where necessary):</w:t>
            </w:r>
            <w:r w:rsidDel="00000000" w:rsidR="00000000" w:rsidRPr="00000000">
              <w:rPr>
                <w:rtl w:val="0"/>
              </w:rPr>
            </w:r>
          </w:p>
          <w:p w:rsidR="00000000" w:rsidDel="00000000" w:rsidP="00000000" w:rsidRDefault="00000000" w:rsidRPr="00000000" w14:paraId="0000006B">
            <w:pPr>
              <w:spacing w:line="240" w:lineRule="auto"/>
              <w:contextualSpacing w:val="0"/>
              <w:rPr/>
            </w:pPr>
            <w:r w:rsidDel="00000000" w:rsidR="00000000" w:rsidRPr="00000000">
              <w:rPr>
                <w:rtl w:val="0"/>
              </w:rPr>
            </w:r>
          </w:p>
          <w:p w:rsidR="00000000" w:rsidDel="00000000" w:rsidP="00000000" w:rsidRDefault="00000000" w:rsidRPr="00000000" w14:paraId="0000006C">
            <w:pPr>
              <w:spacing w:line="240" w:lineRule="auto"/>
              <w:contextualSpacing w:val="0"/>
              <w:rPr/>
            </w:pPr>
            <w:r w:rsidDel="00000000" w:rsidR="00000000" w:rsidRPr="00000000">
              <w:rPr>
                <w:b w:val="1"/>
                <w:rtl w:val="0"/>
              </w:rPr>
              <w:t xml:space="preserve">Comment on process on arriving at agreed mark:</w:t>
            </w:r>
            <w:r w:rsidDel="00000000" w:rsidR="00000000" w:rsidRPr="00000000">
              <w:rPr>
                <w:rtl w:val="0"/>
              </w:rPr>
            </w:r>
          </w:p>
          <w:p w:rsidR="00000000" w:rsidDel="00000000" w:rsidP="00000000" w:rsidRDefault="00000000" w:rsidRPr="00000000" w14:paraId="0000006D">
            <w:pPr>
              <w:spacing w:line="240" w:lineRule="auto"/>
              <w:contextualSpacing w:val="0"/>
              <w:rPr/>
            </w:pPr>
            <w:r w:rsidDel="00000000" w:rsidR="00000000" w:rsidRPr="00000000">
              <w:rPr>
                <w:rtl w:val="0"/>
              </w:rPr>
            </w:r>
          </w:p>
          <w:p w:rsidR="00000000" w:rsidDel="00000000" w:rsidP="00000000" w:rsidRDefault="00000000" w:rsidRPr="00000000" w14:paraId="0000006E">
            <w:pPr>
              <w:spacing w:line="240" w:lineRule="auto"/>
              <w:contextualSpacing w:val="0"/>
              <w:rPr/>
            </w:pPr>
            <w:r w:rsidDel="00000000" w:rsidR="00000000" w:rsidRPr="00000000">
              <w:rPr>
                <w:rtl w:val="0"/>
              </w:rPr>
            </w:r>
          </w:p>
        </w:tc>
      </w:tr>
      <w:tr>
        <w:trPr>
          <w:trHeight w:val="720" w:hRule="atLeast"/>
        </w:trPr>
        <w:tc>
          <w:tcPr>
            <w:gridSpan w:val="5"/>
            <w:vAlign w:val="top"/>
          </w:tcPr>
          <w:p w:rsidR="00000000" w:rsidDel="00000000" w:rsidP="00000000" w:rsidRDefault="00000000" w:rsidRPr="00000000" w14:paraId="00000073">
            <w:pPr>
              <w:spacing w:line="240" w:lineRule="auto"/>
              <w:contextualSpacing w:val="0"/>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74">
            <w:pPr>
              <w:spacing w:line="240" w:lineRule="auto"/>
              <w:ind w:right="-334"/>
              <w:contextualSpacing w:val="0"/>
              <w:rPr/>
            </w:pPr>
            <w:r w:rsidDel="00000000" w:rsidR="00000000" w:rsidRPr="00000000">
              <w:rPr>
                <w:rtl w:val="0"/>
              </w:rPr>
            </w:r>
          </w:p>
          <w:p w:rsidR="00000000" w:rsidDel="00000000" w:rsidP="00000000" w:rsidRDefault="00000000" w:rsidRPr="00000000" w14:paraId="00000075">
            <w:pPr>
              <w:spacing w:line="240" w:lineRule="auto"/>
              <w:ind w:right="-334"/>
              <w:contextualSpacing w:val="0"/>
              <w:rPr/>
            </w:pPr>
            <w:r w:rsidDel="00000000" w:rsidR="00000000" w:rsidRPr="00000000">
              <w:rPr>
                <w:rtl w:val="0"/>
              </w:rPr>
            </w:r>
          </w:p>
          <w:p w:rsidR="00000000" w:rsidDel="00000000" w:rsidP="00000000" w:rsidRDefault="00000000" w:rsidRPr="00000000" w14:paraId="00000076">
            <w:pPr>
              <w:spacing w:line="240" w:lineRule="auto"/>
              <w:ind w:right="-334"/>
              <w:contextualSpacing w:val="0"/>
              <w:rPr/>
            </w:pPr>
            <w:r w:rsidDel="00000000" w:rsidR="00000000" w:rsidRPr="00000000">
              <w:rPr>
                <w:rtl w:val="0"/>
              </w:rPr>
            </w:r>
          </w:p>
        </w:tc>
      </w:tr>
      <w:tr>
        <w:trPr>
          <w:trHeight w:val="720" w:hRule="atLeast"/>
        </w:trPr>
        <w:tc>
          <w:tcPr>
            <w:gridSpan w:val="2"/>
            <w:vAlign w:val="top"/>
          </w:tcPr>
          <w:p w:rsidR="00000000" w:rsidDel="00000000" w:rsidP="00000000" w:rsidRDefault="00000000" w:rsidRPr="00000000" w14:paraId="0000007B">
            <w:pPr>
              <w:spacing w:line="240" w:lineRule="auto"/>
              <w:contextualSpacing w:val="0"/>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D">
            <w:pPr>
              <w:spacing w:line="240" w:lineRule="auto"/>
              <w:contextualSpacing w:val="0"/>
              <w:rPr/>
            </w:pPr>
            <w:r w:rsidDel="00000000" w:rsidR="00000000" w:rsidRPr="00000000">
              <w:rPr>
                <w:rtl w:val="0"/>
              </w:rPr>
              <w:t xml:space="preserve">Date:</w:t>
            </w:r>
          </w:p>
        </w:tc>
      </w:tr>
    </w:tbl>
    <w:p w:rsidR="00000000" w:rsidDel="00000000" w:rsidP="00000000" w:rsidRDefault="00000000" w:rsidRPr="00000000" w14:paraId="00000080">
      <w:pPr>
        <w:spacing w:line="240" w:lineRule="auto"/>
        <w:ind w:right="-334"/>
        <w:contextualSpacing w:val="0"/>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81">
      <w:pPr>
        <w:contextualSpacing w:val="0"/>
        <w:rPr/>
      </w:pPr>
      <w:r w:rsidDel="00000000" w:rsidR="00000000" w:rsidRPr="00000000">
        <w:rPr>
          <w:rtl w:val="0"/>
        </w:rPr>
      </w:r>
    </w:p>
    <w:p w:rsidR="00000000" w:rsidDel="00000000" w:rsidP="00000000" w:rsidRDefault="00000000" w:rsidRPr="00000000" w14:paraId="00000082">
      <w:pPr>
        <w:contextualSpacing w:val="0"/>
        <w:rPr/>
      </w:pPr>
      <w:r w:rsidDel="00000000" w:rsidR="00000000" w:rsidRPr="00000000">
        <w:rPr>
          <w:b w:val="1"/>
          <w:rtl w:val="0"/>
        </w:rPr>
        <w:t xml:space="preserve">Feminine writing “will always surpass the discourse that regulates the phallocentric system”</w:t>
      </w:r>
      <w:r w:rsidDel="00000000" w:rsidR="00000000" w:rsidRPr="00000000">
        <w:rPr>
          <w:b w:val="1"/>
          <w:vertAlign w:val="superscript"/>
        </w:rPr>
        <w:footnoteReference w:customMarkFollows="0" w:id="0"/>
      </w:r>
      <w:r w:rsidDel="00000000" w:rsidR="00000000" w:rsidRPr="00000000">
        <w:rPr>
          <w:b w:val="1"/>
          <w:rtl w:val="0"/>
        </w:rPr>
        <w:t xml:space="preserve">: how much does </w:t>
      </w:r>
      <w:r w:rsidDel="00000000" w:rsidR="00000000" w:rsidRPr="00000000">
        <w:rPr>
          <w:b w:val="1"/>
          <w:i w:val="1"/>
          <w:rtl w:val="0"/>
        </w:rPr>
        <w:t xml:space="preserve">The Book of Margery Kempe</w:t>
      </w:r>
      <w:r w:rsidDel="00000000" w:rsidR="00000000" w:rsidRPr="00000000">
        <w:rPr>
          <w:b w:val="1"/>
          <w:rtl w:val="0"/>
        </w:rPr>
        <w:t xml:space="preserve"> align with this statement from ‘The Laugh of The Medusa’ and to what extent is the character of Margery Kempe freed from the Freudian idea of the mother through her relationship with God?</w:t>
      </w:r>
      <w:r w:rsidDel="00000000" w:rsidR="00000000" w:rsidRPr="00000000">
        <w:rPr>
          <w:rtl w:val="0"/>
        </w:rPr>
      </w:r>
    </w:p>
    <w:p w:rsidR="00000000" w:rsidDel="00000000" w:rsidP="00000000" w:rsidRDefault="00000000" w:rsidRPr="00000000" w14:paraId="00000083">
      <w:pPr>
        <w:contextualSpacing w:val="0"/>
        <w:rPr/>
      </w:pPr>
      <w:r w:rsidDel="00000000" w:rsidR="00000000" w:rsidRPr="00000000">
        <w:rPr>
          <w:rtl w:val="0"/>
        </w:rPr>
      </w:r>
    </w:p>
    <w:p w:rsidR="00000000" w:rsidDel="00000000" w:rsidP="00000000" w:rsidRDefault="00000000" w:rsidRPr="00000000" w14:paraId="00000084">
      <w:pPr>
        <w:contextualSpacing w:val="0"/>
        <w:rPr/>
      </w:pPr>
      <w:r w:rsidDel="00000000" w:rsidR="00000000" w:rsidRPr="00000000">
        <w:rPr>
          <w:rtl w:val="0"/>
        </w:rPr>
        <w:t xml:space="preserve">In her answer to Freudian and Lacanian criticism, ‘The Laugh of the Medusa’, Helene Cixous poses a rather contentious question in the essay’s concluding pages: “</w:t>
      </w:r>
      <w:r w:rsidDel="00000000" w:rsidR="00000000" w:rsidRPr="00000000">
        <w:rPr>
          <w:rtl w:val="0"/>
        </w:rPr>
        <w:t xml:space="preserve">man, are you still going to bank on everyone's blindness and passivity, afraid lest the child make a father and consequently, that in having a kid the woman land herself more than one bad real by engendering all at once child-mother-father-family?”</w:t>
      </w:r>
      <w:r w:rsidDel="00000000" w:rsidR="00000000" w:rsidRPr="00000000">
        <w:rPr>
          <w:vertAlign w:val="superscript"/>
        </w:rPr>
        <w:footnoteReference w:customMarkFollows="0" w:id="1"/>
      </w:r>
      <w:r w:rsidDel="00000000" w:rsidR="00000000" w:rsidRPr="00000000">
        <w:rPr>
          <w:rtl w:val="0"/>
        </w:rPr>
        <w:t xml:space="preserve"> A challenge is clearly issued here by Cixous towards men, which not only makes them one of the origin points for phallocentrism, but also answerable to solving the problem of the patriarchal oppression of women throughout history. But a woman's own responsibilities in achieving their freedom is the more pressing issue in ‘The Laugh of the Medusa’. Cixous argues that “woman will return to the body which has been more than confiscated from her”</w:t>
      </w:r>
      <w:r w:rsidDel="00000000" w:rsidR="00000000" w:rsidRPr="00000000">
        <w:rPr>
          <w:vertAlign w:val="superscript"/>
        </w:rPr>
        <w:footnoteReference w:customMarkFollows="0" w:id="2"/>
      </w:r>
      <w:r w:rsidDel="00000000" w:rsidR="00000000" w:rsidRPr="00000000">
        <w:rPr>
          <w:rtl w:val="0"/>
        </w:rPr>
        <w:t xml:space="preserve"> through one key method: the act of writing. She insists that it is women who must rewrite discourse by rewriting the histories that allow such dialogue, in order to fight against patriarchal structures that have omitted women from cultural history. </w:t>
      </w:r>
      <w:r w:rsidDel="00000000" w:rsidR="00000000" w:rsidRPr="00000000">
        <w:rPr>
          <w:i w:val="1"/>
          <w:rtl w:val="0"/>
        </w:rPr>
        <w:t xml:space="preserve">The book of Margery Kempe </w:t>
      </w:r>
      <w:r w:rsidDel="00000000" w:rsidR="00000000" w:rsidRPr="00000000">
        <w:rPr>
          <w:rtl w:val="0"/>
        </w:rPr>
        <w:t xml:space="preserve">is accepted as the earliest form of autobiographical writing in documented English literary history, but it is its female writer, who features also as the text’s narrator and protagonist, who is the main topic of discussion when examining her text. A woman who writes of her religious experiences and conversations she believed she experienced with God, Margery’s ability to somewhat transcend her everyday domestic role as a mother and wife is certainly an interesting literary example to apply to Cixous’ theories on feminine texts. </w:t>
      </w:r>
      <w:r w:rsidDel="00000000" w:rsidR="00000000" w:rsidRPr="00000000">
        <w:rPr>
          <w:rtl w:val="0"/>
        </w:rPr>
        <w:t xml:space="preserve">Although Margery’s role as a literal mother is not the key to her character, Margery Kempe is still bound somewhat by the psychoanalytic notion of the Mother. While her ability as a woman allows her to express her own history in the ‘feminine writing’ style that Cixous encourages, the protagonist is still repressed by her female sex, as her only power seems to exist as a byproduct of her relationship with God, a male figure.</w:t>
      </w:r>
    </w:p>
    <w:p w:rsidR="00000000" w:rsidDel="00000000" w:rsidP="00000000" w:rsidRDefault="00000000" w:rsidRPr="00000000" w14:paraId="00000085">
      <w:pPr>
        <w:contextualSpacing w:val="0"/>
        <w:rPr/>
      </w:pPr>
      <w:r w:rsidDel="00000000" w:rsidR="00000000" w:rsidRPr="00000000">
        <w:rPr>
          <w:rtl w:val="0"/>
        </w:rPr>
      </w:r>
    </w:p>
    <w:p w:rsidR="00000000" w:rsidDel="00000000" w:rsidP="00000000" w:rsidRDefault="00000000" w:rsidRPr="00000000" w14:paraId="00000086">
      <w:pPr>
        <w:contextualSpacing w:val="0"/>
        <w:rPr/>
      </w:pPr>
      <w:r w:rsidDel="00000000" w:rsidR="00000000" w:rsidRPr="00000000">
        <w:rPr>
          <w:rtl w:val="0"/>
        </w:rPr>
        <w:t xml:space="preserve">Margery Kempe’s tale starts, after an eye opening Proem, with Margery’s illness during pregnancy; </w:t>
      </w:r>
      <w:r w:rsidDel="00000000" w:rsidR="00000000" w:rsidRPr="00000000">
        <w:rPr>
          <w:rtl w:val="0"/>
        </w:rPr>
        <w:t xml:space="preserve">“</w:t>
      </w:r>
      <w:r w:rsidDel="00000000" w:rsidR="00000000" w:rsidRPr="00000000">
        <w:rPr>
          <w:rtl w:val="0"/>
        </w:rPr>
        <w:t xml:space="preserve">she was troubled with severe attacks of sickness until the child was born”</w:t>
      </w:r>
      <w:r w:rsidDel="00000000" w:rsidR="00000000" w:rsidRPr="00000000">
        <w:rPr>
          <w:vertAlign w:val="superscript"/>
        </w:rPr>
        <w:footnoteReference w:customMarkFollows="0" w:id="3"/>
      </w:r>
      <w:r w:rsidDel="00000000" w:rsidR="00000000" w:rsidRPr="00000000">
        <w:rPr>
          <w:rtl w:val="0"/>
        </w:rPr>
        <w:t xml:space="preserve"> and her health declines so much that “after her child was born, and not believing she would live”</w:t>
      </w:r>
      <w:r w:rsidDel="00000000" w:rsidR="00000000" w:rsidRPr="00000000">
        <w:rPr>
          <w:vertAlign w:val="superscript"/>
        </w:rPr>
        <w:footnoteReference w:customMarkFollows="0" w:id="4"/>
      </w:r>
      <w:r w:rsidDel="00000000" w:rsidR="00000000" w:rsidRPr="00000000">
        <w:rPr>
          <w:rtl w:val="0"/>
        </w:rPr>
        <w:t xml:space="preserve">, Margery confesses all her sins, the moment which starts her internal conversation with God. </w:t>
      </w:r>
      <w:r w:rsidDel="00000000" w:rsidR="00000000" w:rsidRPr="00000000">
        <w:rPr>
          <w:rtl w:val="0"/>
        </w:rPr>
        <w:t xml:space="preserve">As the inciting incident to Margery’s narrative, her sickness serves an interesting purpose: immediately, we see how to our protagonist, Margery’s first experience of motherhood quickly becomes associated with pain and suffering. But seemingly, that is its only function; after this mention, Margery’s narrative has little concern for her role as a mother. Details of her family are only placed sporadically throughout the book, with quick statements of how, for her husband’s sake, “she had bore him children during that time”</w:t>
      </w:r>
      <w:r w:rsidDel="00000000" w:rsidR="00000000" w:rsidRPr="00000000">
        <w:rPr>
          <w:vertAlign w:val="superscript"/>
        </w:rPr>
        <w:footnoteReference w:customMarkFollows="0" w:id="5"/>
      </w:r>
      <w:r w:rsidDel="00000000" w:rsidR="00000000" w:rsidRPr="00000000">
        <w:rPr>
          <w:rtl w:val="0"/>
        </w:rPr>
        <w:t xml:space="preserve"> and how Margery explains that her loyalty is tied to her “husband’s body, to whom I am bound by the law of matrimony, and by whom I have borne fourteen children.”</w:t>
      </w:r>
      <w:r w:rsidDel="00000000" w:rsidR="00000000" w:rsidRPr="00000000">
        <w:rPr>
          <w:vertAlign w:val="superscript"/>
        </w:rPr>
        <w:footnoteReference w:customMarkFollows="0" w:id="6"/>
      </w:r>
      <w:r w:rsidDel="00000000" w:rsidR="00000000" w:rsidRPr="00000000">
        <w:rPr>
          <w:rtl w:val="0"/>
        </w:rPr>
        <w:t xml:space="preserve"> Of course, Margery is more concerned with capturing her spiritual journey with God, so a lack of autobiographical information is not surprising. As Cixous states in ‘The Laugh of the Medusa’, it is up to women to “put herself into the text - as into the world and into history - by her own movement”</w:t>
      </w:r>
      <w:r w:rsidDel="00000000" w:rsidR="00000000" w:rsidRPr="00000000">
        <w:rPr>
          <w:vertAlign w:val="superscript"/>
        </w:rPr>
        <w:footnoteReference w:customMarkFollows="0" w:id="7"/>
      </w:r>
      <w:r w:rsidDel="00000000" w:rsidR="00000000" w:rsidRPr="00000000">
        <w:rPr>
          <w:rtl w:val="0"/>
        </w:rPr>
        <w:t xml:space="preserve">, and Margery certainly achieves this. In her eyes, </w:t>
      </w:r>
      <w:r w:rsidDel="00000000" w:rsidR="00000000" w:rsidRPr="00000000">
        <w:rPr>
          <w:rtl w:val="0"/>
        </w:rPr>
        <w:t xml:space="preserve">her children, and her relationship as their caregiver, are just insignificant details of an Earthly life, far inferior to the spiritual calling of being one of God’s most obedient subjects. But also it is curious, how she describes her family relationships as ‘bound by the law’; she detaches herself from the role of wife and mother by citing legal structures as the reason for her position, rather than her own will. Indeed, she seems almost subversively defiant in this statement, against the patriarchal view of a mother as maternal, nurturing primary caregiver. By diminishing the importance of her motherhood and position in the familial structure, Margery allows the reader to view her narrative how she intended, with the focus being her devotion to God. In a context when motherhood was viewed as the main purpose of the female sex, the story of a medieval woman carrying such an important duty, as a human envoy for the Lord, would free Margery somewhat from her inferior position in 1400s England. Therefore she achieves what Cixous asks women to do in writing; Margery frees herself by writing from a female perspective that allows her to “return to the body which has been more than confiscated from her”</w:t>
      </w:r>
      <w:r w:rsidDel="00000000" w:rsidR="00000000" w:rsidRPr="00000000">
        <w:rPr>
          <w:vertAlign w:val="superscript"/>
        </w:rPr>
        <w:footnoteReference w:customMarkFollows="0" w:id="8"/>
      </w:r>
      <w:r w:rsidDel="00000000" w:rsidR="00000000" w:rsidRPr="00000000">
        <w:rPr>
          <w:rtl w:val="0"/>
        </w:rPr>
        <w:t xml:space="preserve"> by patriarchal structures.</w:t>
      </w:r>
    </w:p>
    <w:p w:rsidR="00000000" w:rsidDel="00000000" w:rsidP="00000000" w:rsidRDefault="00000000" w:rsidRPr="00000000" w14:paraId="00000087">
      <w:pPr>
        <w:contextualSpacing w:val="0"/>
        <w:rPr/>
      </w:pPr>
      <w:r w:rsidDel="00000000" w:rsidR="00000000" w:rsidRPr="00000000">
        <w:rPr>
          <w:rtl w:val="0"/>
        </w:rPr>
      </w:r>
    </w:p>
    <w:p w:rsidR="00000000" w:rsidDel="00000000" w:rsidP="00000000" w:rsidRDefault="00000000" w:rsidRPr="00000000" w14:paraId="00000088">
      <w:pPr>
        <w:contextualSpacing w:val="0"/>
        <w:rPr/>
      </w:pPr>
      <w:r w:rsidDel="00000000" w:rsidR="00000000" w:rsidRPr="00000000">
        <w:rPr>
          <w:rtl w:val="0"/>
        </w:rPr>
        <w:t xml:space="preserve">Cixous argues that </w:t>
      </w:r>
      <w:r w:rsidDel="00000000" w:rsidR="00000000" w:rsidRPr="00000000">
        <w:rPr>
          <w:rtl w:val="0"/>
        </w:rPr>
        <w:t xml:space="preserve">“woman must write woman”</w:t>
      </w:r>
      <w:r w:rsidDel="00000000" w:rsidR="00000000" w:rsidRPr="00000000">
        <w:rPr>
          <w:vertAlign w:val="superscript"/>
        </w:rPr>
        <w:footnoteReference w:customMarkFollows="0" w:id="9"/>
      </w:r>
      <w:r w:rsidDel="00000000" w:rsidR="00000000" w:rsidRPr="00000000">
        <w:rPr>
          <w:rtl w:val="0"/>
        </w:rPr>
        <w:t xml:space="preserve"> and it is they who must tell their own histories, in order to escape the stories that masculine writers have placed them in and confined them to. For her, “the unconscious, that other limitless country, is the place where the repressed managed to survive”</w:t>
      </w:r>
      <w:r w:rsidDel="00000000" w:rsidR="00000000" w:rsidRPr="00000000">
        <w:rPr>
          <w:vertAlign w:val="superscript"/>
        </w:rPr>
        <w:footnoteReference w:customMarkFollows="0" w:id="10"/>
      </w:r>
      <w:r w:rsidDel="00000000" w:rsidR="00000000" w:rsidRPr="00000000">
        <w:rPr>
          <w:rtl w:val="0"/>
        </w:rPr>
        <w:t xml:space="preserve"> and this seems to ring true for Margery Kempe. She writes her own history, although it may have been literally been scribed for her; </w:t>
      </w:r>
      <w:r w:rsidDel="00000000" w:rsidR="00000000" w:rsidRPr="00000000">
        <w:rPr>
          <w:i w:val="1"/>
          <w:rtl w:val="0"/>
        </w:rPr>
        <w:t xml:space="preserve">The book of Margery Kempe </w:t>
      </w:r>
      <w:r w:rsidDel="00000000" w:rsidR="00000000" w:rsidRPr="00000000">
        <w:rPr>
          <w:rtl w:val="0"/>
        </w:rPr>
        <w:t xml:space="preserve">is quite literally a collection of the conversations she experiences with God in her soul. She experiences many intense, visceral visions of Jesus’ suffering during his crucifixion, as well as physically enduring the grief of his mother and Mary Magdalene during the ordeal. Margery has countless outbursts during these experiences, collapsing on the floor while crying and “twisting and turning her body amazingly on every side, spreading her arms out wide as if she would have died”.</w:t>
      </w:r>
      <w:r w:rsidDel="00000000" w:rsidR="00000000" w:rsidRPr="00000000">
        <w:rPr>
          <w:vertAlign w:val="superscript"/>
        </w:rPr>
        <w:footnoteReference w:customMarkFollows="0" w:id="11"/>
      </w:r>
      <w:r w:rsidDel="00000000" w:rsidR="00000000" w:rsidRPr="00000000">
        <w:rPr>
          <w:rtl w:val="0"/>
        </w:rPr>
        <w:t xml:space="preserve"> These physical manifestations of Margery’s love to God are a defined part of her gender, according to Cixous, as it is women who “physically materializes what she’s thinking”, who “signifies it with her body.”</w:t>
      </w:r>
      <w:r w:rsidDel="00000000" w:rsidR="00000000" w:rsidRPr="00000000">
        <w:rPr>
          <w:vertAlign w:val="superscript"/>
        </w:rPr>
        <w:footnoteReference w:customMarkFollows="0" w:id="12"/>
      </w:r>
      <w:r w:rsidDel="00000000" w:rsidR="00000000" w:rsidRPr="00000000">
        <w:rPr>
          <w:rtl w:val="0"/>
        </w:rPr>
        <w:t xml:space="preserve"> This is a core part of the argument of female difference to men in ‘The Laugh of the Medusa’, as the critic describes how such actions, on a passionate woman’s body, emerge from the identity of the female sex. They feel deeper, therefore bodily inscriptions are stronger. With this theory, Margery is indeed able, as a woman, to demonstrate the intensity and sincerity of her love for Christ through such ‘twisting and turning’. But Margery herself seems to place little importance on her sex, although Cixous might argue that a natural female energy gives our protagonist this ability. Her character is referred to, consistently in narration, as “the/this said creature” and perhaps it is Margery’s indifference as a writer, concerning her the implications of her gender on both her religious and everyday life, that frees her from typical patriarchal constraints as a medieval women. Renowned critic Caroline Bynum seems to think so: in her book </w:t>
      </w:r>
      <w:r w:rsidDel="00000000" w:rsidR="00000000" w:rsidRPr="00000000">
        <w:rPr>
          <w:i w:val="1"/>
          <w:rtl w:val="0"/>
        </w:rPr>
        <w:t xml:space="preserve">Fragmentation and redemption</w:t>
      </w:r>
      <w:r w:rsidDel="00000000" w:rsidR="00000000" w:rsidRPr="00000000">
        <w:rPr>
          <w:rtl w:val="0"/>
        </w:rPr>
        <w:t xml:space="preserve">, Bynum explores the role of women in medieval literature concerned with Christianity and mysticism, and one of her many examples is </w:t>
      </w:r>
      <w:r w:rsidDel="00000000" w:rsidR="00000000" w:rsidRPr="00000000">
        <w:rPr>
          <w:i w:val="1"/>
          <w:rtl w:val="0"/>
        </w:rPr>
        <w:t xml:space="preserve">The book of Margery Kempe</w:t>
      </w:r>
      <w:r w:rsidDel="00000000" w:rsidR="00000000" w:rsidRPr="00000000">
        <w:rPr>
          <w:rtl w:val="0"/>
        </w:rPr>
        <w:t xml:space="preserve">. Bynum identifies that female medieval writers “did not have a strong sense of binary opposites grouped around the male/female contrast. They did not associate specific characteristics or roles - such as authority, rationality, nurture, emotion - with one or the other sex.”</w:t>
      </w:r>
      <w:r w:rsidDel="00000000" w:rsidR="00000000" w:rsidRPr="00000000">
        <w:rPr>
          <w:vertAlign w:val="superscript"/>
        </w:rPr>
        <w:footnoteReference w:customMarkFollows="0" w:id="13"/>
      </w:r>
      <w:r w:rsidDel="00000000" w:rsidR="00000000" w:rsidRPr="00000000">
        <w:rPr>
          <w:rtl w:val="0"/>
        </w:rPr>
        <w:t xml:space="preserve"> If we are to accept this statement, then Margery’s indifference to being female would make sense with her role as an author; her characteristics as a devout worshipper and role as a messenger for God are clearly more important to her narrative, and these examples of dual gender imagery allow her “to release highly erotic energy toward God.”</w:t>
      </w:r>
      <w:r w:rsidDel="00000000" w:rsidR="00000000" w:rsidRPr="00000000">
        <w:rPr>
          <w:vertAlign w:val="superscript"/>
        </w:rPr>
        <w:footnoteReference w:customMarkFollows="0" w:id="14"/>
      </w:r>
      <w:r w:rsidDel="00000000" w:rsidR="00000000" w:rsidRPr="00000000">
        <w:rPr>
          <w:rtl w:val="0"/>
        </w:rPr>
        <w:t xml:space="preserve"> Margery is seemingly able to escape to escape the confinement of the medieval women as a mother and wife, by her spiritual journey and her writing of it. As Jane Gallop states in her own analysis on the figure of the Mother in literature, any “attempt to write outside the dominant discourse could be construed as a try for the other”</w:t>
      </w:r>
      <w:r w:rsidDel="00000000" w:rsidR="00000000" w:rsidRPr="00000000">
        <w:rPr>
          <w:vertAlign w:val="superscript"/>
        </w:rPr>
        <w:footnoteReference w:customMarkFollows="0" w:id="15"/>
      </w:r>
      <w:r w:rsidDel="00000000" w:rsidR="00000000" w:rsidRPr="00000000">
        <w:rPr>
          <w:rtl w:val="0"/>
        </w:rPr>
        <w:t xml:space="preserve">; in the eyes of Cixous, Margery’s book escapes the phallocentric discourse of patriarchal literature because it is a product of feminine writing, written in this spiritual discourse which does not rely on patriarchal values.</w:t>
      </w:r>
    </w:p>
    <w:p w:rsidR="00000000" w:rsidDel="00000000" w:rsidP="00000000" w:rsidRDefault="00000000" w:rsidRPr="00000000" w14:paraId="00000089">
      <w:pPr>
        <w:contextualSpacing w:val="0"/>
        <w:rPr/>
      </w:pPr>
      <w:r w:rsidDel="00000000" w:rsidR="00000000" w:rsidRPr="00000000">
        <w:rPr>
          <w:rtl w:val="0"/>
        </w:rPr>
      </w:r>
    </w:p>
    <w:p w:rsidR="00000000" w:rsidDel="00000000" w:rsidP="00000000" w:rsidRDefault="00000000" w:rsidRPr="00000000" w14:paraId="0000008A">
      <w:pPr>
        <w:contextualSpacing w:val="0"/>
        <w:rPr/>
      </w:pPr>
      <w:r w:rsidDel="00000000" w:rsidR="00000000" w:rsidRPr="00000000">
        <w:rPr>
          <w:rtl w:val="0"/>
        </w:rPr>
        <w:t xml:space="preserve">Yet Margery’s role as narrator of her own story may not be her only method of achieving freedom; indeed, if we examine the driving force behind her willpower, it is the figure of God who allows her to break from her earthly role of mother and wife. After having the initial spiritual connection with him during her illness after childbirth, God gives Margery various tidbits of advice, or rather instructions, throughout the story that allow her to have an identity outside the familio-social structure. Her pilgrimages start upon the command of God; our female narrator and author informs us of how “our Lord Christ Jesus said to her that she should bear no more children, and therefore commanded her to go to Norwich.”</w:t>
      </w:r>
      <w:r w:rsidDel="00000000" w:rsidR="00000000" w:rsidRPr="00000000">
        <w:rPr>
          <w:vertAlign w:val="superscript"/>
        </w:rPr>
        <w:footnoteReference w:customMarkFollows="0" w:id="16"/>
      </w:r>
      <w:r w:rsidDel="00000000" w:rsidR="00000000" w:rsidRPr="00000000">
        <w:rPr>
          <w:rtl w:val="0"/>
        </w:rPr>
        <w:t xml:space="preserve"> Ten pages later, God also offers a reassuring solution when Margery suddenly becomes, quite reluctantly, pregnant: </w:t>
      </w:r>
    </w:p>
    <w:p w:rsidR="00000000" w:rsidDel="00000000" w:rsidP="00000000" w:rsidRDefault="00000000" w:rsidRPr="00000000" w14:paraId="0000008B">
      <w:pPr>
        <w:contextualSpacing w:val="0"/>
        <w:rPr/>
      </w:pPr>
      <w:r w:rsidDel="00000000" w:rsidR="00000000" w:rsidRPr="00000000">
        <w:rPr>
          <w:rtl w:val="0"/>
        </w:rPr>
      </w:r>
    </w:p>
    <w:p w:rsidR="00000000" w:rsidDel="00000000" w:rsidP="00000000" w:rsidRDefault="00000000" w:rsidRPr="00000000" w14:paraId="0000008C">
      <w:pPr>
        <w:contextualSpacing w:val="0"/>
        <w:jc w:val="center"/>
        <w:rPr/>
      </w:pPr>
      <w:r w:rsidDel="00000000" w:rsidR="00000000" w:rsidRPr="00000000">
        <w:rPr>
          <w:rtl w:val="0"/>
        </w:rPr>
        <w:t xml:space="preserve">...our Lord said to her, ‘Daughter, you are with child.’ </w:t>
      </w:r>
    </w:p>
    <w:p w:rsidR="00000000" w:rsidDel="00000000" w:rsidP="00000000" w:rsidRDefault="00000000" w:rsidRPr="00000000" w14:paraId="0000008D">
      <w:pPr>
        <w:contextualSpacing w:val="0"/>
        <w:jc w:val="center"/>
        <w:rPr/>
      </w:pPr>
      <w:r w:rsidDel="00000000" w:rsidR="00000000" w:rsidRPr="00000000">
        <w:rPr>
          <w:rtl w:val="0"/>
        </w:rPr>
        <w:t xml:space="preserve">She replied, ‘Ah, Lord, what shall I do about looking after my child?’ </w:t>
      </w:r>
    </w:p>
    <w:p w:rsidR="00000000" w:rsidDel="00000000" w:rsidP="00000000" w:rsidRDefault="00000000" w:rsidRPr="00000000" w14:paraId="0000008E">
      <w:pPr>
        <w:contextualSpacing w:val="0"/>
        <w:jc w:val="center"/>
        <w:rPr/>
      </w:pPr>
      <w:r w:rsidDel="00000000" w:rsidR="00000000" w:rsidRPr="00000000">
        <w:rPr>
          <w:rtl w:val="0"/>
        </w:rPr>
        <w:t xml:space="preserve">Our Lord said, ‘Daughter, don’t be afraid, I shall arrange for it to be looked after.’</w:t>
      </w:r>
      <w:r w:rsidDel="00000000" w:rsidR="00000000" w:rsidRPr="00000000">
        <w:rPr>
          <w:vertAlign w:val="superscript"/>
        </w:rPr>
        <w:footnoteReference w:customMarkFollows="0" w:id="17"/>
      </w:r>
      <w:r w:rsidDel="00000000" w:rsidR="00000000" w:rsidRPr="00000000">
        <w:rPr>
          <w:rtl w:val="0"/>
        </w:rPr>
      </w:r>
    </w:p>
    <w:p w:rsidR="00000000" w:rsidDel="00000000" w:rsidP="00000000" w:rsidRDefault="00000000" w:rsidRPr="00000000" w14:paraId="0000008F">
      <w:pPr>
        <w:contextualSpacing w:val="0"/>
        <w:rPr/>
      </w:pPr>
      <w:r w:rsidDel="00000000" w:rsidR="00000000" w:rsidRPr="00000000">
        <w:rPr>
          <w:rtl w:val="0"/>
        </w:rPr>
      </w:r>
    </w:p>
    <w:p w:rsidR="00000000" w:rsidDel="00000000" w:rsidP="00000000" w:rsidRDefault="00000000" w:rsidRPr="00000000" w14:paraId="00000090">
      <w:pPr>
        <w:contextualSpacing w:val="0"/>
        <w:rPr/>
      </w:pPr>
      <w:r w:rsidDel="00000000" w:rsidR="00000000" w:rsidRPr="00000000">
        <w:rPr>
          <w:rtl w:val="0"/>
        </w:rPr>
        <w:t xml:space="preserve">Although to Margery God’s words offer spiritual and emotional comfort, the words Margery uses, such as ‘command’ and ‘arrange’, in the passages above connote a more resolute undertone than usual advice. In addition, the news of her child is delivered to Margery using the imperative mood, phrased in a manner that doesn't allow Margery much scope to discuss the possibility of carrying, or not carrying, her own child. ‘The Laugh of the Medusa’ contains the bold statement that a</w:t>
      </w:r>
      <w:r w:rsidDel="00000000" w:rsidR="00000000" w:rsidRPr="00000000">
        <w:rPr>
          <w:sz w:val="20"/>
          <w:szCs w:val="20"/>
          <w:rtl w:val="0"/>
        </w:rPr>
        <w:t xml:space="preserve"> </w:t>
      </w:r>
      <w:r w:rsidDel="00000000" w:rsidR="00000000" w:rsidRPr="00000000">
        <w:rPr>
          <w:rtl w:val="0"/>
        </w:rPr>
        <w:t xml:space="preserve">“feminine text cannot fail to be more than subversive” since as an alternative discourse to patriarchal literature, “it brings about an upheaval of the old property crusts, carrier of masculine investments”</w:t>
      </w:r>
      <w:r w:rsidDel="00000000" w:rsidR="00000000" w:rsidRPr="00000000">
        <w:rPr>
          <w:vertAlign w:val="superscript"/>
        </w:rPr>
        <w:footnoteReference w:customMarkFollows="0" w:id="18"/>
      </w:r>
      <w:r w:rsidDel="00000000" w:rsidR="00000000" w:rsidRPr="00000000">
        <w:rPr>
          <w:rtl w:val="0"/>
        </w:rPr>
        <w:t xml:space="preserve">. However, Cixous also considers how often the typical masculine portrayal of a woman “never has her turn to speak”</w:t>
      </w:r>
      <w:r w:rsidDel="00000000" w:rsidR="00000000" w:rsidRPr="00000000">
        <w:rPr>
          <w:vertAlign w:val="superscript"/>
        </w:rPr>
        <w:footnoteReference w:customMarkFollows="0" w:id="19"/>
      </w:r>
      <w:r w:rsidDel="00000000" w:rsidR="00000000" w:rsidRPr="00000000">
        <w:rPr>
          <w:rtl w:val="0"/>
        </w:rPr>
        <w:t xml:space="preserve"> and how male dominance in literature still highlights the  “virtue of affirming the primacy of the phallus”</w:t>
      </w:r>
      <w:r w:rsidDel="00000000" w:rsidR="00000000" w:rsidRPr="00000000">
        <w:rPr>
          <w:vertAlign w:val="superscript"/>
        </w:rPr>
        <w:footnoteReference w:customMarkFollows="0" w:id="20"/>
      </w:r>
      <w:r w:rsidDel="00000000" w:rsidR="00000000" w:rsidRPr="00000000">
        <w:rPr>
          <w:rtl w:val="0"/>
        </w:rPr>
        <w:t xml:space="preserve">. Of course, this is to be somewhat expected in the context of medieval England, as the subordination of women was commonplace, but feminist historian Judith Bennett argues that we should not always be so quick to accept this version of history. In her book </w:t>
      </w:r>
      <w:r w:rsidDel="00000000" w:rsidR="00000000" w:rsidRPr="00000000">
        <w:rPr>
          <w:i w:val="1"/>
          <w:rtl w:val="0"/>
        </w:rPr>
        <w:t xml:space="preserve">History Matters</w:t>
      </w:r>
      <w:r w:rsidDel="00000000" w:rsidR="00000000" w:rsidRPr="00000000">
        <w:rPr>
          <w:rtl w:val="0"/>
        </w:rPr>
        <w:t xml:space="preserve">, she reminds us that throughout the masculine depictions of history, “ancient and medieval historians have steadily chipped away at the notion that these premodern (and precapitalist) eras were somehow relatively golden for women.”</w:t>
      </w:r>
      <w:r w:rsidDel="00000000" w:rsidR="00000000" w:rsidRPr="00000000">
        <w:rPr>
          <w:vertAlign w:val="superscript"/>
        </w:rPr>
        <w:footnoteReference w:customMarkFollows="0" w:id="21"/>
      </w:r>
      <w:r w:rsidDel="00000000" w:rsidR="00000000" w:rsidRPr="00000000">
        <w:rPr>
          <w:rtl w:val="0"/>
        </w:rPr>
        <w:t xml:space="preserve"> Perhaps we should not accept that Margery’s freedom could only be achieved through God; as Cixous insists, with the clever use of her titular metaphor, women just need</w:t>
      </w:r>
      <w:r w:rsidDel="00000000" w:rsidR="00000000" w:rsidRPr="00000000">
        <w:rPr>
          <w:sz w:val="20"/>
          <w:szCs w:val="20"/>
          <w:rtl w:val="0"/>
        </w:rPr>
        <w:t xml:space="preserve"> </w:t>
      </w:r>
      <w:r w:rsidDel="00000000" w:rsidR="00000000" w:rsidRPr="00000000">
        <w:rPr>
          <w:rtl w:val="0"/>
        </w:rPr>
        <w:t xml:space="preserve">“to stop listening to the Sirens (for the Sirens were men) for history to change its meaning”</w:t>
      </w:r>
      <w:r w:rsidDel="00000000" w:rsidR="00000000" w:rsidRPr="00000000">
        <w:rPr>
          <w:vertAlign w:val="superscript"/>
        </w:rPr>
        <w:footnoteReference w:customMarkFollows="0" w:id="22"/>
      </w:r>
      <w:r w:rsidDel="00000000" w:rsidR="00000000" w:rsidRPr="00000000">
        <w:rPr>
          <w:rtl w:val="0"/>
        </w:rPr>
        <w:t xml:space="preserve">. After all, you “only have to look at the Medusa straight on to see her.”</w:t>
      </w:r>
      <w:r w:rsidDel="00000000" w:rsidR="00000000" w:rsidRPr="00000000">
        <w:rPr>
          <w:vertAlign w:val="superscript"/>
        </w:rPr>
        <w:footnoteReference w:customMarkFollows="0" w:id="23"/>
      </w:r>
      <w:r w:rsidDel="00000000" w:rsidR="00000000" w:rsidRPr="00000000">
        <w:rPr>
          <w:rtl w:val="0"/>
        </w:rPr>
      </w:r>
    </w:p>
    <w:p w:rsidR="00000000" w:rsidDel="00000000" w:rsidP="00000000" w:rsidRDefault="00000000" w:rsidRPr="00000000" w14:paraId="00000091">
      <w:pPr>
        <w:contextualSpacing w:val="0"/>
        <w:rPr/>
      </w:pPr>
      <w:r w:rsidDel="00000000" w:rsidR="00000000" w:rsidRPr="00000000">
        <w:rPr>
          <w:rtl w:val="0"/>
        </w:rPr>
      </w:r>
    </w:p>
    <w:p w:rsidR="00000000" w:rsidDel="00000000" w:rsidP="00000000" w:rsidRDefault="00000000" w:rsidRPr="00000000" w14:paraId="00000092">
      <w:pPr>
        <w:contextualSpacing w:val="0"/>
        <w:rPr/>
      </w:pPr>
      <w:r w:rsidDel="00000000" w:rsidR="00000000" w:rsidRPr="00000000">
        <w:rPr>
          <w:rtl w:val="0"/>
        </w:rPr>
        <w:t xml:space="preserve">However, that does not mean that Margery herself felt capable to leave her role as the Mother of her family, without assistance from God. In fact, she almost seems to step out of the former role merely to accept a new one, as God’s messenger. Margery takes this position extremely seriously: as well as the pilgrimages aforementioned, she undertakes all of God’s various tasks with minimal complaint. She quickly assumes the belief that all her good fortune comes from her devout compliance with her Lord’s wishes, since ‘no one may say a good word without the gift of the Holy Ghost’</w:t>
      </w:r>
      <w:r w:rsidDel="00000000" w:rsidR="00000000" w:rsidRPr="00000000">
        <w:rPr>
          <w:vertAlign w:val="superscript"/>
        </w:rPr>
        <w:footnoteReference w:customMarkFollows="0" w:id="24"/>
      </w:r>
      <w:r w:rsidDel="00000000" w:rsidR="00000000" w:rsidRPr="00000000">
        <w:rPr>
          <w:rtl w:val="0"/>
        </w:rPr>
        <w:t xml:space="preserve">. In Cixous’ terms, this declaration is problematic; while our protagonist is willingly doing what she feels is right, appearing to present herself “as a superb, equal, hence ‘impossible’ subject”</w:t>
      </w:r>
      <w:r w:rsidDel="00000000" w:rsidR="00000000" w:rsidRPr="00000000">
        <w:rPr>
          <w:vertAlign w:val="superscript"/>
        </w:rPr>
        <w:footnoteReference w:customMarkFollows="0" w:id="25"/>
      </w:r>
      <w:r w:rsidDel="00000000" w:rsidR="00000000" w:rsidRPr="00000000">
        <w:rPr>
          <w:rtl w:val="0"/>
        </w:rPr>
        <w:t xml:space="preserve"> of a medieval woman living a life outside of the domestic institution, these desires are secondary. Their primary origin is as the wishes of Jesus Christ, and though Margery may insist that her saviour’s needs are her own, such aspirations still belong to God. Can we argue then, that Margery is the writer of a feminine narrative, if all her characteristics, desires and actions are inspired by the God, two of whose forms are inherently masculine? Bynum’s quick analysis of Kempe in </w:t>
      </w:r>
      <w:r w:rsidDel="00000000" w:rsidR="00000000" w:rsidRPr="00000000">
        <w:rPr>
          <w:i w:val="1"/>
          <w:rtl w:val="0"/>
        </w:rPr>
        <w:t xml:space="preserve">Fragmentation and redemption </w:t>
      </w:r>
      <w:r w:rsidDel="00000000" w:rsidR="00000000" w:rsidRPr="00000000">
        <w:rPr>
          <w:rtl w:val="0"/>
        </w:rPr>
        <w:t xml:space="preserve">suggests she cannot be, since she shows such a dependence on God. God expects her full compliance, plus understanding of whose desires are to be served, voicing this several times throughout the story: ‘if you be obedient to my will, I shall be obedient to your will’</w:t>
      </w:r>
      <w:r w:rsidDel="00000000" w:rsidR="00000000" w:rsidRPr="00000000">
        <w:rPr>
          <w:vertAlign w:val="superscript"/>
        </w:rPr>
        <w:footnoteReference w:customMarkFollows="0" w:id="26"/>
      </w:r>
      <w:r w:rsidDel="00000000" w:rsidR="00000000" w:rsidRPr="00000000">
        <w:rPr>
          <w:rtl w:val="0"/>
        </w:rPr>
        <w:t xml:space="preserve">; ‘all this is my own goodness that I give to you, because of which you are bound to thank me.’</w:t>
      </w:r>
      <w:r w:rsidDel="00000000" w:rsidR="00000000" w:rsidRPr="00000000">
        <w:rPr>
          <w:vertAlign w:val="superscript"/>
        </w:rPr>
        <w:footnoteReference w:customMarkFollows="0" w:id="27"/>
      </w:r>
      <w:r w:rsidDel="00000000" w:rsidR="00000000" w:rsidRPr="00000000">
        <w:rPr>
          <w:rtl w:val="0"/>
        </w:rPr>
        <w:t xml:space="preserve"> Margery’s place in this relationship is very clearly subservient and Bynum identifies how these techniques used on her, of “ manipulation and maneuvering”</w:t>
      </w:r>
      <w:r w:rsidDel="00000000" w:rsidR="00000000" w:rsidRPr="00000000">
        <w:rPr>
          <w:vertAlign w:val="superscript"/>
        </w:rPr>
        <w:footnoteReference w:customMarkFollows="0" w:id="28"/>
      </w:r>
      <w:r w:rsidDel="00000000" w:rsidR="00000000" w:rsidRPr="00000000">
        <w:rPr>
          <w:rtl w:val="0"/>
        </w:rPr>
        <w:t xml:space="preserve">, then become Margery’s own tools (but still ultimately God’s) to use to her advantage:</w:t>
      </w:r>
    </w:p>
    <w:p w:rsidR="00000000" w:rsidDel="00000000" w:rsidP="00000000" w:rsidRDefault="00000000" w:rsidRPr="00000000" w14:paraId="00000093">
      <w:pPr>
        <w:contextualSpacing w:val="0"/>
        <w:rPr/>
      </w:pPr>
      <w:r w:rsidDel="00000000" w:rsidR="00000000" w:rsidRPr="00000000">
        <w:rPr>
          <w:rtl w:val="0"/>
        </w:rPr>
      </w:r>
    </w:p>
    <w:p w:rsidR="00000000" w:rsidDel="00000000" w:rsidP="00000000" w:rsidRDefault="00000000" w:rsidRPr="00000000" w14:paraId="00000094">
      <w:pPr>
        <w:contextualSpacing w:val="0"/>
        <w:jc w:val="center"/>
        <w:rPr/>
      </w:pPr>
      <w:r w:rsidDel="00000000" w:rsidR="00000000" w:rsidRPr="00000000">
        <w:rPr>
          <w:rtl w:val="0"/>
        </w:rPr>
        <w:t xml:space="preserve">Wandering on pilgrimage, she must take her husband along or find another male protector... God’s message is almost: ‘be grateful for the little liminality permitted to you.’</w:t>
      </w:r>
    </w:p>
    <w:p w:rsidR="00000000" w:rsidDel="00000000" w:rsidP="00000000" w:rsidRDefault="00000000" w:rsidRPr="00000000" w14:paraId="00000095">
      <w:pPr>
        <w:widowControl w:val="0"/>
        <w:spacing w:line="240" w:lineRule="auto"/>
        <w:contextualSpacing w:val="0"/>
        <w:rPr/>
      </w:pPr>
      <w:r w:rsidDel="00000000" w:rsidR="00000000" w:rsidRPr="00000000">
        <w:rPr>
          <w:rtl w:val="0"/>
        </w:rPr>
      </w:r>
    </w:p>
    <w:p w:rsidR="00000000" w:rsidDel="00000000" w:rsidP="00000000" w:rsidRDefault="00000000" w:rsidRPr="00000000" w14:paraId="00000096">
      <w:pPr>
        <w:contextualSpacing w:val="0"/>
        <w:rPr/>
      </w:pPr>
      <w:r w:rsidDel="00000000" w:rsidR="00000000" w:rsidRPr="00000000">
        <w:rPr>
          <w:rtl w:val="0"/>
        </w:rPr>
        <w:t xml:space="preserve">God is always the beneficiary of Margery’s achievements and good fortunes; he is the one who achieves what he intends through Margery’s service to him, and in order to achieve this, she still needs to utilise various males in the shape of confessors, travel partners, and even her husband, to fulfill God’s tasks. Cixous’ ‘antinarcissicm’, which she pushes women to defeat through the writing of their own stories, seems to still affect Margery (potentially a writer of a feminine text), as she suffers from the very defined “narcissism which loves itself only to be loved for what women haven’t got”</w:t>
      </w:r>
      <w:r w:rsidDel="00000000" w:rsidR="00000000" w:rsidRPr="00000000">
        <w:rPr>
          <w:vertAlign w:val="superscript"/>
        </w:rPr>
        <w:footnoteReference w:customMarkFollows="0" w:id="29"/>
      </w:r>
      <w:r w:rsidDel="00000000" w:rsidR="00000000" w:rsidRPr="00000000">
        <w:rPr>
          <w:rtl w:val="0"/>
        </w:rPr>
        <w:t xml:space="preserve">, priding instead the almighty God who she can never live up to.</w:t>
      </w:r>
    </w:p>
    <w:p w:rsidR="00000000" w:rsidDel="00000000" w:rsidP="00000000" w:rsidRDefault="00000000" w:rsidRPr="00000000" w14:paraId="00000097">
      <w:pPr>
        <w:contextualSpacing w:val="0"/>
        <w:rPr/>
      </w:pPr>
      <w:r w:rsidDel="00000000" w:rsidR="00000000" w:rsidRPr="00000000">
        <w:rPr>
          <w:rtl w:val="0"/>
        </w:rPr>
      </w:r>
    </w:p>
    <w:p w:rsidR="00000000" w:rsidDel="00000000" w:rsidP="00000000" w:rsidRDefault="00000000" w:rsidRPr="00000000" w14:paraId="00000098">
      <w:pPr>
        <w:contextualSpacing w:val="0"/>
        <w:rPr/>
      </w:pPr>
      <w:r w:rsidDel="00000000" w:rsidR="00000000" w:rsidRPr="00000000">
        <w:rPr>
          <w:rtl w:val="0"/>
        </w:rPr>
        <w:t xml:space="preserve">Does God allow Margery to truly escape the role of the Freudian mother? He may give her another purpose outside the domestic environment, but she still is restricted by her gender, particularly through the social limitations expected by others in the 1400s.  In fact, it could be argued that God still limits Margery’s tasks to being a mother figure, albeit a spiritual mother that helps to communicate with and provide God’s subjects with the Christian nourishment he feels they need. God declares early on in the story that Margery is “a daughter indeed to me, and a mother also, a sister, a wife and a spouse”</w:t>
      </w:r>
      <w:r w:rsidDel="00000000" w:rsidR="00000000" w:rsidRPr="00000000">
        <w:rPr>
          <w:vertAlign w:val="superscript"/>
        </w:rPr>
        <w:footnoteReference w:customMarkFollows="0" w:id="30"/>
      </w:r>
      <w:r w:rsidDel="00000000" w:rsidR="00000000" w:rsidRPr="00000000">
        <w:rPr>
          <w:rtl w:val="0"/>
        </w:rPr>
        <w:t xml:space="preserve">, highlighting that even in her capacity as God’s most loyal servant, she is chained to the domestic roles expected of women. Consequently, Margery is still a victim of the patriarchy; while perhaps “the mother looks like an alternative”</w:t>
      </w:r>
      <w:r w:rsidDel="00000000" w:rsidR="00000000" w:rsidRPr="00000000">
        <w:rPr>
          <w:vertAlign w:val="superscript"/>
        </w:rPr>
        <w:footnoteReference w:customMarkFollows="0" w:id="31"/>
      </w:r>
      <w:r w:rsidDel="00000000" w:rsidR="00000000" w:rsidRPr="00000000">
        <w:rPr>
          <w:rtl w:val="0"/>
        </w:rPr>
        <w:t xml:space="preserve"> to patriarchal structures, the role itself is still a product of this system which oppresses women. Indeed, God emphasises how important these roles are to him, declaring how she is “a singular lover of God”</w:t>
      </w:r>
      <w:r w:rsidDel="00000000" w:rsidR="00000000" w:rsidRPr="00000000">
        <w:rPr>
          <w:vertAlign w:val="superscript"/>
        </w:rPr>
        <w:footnoteReference w:customMarkFollows="0" w:id="32"/>
      </w:r>
      <w:r w:rsidDel="00000000" w:rsidR="00000000" w:rsidRPr="00000000">
        <w:rPr>
          <w:rtl w:val="0"/>
        </w:rPr>
        <w:t xml:space="preserve"> and even asking Margery for her hand in spiritual marriage (“I will have you wedded to my Godhead”)</w:t>
      </w:r>
      <w:r w:rsidDel="00000000" w:rsidR="00000000" w:rsidRPr="00000000">
        <w:rPr>
          <w:vertAlign w:val="superscript"/>
        </w:rPr>
        <w:footnoteReference w:customMarkFollows="0" w:id="33"/>
      </w:r>
      <w:r w:rsidDel="00000000" w:rsidR="00000000" w:rsidRPr="00000000">
        <w:rPr>
          <w:rtl w:val="0"/>
        </w:rPr>
        <w:t xml:space="preserve">. And to be a wife to God, the Father of Christendom, automatically places Margery as mother to the world, something which the author detects. The phrase “spiritual labour”</w:t>
      </w:r>
      <w:r w:rsidDel="00000000" w:rsidR="00000000" w:rsidRPr="00000000">
        <w:rPr>
          <w:vertAlign w:val="superscript"/>
        </w:rPr>
        <w:footnoteReference w:customMarkFollows="0" w:id="34"/>
      </w:r>
      <w:r w:rsidDel="00000000" w:rsidR="00000000" w:rsidRPr="00000000">
        <w:rPr>
          <w:rtl w:val="0"/>
        </w:rPr>
        <w:t xml:space="preserve"> is used by narrator Margery to describe the efforts of her female companions in helping her after one of her many religious outbursts, as well as an apparently offhand remark of how other beneficiaries of Margery’s preaching were “marvelling at her talk because it was spiritually fruitful.”</w:t>
      </w:r>
      <w:r w:rsidDel="00000000" w:rsidR="00000000" w:rsidRPr="00000000">
        <w:rPr>
          <w:vertAlign w:val="superscript"/>
        </w:rPr>
        <w:footnoteReference w:customMarkFollows="0" w:id="35"/>
      </w:r>
      <w:r w:rsidDel="00000000" w:rsidR="00000000" w:rsidRPr="00000000">
        <w:rPr>
          <w:rtl w:val="0"/>
        </w:rPr>
        <w:t xml:space="preserve"> Metaphors of labour and fruitfulness of course show immediate connections in everyday turn of phrase regarding conceiving children and becoming the idolatry role of the Mother, but the adjective ‘fruitful’ traces back deeper to Eve, the first Mother, whom “the church tacitly accepted the suffering of women as proper to the daughters of Eve”.</w:t>
      </w:r>
      <w:r w:rsidDel="00000000" w:rsidR="00000000" w:rsidRPr="00000000">
        <w:rPr>
          <w:vertAlign w:val="superscript"/>
        </w:rPr>
        <w:footnoteReference w:customMarkFollows="0" w:id="36"/>
      </w:r>
      <w:r w:rsidDel="00000000" w:rsidR="00000000" w:rsidRPr="00000000">
        <w:rPr>
          <w:rtl w:val="0"/>
        </w:rPr>
        <w:t xml:space="preserve"> As God’s wife, her role as “a true mother and to all the world”</w:t>
      </w:r>
      <w:r w:rsidDel="00000000" w:rsidR="00000000" w:rsidRPr="00000000">
        <w:rPr>
          <w:vertAlign w:val="superscript"/>
        </w:rPr>
        <w:footnoteReference w:customMarkFollows="0" w:id="37"/>
      </w:r>
      <w:r w:rsidDel="00000000" w:rsidR="00000000" w:rsidRPr="00000000">
        <w:rPr>
          <w:rtl w:val="0"/>
        </w:rPr>
        <w:t xml:space="preserve"> is solidified through such metaphors and comparisons to Eve. Margery’s physical bearing of children may have little importance to her story, but her predicament of a union with God keeps her chained to the phallocentric idea of the mother, which she had so well avoided in her domestic life.</w:t>
      </w:r>
    </w:p>
    <w:p w:rsidR="00000000" w:rsidDel="00000000" w:rsidP="00000000" w:rsidRDefault="00000000" w:rsidRPr="00000000" w14:paraId="00000099">
      <w:pPr>
        <w:contextualSpacing w:val="0"/>
        <w:rPr/>
      </w:pPr>
      <w:r w:rsidDel="00000000" w:rsidR="00000000" w:rsidRPr="00000000">
        <w:rPr>
          <w:rtl w:val="0"/>
        </w:rPr>
      </w:r>
    </w:p>
    <w:p w:rsidR="00000000" w:rsidDel="00000000" w:rsidP="00000000" w:rsidRDefault="00000000" w:rsidRPr="00000000" w14:paraId="0000009A">
      <w:pPr>
        <w:contextualSpacing w:val="0"/>
        <w:rPr/>
      </w:pPr>
      <w:r w:rsidDel="00000000" w:rsidR="00000000" w:rsidRPr="00000000">
        <w:rPr>
          <w:rtl w:val="0"/>
        </w:rPr>
        <w:t xml:space="preserve">Yet ‘The Laugh of the Medusa’ raises some interesting aspects about the Freudian figure of the mother, outside of the usual arguments. Cixous suggests that looking at the role in a more literary way might offer an alternative interpretation: “The mother, too, is a metaphor. It is necessary and sufficient that the best of herself be given to woman by another woman for her to be able to love herself”.</w:t>
      </w:r>
      <w:r w:rsidDel="00000000" w:rsidR="00000000" w:rsidRPr="00000000">
        <w:rPr>
          <w:vertAlign w:val="superscript"/>
        </w:rPr>
        <w:footnoteReference w:customMarkFollows="0" w:id="38"/>
      </w:r>
      <w:r w:rsidDel="00000000" w:rsidR="00000000" w:rsidRPr="00000000">
        <w:rPr>
          <w:rtl w:val="0"/>
        </w:rPr>
        <w:t xml:space="preserve"> Examining motherhood as a metaphor seems to highlight a female-to-female relation to Cixous, between mothers and daughters; perhaps motherhood, with expectations of nurturing, fulfilling needs and unconditional love, is only possible because the nature of giving has been inherited (or rather learned) by daughters from their own primary caregivers. Here Cixous recognises positives for women through motherhood: but does that necessarily negate the position of the Freudian mother in patriarchy? Although Margery’s female sex may be indicative of a giving nature, if we take Cixous’ point above, it has little effect on how others perceive her. Throughout the book, her claims of a connection with God is constantly disregarded and it often takes a priest or esteemed member of the public (usually male) to convince others to accept Margery’s word as the truth. Despite being the world’s mother, she cannot singlehandedly convey God’s message with no obstacles. In addition, God explains to her that he</w:t>
      </w:r>
      <w:r w:rsidDel="00000000" w:rsidR="00000000" w:rsidRPr="00000000">
        <w:rPr>
          <w:sz w:val="20"/>
          <w:szCs w:val="20"/>
          <w:rtl w:val="0"/>
        </w:rPr>
        <w:t xml:space="preserve"> </w:t>
      </w:r>
      <w:r w:rsidDel="00000000" w:rsidR="00000000" w:rsidRPr="00000000">
        <w:rPr>
          <w:rtl w:val="0"/>
        </w:rPr>
        <w:t xml:space="preserve">“shall provide for you, daughter, as for my own mother and as for my own wife”</w:t>
      </w:r>
      <w:r w:rsidDel="00000000" w:rsidR="00000000" w:rsidRPr="00000000">
        <w:rPr>
          <w:vertAlign w:val="superscript"/>
        </w:rPr>
        <w:footnoteReference w:customMarkFollows="0" w:id="39"/>
      </w:r>
      <w:r w:rsidDel="00000000" w:rsidR="00000000" w:rsidRPr="00000000">
        <w:rPr>
          <w:rtl w:val="0"/>
        </w:rPr>
        <w:t xml:space="preserve">, insinuating that it is only her relation to him in female familial roles which makes her deserving of his care and protection. To be a woman is to be automatically discounted, Cixous argues, and this power struggle can be picked up in everyday actions. In her essay, the critic uses the physical example of men mishearing, or rather not attempting to listen at all, female stories or dialogue, discussing how feminine “words fall almost always upon the deaf male ear, which hears in language only that which speaks in the masculine.”</w:t>
      </w:r>
      <w:r w:rsidDel="00000000" w:rsidR="00000000" w:rsidRPr="00000000">
        <w:rPr>
          <w:vertAlign w:val="superscript"/>
        </w:rPr>
        <w:footnoteReference w:customMarkFollows="0" w:id="40"/>
      </w:r>
      <w:r w:rsidDel="00000000" w:rsidR="00000000" w:rsidRPr="00000000">
        <w:rPr>
          <w:rtl w:val="0"/>
        </w:rPr>
        <w:t xml:space="preserve"> This can be examined in other criticism also; Sandra Gilbert and Susan Gubar consider the Virgin Mary, in their collaborative essay ‘The Madwoman in the Attic’, as an important figure regarding the interpretation of women in culture. They make the point that during “the Middle Ages, of course, mankind’s greatest teacher of purity was the Virgin Mary, a mother goddess who perfectly fitted the female role”.</w:t>
      </w:r>
      <w:r w:rsidDel="00000000" w:rsidR="00000000" w:rsidRPr="00000000">
        <w:rPr>
          <w:vertAlign w:val="superscript"/>
        </w:rPr>
        <w:footnoteReference w:customMarkFollows="0" w:id="41"/>
      </w:r>
      <w:r w:rsidDel="00000000" w:rsidR="00000000" w:rsidRPr="00000000">
        <w:rPr>
          <w:rtl w:val="0"/>
        </w:rPr>
        <w:t xml:space="preserve"> But if we think about the image of Mary that we are left with even today, it is mainly her appearance that is iconic, and not the words she said or attributes she possessed. The woman who “perfectly fitted the female role” is a cultural mute, only famous for the role she played of mother to a man, the same man who confines Margery to motherhood also. More importantly, she is also victim of the masculine deafness which CIxous brings up in ‘The Laugh of the Medusa’. Ultimately, Margery is dismissed by this male God in two aspects: firstly, as a woman, unable to protect herself, and secondly, her attempt to relieve herself from motherhood is reversed by the very character who seemed to offer her the escape route.</w:t>
      </w:r>
    </w:p>
    <w:p w:rsidR="00000000" w:rsidDel="00000000" w:rsidP="00000000" w:rsidRDefault="00000000" w:rsidRPr="00000000" w14:paraId="0000009B">
      <w:pPr>
        <w:contextualSpacing w:val="0"/>
        <w:rPr/>
      </w:pPr>
      <w:r w:rsidDel="00000000" w:rsidR="00000000" w:rsidRPr="00000000">
        <w:rPr>
          <w:rtl w:val="0"/>
        </w:rPr>
      </w:r>
    </w:p>
    <w:p w:rsidR="00000000" w:rsidDel="00000000" w:rsidP="00000000" w:rsidRDefault="00000000" w:rsidRPr="00000000" w14:paraId="0000009C">
      <w:pPr>
        <w:contextualSpacing w:val="0"/>
        <w:rPr/>
      </w:pPr>
      <w:r w:rsidDel="00000000" w:rsidR="00000000" w:rsidRPr="00000000">
        <w:rPr>
          <w:rtl w:val="0"/>
        </w:rPr>
        <w:t xml:space="preserve">Margery may be referred to frequently by God as his wife, with various erotic language techniques and phrases conveying love for our main character, but his chosen terms of endearments range widely, and there is no gradual change or clear event which would trigger these changes. In particular, the associations as God’s wife, and spiritual bearer of his children, is incessantly contrasted with him calling her ‘daughter’. The first line of dialogue between Margery and God refers to her as his child, when Jesus asks why our character, in her mental illness after childbirth, has lost faith: “Daughter, why have you forsaken me, and I never forsook you?”</w:t>
      </w:r>
      <w:r w:rsidDel="00000000" w:rsidR="00000000" w:rsidRPr="00000000">
        <w:rPr>
          <w:vertAlign w:val="superscript"/>
        </w:rPr>
        <w:footnoteReference w:customMarkFollows="0" w:id="42"/>
      </w:r>
      <w:r w:rsidDel="00000000" w:rsidR="00000000" w:rsidRPr="00000000">
        <w:rPr>
          <w:rtl w:val="0"/>
        </w:rPr>
        <w:t xml:space="preserve"> But as the story progresses he switches to revering her as his wife, speaking of himself as “your Lord and your love”</w:t>
      </w:r>
      <w:r w:rsidDel="00000000" w:rsidR="00000000" w:rsidRPr="00000000">
        <w:rPr>
          <w:vertAlign w:val="superscript"/>
        </w:rPr>
        <w:footnoteReference w:customMarkFollows="0" w:id="43"/>
      </w:r>
      <w:r w:rsidDel="00000000" w:rsidR="00000000" w:rsidRPr="00000000">
        <w:rPr>
          <w:rtl w:val="0"/>
        </w:rPr>
        <w:t xml:space="preserve"> in her eyes. This is not a hard endearment to understand, as the concept of all humans being God’s children is a well known Christian phenomenon, but it creates an interesting question regarding phallocentrism in the mother-child relationship. If Cixous believes that women are “led into self-disdain by the great arm of parental-conjugal phallocentrism”</w:t>
      </w:r>
      <w:r w:rsidDel="00000000" w:rsidR="00000000" w:rsidRPr="00000000">
        <w:rPr>
          <w:vertAlign w:val="superscript"/>
        </w:rPr>
        <w:footnoteReference w:customMarkFollows="0" w:id="44"/>
      </w:r>
      <w:r w:rsidDel="00000000" w:rsidR="00000000" w:rsidRPr="00000000">
        <w:rPr>
          <w:rtl w:val="0"/>
        </w:rPr>
        <w:t xml:space="preserve">, the placement of Margery as God’s child does not necessarily free her from patriarchal repression. In fact, there is a lot of discussion in the psychoanalytic community about how infants view their mothers, and these arguments may have significant bearing on Margery’s story. Jane Gallop examines motherhood in terms of literature and language, in her essay ‘Reading the Mother Tongue’, and her examination of the infant-mother bond has interesting implications for our character, in terms of being perceived as a child of God. Gallop observes that it appears to young children that “the mother is the site of something which is both other and not quite other, of the other as self and the self as other”</w:t>
      </w:r>
      <w:r w:rsidDel="00000000" w:rsidR="00000000" w:rsidRPr="00000000">
        <w:rPr>
          <w:vertAlign w:val="superscript"/>
        </w:rPr>
        <w:footnoteReference w:customMarkFollows="0" w:id="45"/>
      </w:r>
      <w:r w:rsidDel="00000000" w:rsidR="00000000" w:rsidRPr="00000000">
        <w:rPr>
          <w:rtl w:val="0"/>
        </w:rPr>
        <w:t xml:space="preserve"> and describes this as being “the borderline status of the powerful, early mother”.</w:t>
      </w:r>
      <w:r w:rsidDel="00000000" w:rsidR="00000000" w:rsidRPr="00000000">
        <w:rPr>
          <w:vertAlign w:val="superscript"/>
        </w:rPr>
        <w:footnoteReference w:customMarkFollows="0" w:id="46"/>
      </w:r>
      <w:r w:rsidDel="00000000" w:rsidR="00000000" w:rsidRPr="00000000">
        <w:rPr>
          <w:rtl w:val="0"/>
        </w:rPr>
        <w:t xml:space="preserve"> If we apply this observation to </w:t>
      </w:r>
      <w:r w:rsidDel="00000000" w:rsidR="00000000" w:rsidRPr="00000000">
        <w:rPr>
          <w:i w:val="1"/>
          <w:rtl w:val="0"/>
        </w:rPr>
        <w:t xml:space="preserve">The book of Margery Kempe</w:t>
      </w:r>
      <w:r w:rsidDel="00000000" w:rsidR="00000000" w:rsidRPr="00000000">
        <w:rPr>
          <w:rtl w:val="0"/>
        </w:rPr>
        <w:t xml:space="preserve">, does this affect Margery’s ability to free herself from patriarchal structures? Almost certainly: if Margery is the child to God’s mother, casting God as the ‘mother other’ but also an aspect of her own identity, it would offer a succinct explanation for the concept of God and Margery’s internal dialogue and relationship. God appears in her conscience as both himself and as a part of her own self. Margery herself even seems to confirm this in her narration towards the end of the book, expressing how after years of internal conversation with Him, “her thoughts were so joined to God that she never forgot him, but had him in mind continually”.</w:t>
      </w:r>
      <w:r w:rsidDel="00000000" w:rsidR="00000000" w:rsidRPr="00000000">
        <w:rPr>
          <w:vertAlign w:val="superscript"/>
        </w:rPr>
        <w:footnoteReference w:customMarkFollows="0" w:id="47"/>
      </w:r>
      <w:r w:rsidDel="00000000" w:rsidR="00000000" w:rsidRPr="00000000">
        <w:rPr>
          <w:rtl w:val="0"/>
        </w:rPr>
        <w:t xml:space="preserve"> God seems to have no issue assuming the role of ‘the powerful, early mother’ aforementioned. But as Cixous amusingly remarks, it is not a difficult conclusion to reach to see “how man, confusing himself with his penis and rushing in for the attack, might feel resentment and fear of being ‘taken’ by the women, of being lost in her”</w:t>
      </w:r>
      <w:r w:rsidDel="00000000" w:rsidR="00000000" w:rsidRPr="00000000">
        <w:rPr>
          <w:vertAlign w:val="superscript"/>
        </w:rPr>
        <w:footnoteReference w:customMarkFollows="0" w:id="48"/>
      </w:r>
      <w:r w:rsidDel="00000000" w:rsidR="00000000" w:rsidRPr="00000000">
        <w:rPr>
          <w:rtl w:val="0"/>
        </w:rPr>
        <w:t xml:space="preserve"> and would therefore have to use every piece of power over a woman like Margery to keep her tied to the phallocentric systems which support his supremacy.</w:t>
      </w:r>
    </w:p>
    <w:p w:rsidR="00000000" w:rsidDel="00000000" w:rsidP="00000000" w:rsidRDefault="00000000" w:rsidRPr="00000000" w14:paraId="0000009D">
      <w:pPr>
        <w:contextualSpacing w:val="0"/>
        <w:rPr/>
      </w:pPr>
      <w:r w:rsidDel="00000000" w:rsidR="00000000" w:rsidRPr="00000000">
        <w:rPr>
          <w:rtl w:val="0"/>
        </w:rPr>
      </w:r>
    </w:p>
    <w:p w:rsidR="00000000" w:rsidDel="00000000" w:rsidP="00000000" w:rsidRDefault="00000000" w:rsidRPr="00000000" w14:paraId="0000009E">
      <w:pPr>
        <w:contextualSpacing w:val="0"/>
        <w:rPr/>
      </w:pPr>
      <w:r w:rsidDel="00000000" w:rsidR="00000000" w:rsidRPr="00000000">
        <w:rPr>
          <w:rtl w:val="0"/>
        </w:rPr>
        <w:t xml:space="preserve">The power of the mother only exists in the eyes of the young child however; God’s power over Margery is just as much a result of his religious and masculine status. But another interesting figure who brings motherhood to the forefront of </w:t>
      </w:r>
      <w:r w:rsidDel="00000000" w:rsidR="00000000" w:rsidRPr="00000000">
        <w:rPr>
          <w:i w:val="1"/>
          <w:rtl w:val="0"/>
        </w:rPr>
        <w:t xml:space="preserve">The book of Margery Kempe </w:t>
      </w:r>
      <w:r w:rsidDel="00000000" w:rsidR="00000000" w:rsidRPr="00000000">
        <w:rPr>
          <w:rtl w:val="0"/>
        </w:rPr>
        <w:t xml:space="preserve">is the Virgin Mary. A cultural icon, Mary is often traced as the origin for the idolatry female figure, which features as a trope across literature and art of most Christian-associated cultures. </w:t>
      </w:r>
      <w:r w:rsidDel="00000000" w:rsidR="00000000" w:rsidRPr="00000000">
        <w:rPr>
          <w:i w:val="1"/>
          <w:rtl w:val="0"/>
        </w:rPr>
        <w:t xml:space="preserve">The book of Margery Kempe </w:t>
      </w:r>
      <w:r w:rsidDel="00000000" w:rsidR="00000000" w:rsidRPr="00000000">
        <w:rPr>
          <w:rtl w:val="0"/>
        </w:rPr>
        <w:t xml:space="preserve">is no exception to this rule. Mary features several times in the story, whether in Margery’s visions of the Passion or in God’s dialogue, and is the main portrayal of a mother figure in the text, as well as being perhaps the primary image of motherhood in medieval and early modern English society. God’s love of Margery is only truly accepted when the Virgin Mary affirms it (“Blessed Mother, tell my daughter of the greatness of love I have for her”</w:t>
      </w:r>
      <w:r w:rsidDel="00000000" w:rsidR="00000000" w:rsidRPr="00000000">
        <w:rPr>
          <w:vertAlign w:val="superscript"/>
        </w:rPr>
        <w:footnoteReference w:customMarkFollows="0" w:id="49"/>
      </w:r>
      <w:r w:rsidDel="00000000" w:rsidR="00000000" w:rsidRPr="00000000">
        <w:rPr>
          <w:rtl w:val="0"/>
        </w:rPr>
        <w:t xml:space="preserve">), plus the Lord’s Mother is able to draw out maternal reactions to Jesus’ death in a character whose own motherhood is not seen as otherwise relevant to the narrative (“she saw our Lady in her soul: how she mourned and how she wept for her son’s death, and then was our Lady’s sorrow her sorrow”</w:t>
      </w:r>
      <w:r w:rsidDel="00000000" w:rsidR="00000000" w:rsidRPr="00000000">
        <w:rPr>
          <w:vertAlign w:val="superscript"/>
        </w:rPr>
        <w:footnoteReference w:customMarkFollows="0" w:id="50"/>
      </w:r>
      <w:r w:rsidDel="00000000" w:rsidR="00000000" w:rsidRPr="00000000">
        <w:rPr>
          <w:rtl w:val="0"/>
        </w:rPr>
        <w:t xml:space="preserve">). However, Mary does not appear to empower Margery particularly; any interaction that the protagonist has with her just affirms the words of God, who is fully compliant with patriarchal oppression. But he is not the only one; in </w:t>
      </w:r>
      <w:r w:rsidDel="00000000" w:rsidR="00000000" w:rsidRPr="00000000">
        <w:rPr>
          <w:i w:val="1"/>
          <w:rtl w:val="0"/>
        </w:rPr>
        <w:t xml:space="preserve">History Matters</w:t>
      </w:r>
      <w:r w:rsidDel="00000000" w:rsidR="00000000" w:rsidRPr="00000000">
        <w:rPr>
          <w:rtl w:val="0"/>
        </w:rPr>
        <w:t xml:space="preserve">, Judith Bennett addresses the interesting argument, like Cixous, that patriarchy is not a male-exclusive problem. Women have, she argues, “also colluded in, undermined, and survived patriarchy”</w:t>
      </w:r>
      <w:r w:rsidDel="00000000" w:rsidR="00000000" w:rsidRPr="00000000">
        <w:rPr>
          <w:vertAlign w:val="superscript"/>
        </w:rPr>
        <w:footnoteReference w:customMarkFollows="0" w:id="51"/>
      </w:r>
      <w:r w:rsidDel="00000000" w:rsidR="00000000" w:rsidRPr="00000000">
        <w:rPr>
          <w:rtl w:val="0"/>
        </w:rPr>
        <w:t xml:space="preserve"> and notes that indeed patriarchal oppressive structures can benefit more mature women: “an older women is subordinate to men but exercises substantial power over younger women, giving her a strong reason to maintain the patriarchal status quo.”</w:t>
      </w:r>
      <w:r w:rsidDel="00000000" w:rsidR="00000000" w:rsidRPr="00000000">
        <w:rPr>
          <w:vertAlign w:val="superscript"/>
        </w:rPr>
        <w:footnoteReference w:customMarkFollows="0" w:id="52"/>
      </w:r>
      <w:r w:rsidDel="00000000" w:rsidR="00000000" w:rsidRPr="00000000">
        <w:rPr>
          <w:rtl w:val="0"/>
        </w:rPr>
        <w:t xml:space="preserve"> In this sense, Mary does hold power over Margery and it is through her role as God’s mother that she is able to do so. Plus, her idolatry status distances her from Margery and other medieval women, as she is placed on such a high patriarchal pedestal, a portrayal which suggests that being a mother similar to Mary is an entirely unattainable goal. Margery may have been able to escape the confines of domestic motherhood in her family, but she is still answerable to the phallocentric, idolised mother through the figure of the Virgin Mary and her son.</w:t>
      </w:r>
    </w:p>
    <w:p w:rsidR="00000000" w:rsidDel="00000000" w:rsidP="00000000" w:rsidRDefault="00000000" w:rsidRPr="00000000" w14:paraId="0000009F">
      <w:pPr>
        <w:contextualSpacing w:val="0"/>
        <w:rPr/>
      </w:pPr>
      <w:r w:rsidDel="00000000" w:rsidR="00000000" w:rsidRPr="00000000">
        <w:rPr>
          <w:rtl w:val="0"/>
        </w:rPr>
      </w:r>
    </w:p>
    <w:p w:rsidR="00000000" w:rsidDel="00000000" w:rsidP="00000000" w:rsidRDefault="00000000" w:rsidRPr="00000000" w14:paraId="000000A0">
      <w:pPr>
        <w:contextualSpacing w:val="0"/>
        <w:rPr/>
      </w:pPr>
      <w:r w:rsidDel="00000000" w:rsidR="00000000" w:rsidRPr="00000000">
        <w:rPr>
          <w:i w:val="1"/>
          <w:rtl w:val="0"/>
        </w:rPr>
        <w:t xml:space="preserve">The book of Margery Kempe </w:t>
      </w:r>
      <w:r w:rsidDel="00000000" w:rsidR="00000000" w:rsidRPr="00000000">
        <w:rPr>
          <w:rtl w:val="0"/>
        </w:rPr>
        <w:t xml:space="preserve">offers interesting answers to phallocentrism in medieval English writing, as one of the only female texts of its time to have survived for modern critics to discuss. Margery is an exceptional author in that she was able to write a narrative text, in a period of history which fully adhered to patriarchal oppression, but also due to her ability to create a story which was minimally influenced by her role as a mother. In medieval English society, motherhood was the primary role of women and Margery’s creation of a narrative, whose focus was outside this role, is remarkable for its context. However, she remains chained to motherhood in other ways; her relationship with God appears to present her with an escape route from patriarchy, but upon examining Cixous and other critics’ theories of female oppression through domestic and religious institutions, Margery’s book reveals that her relationship with God does not bring her the freedom from patriarchal oppression that Cixous believes feminine texts can achieve. Margery Kempe may have risen above the superficial constraints of patriarchy, but her relationship with God in several familial contexts does not allow her to “</w:t>
      </w:r>
      <w:r w:rsidDel="00000000" w:rsidR="00000000" w:rsidRPr="00000000">
        <w:rPr>
          <w:rtl w:val="0"/>
        </w:rPr>
        <w:t xml:space="preserve">surpass the discourse that regulates the phallocentric system”</w:t>
      </w:r>
      <w:r w:rsidDel="00000000" w:rsidR="00000000" w:rsidRPr="00000000">
        <w:rPr>
          <w:vertAlign w:val="superscript"/>
        </w:rPr>
        <w:footnoteReference w:customMarkFollows="0" w:id="53"/>
      </w:r>
      <w:r w:rsidDel="00000000" w:rsidR="00000000" w:rsidRPr="00000000">
        <w:rPr>
          <w:rtl w:val="0"/>
        </w:rPr>
        <w:t xml:space="preserve">, in the manner that</w:t>
      </w:r>
      <w:r w:rsidDel="00000000" w:rsidR="00000000" w:rsidRPr="00000000">
        <w:rPr>
          <w:rtl w:val="0"/>
        </w:rPr>
        <w:t xml:space="preserve"> Cixous believes feminine texts can.</w:t>
      </w:r>
    </w:p>
    <w:p w:rsidR="00000000" w:rsidDel="00000000" w:rsidP="00000000" w:rsidRDefault="00000000" w:rsidRPr="00000000" w14:paraId="000000A1">
      <w:pPr>
        <w:contextualSpacing w:val="0"/>
        <w:rPr/>
      </w:pPr>
      <w:r w:rsidDel="00000000" w:rsidR="00000000" w:rsidRPr="00000000">
        <w:rPr>
          <w:rtl w:val="0"/>
        </w:rPr>
        <w:t xml:space="preserve"> </w:t>
      </w:r>
    </w:p>
    <w:p w:rsidR="00000000" w:rsidDel="00000000" w:rsidP="00000000" w:rsidRDefault="00000000" w:rsidRPr="00000000" w14:paraId="000000A2">
      <w:pPr>
        <w:contextualSpacing w:val="0"/>
        <w:rPr/>
      </w:pPr>
      <w:r w:rsidDel="00000000" w:rsidR="00000000" w:rsidRPr="00000000">
        <w:rPr>
          <w:rtl w:val="0"/>
        </w:rPr>
      </w:r>
    </w:p>
    <w:p w:rsidR="00000000" w:rsidDel="00000000" w:rsidP="00000000" w:rsidRDefault="00000000" w:rsidRPr="00000000" w14:paraId="000000A3">
      <w:pPr>
        <w:contextualSpacing w:val="0"/>
        <w:rPr>
          <w:b w:val="1"/>
        </w:rPr>
      </w:pPr>
      <w:r w:rsidDel="00000000" w:rsidR="00000000" w:rsidRPr="00000000">
        <w:rPr>
          <w:b w:val="1"/>
          <w:rtl w:val="0"/>
        </w:rPr>
        <w:t xml:space="preserve">Bibliography</w:t>
      </w:r>
    </w:p>
    <w:p w:rsidR="00000000" w:rsidDel="00000000" w:rsidP="00000000" w:rsidRDefault="00000000" w:rsidRPr="00000000" w14:paraId="000000A4">
      <w:pPr>
        <w:contextualSpacing w:val="0"/>
        <w:rPr/>
      </w:pPr>
      <w:r w:rsidDel="00000000" w:rsidR="00000000" w:rsidRPr="00000000">
        <w:rPr>
          <w:rtl w:val="0"/>
        </w:rPr>
      </w:r>
    </w:p>
    <w:p w:rsidR="00000000" w:rsidDel="00000000" w:rsidP="00000000" w:rsidRDefault="00000000" w:rsidRPr="00000000" w14:paraId="000000A5">
      <w:pPr>
        <w:contextualSpacing w:val="0"/>
        <w:rPr/>
      </w:pPr>
      <w:r w:rsidDel="00000000" w:rsidR="00000000" w:rsidRPr="00000000">
        <w:rPr>
          <w:rtl w:val="0"/>
        </w:rPr>
        <w:t xml:space="preserve">Bennett, Judith M., </w:t>
      </w:r>
      <w:r w:rsidDel="00000000" w:rsidR="00000000" w:rsidRPr="00000000">
        <w:rPr>
          <w:i w:val="1"/>
          <w:rtl w:val="0"/>
        </w:rPr>
        <w:t xml:space="preserve">History Matters: Patriarchy and the Challenge of Feminism</w:t>
      </w:r>
      <w:r w:rsidDel="00000000" w:rsidR="00000000" w:rsidRPr="00000000">
        <w:rPr>
          <w:rtl w:val="0"/>
        </w:rPr>
        <w:t xml:space="preserve"> (Manchester: Manchester University Press, 2006).</w:t>
      </w:r>
    </w:p>
    <w:p w:rsidR="00000000" w:rsidDel="00000000" w:rsidP="00000000" w:rsidRDefault="00000000" w:rsidRPr="00000000" w14:paraId="000000A6">
      <w:pPr>
        <w:contextualSpacing w:val="0"/>
        <w:rPr/>
      </w:pPr>
      <w:r w:rsidDel="00000000" w:rsidR="00000000" w:rsidRPr="00000000">
        <w:rPr>
          <w:rtl w:val="0"/>
        </w:rPr>
      </w:r>
    </w:p>
    <w:p w:rsidR="00000000" w:rsidDel="00000000" w:rsidP="00000000" w:rsidRDefault="00000000" w:rsidRPr="00000000" w14:paraId="000000A7">
      <w:pPr>
        <w:contextualSpacing w:val="0"/>
        <w:rPr/>
      </w:pPr>
      <w:r w:rsidDel="00000000" w:rsidR="00000000" w:rsidRPr="00000000">
        <w:rPr>
          <w:rtl w:val="0"/>
        </w:rPr>
        <w:t xml:space="preserve">Bynum, Caroline Walker, </w:t>
      </w:r>
      <w:r w:rsidDel="00000000" w:rsidR="00000000" w:rsidRPr="00000000">
        <w:rPr>
          <w:i w:val="1"/>
          <w:rtl w:val="0"/>
        </w:rPr>
        <w:t xml:space="preserve">Fragmentation and redemption: essays on gender and the human body in Medieval religion</w:t>
      </w:r>
      <w:r w:rsidDel="00000000" w:rsidR="00000000" w:rsidRPr="00000000">
        <w:rPr>
          <w:rtl w:val="0"/>
        </w:rPr>
        <w:t xml:space="preserve"> (New York: Zone Books, 2012).</w:t>
      </w:r>
    </w:p>
    <w:p w:rsidR="00000000" w:rsidDel="00000000" w:rsidP="00000000" w:rsidRDefault="00000000" w:rsidRPr="00000000" w14:paraId="000000A8">
      <w:pPr>
        <w:contextualSpacing w:val="0"/>
        <w:rPr/>
      </w:pPr>
      <w:r w:rsidDel="00000000" w:rsidR="00000000" w:rsidRPr="00000000">
        <w:rPr>
          <w:rtl w:val="0"/>
        </w:rPr>
      </w:r>
    </w:p>
    <w:p w:rsidR="00000000" w:rsidDel="00000000" w:rsidP="00000000" w:rsidRDefault="00000000" w:rsidRPr="00000000" w14:paraId="000000A9">
      <w:pPr>
        <w:contextualSpacing w:val="0"/>
        <w:rPr/>
      </w:pPr>
      <w:r w:rsidDel="00000000" w:rsidR="00000000" w:rsidRPr="00000000">
        <w:rPr>
          <w:rtl w:val="0"/>
        </w:rPr>
        <w:t xml:space="preserve">Cixous, Helene, ‘The Laugh of the Medusa’, </w:t>
      </w:r>
      <w:r w:rsidDel="00000000" w:rsidR="00000000" w:rsidRPr="00000000">
        <w:rPr>
          <w:i w:val="1"/>
          <w:rtl w:val="0"/>
        </w:rPr>
        <w:t xml:space="preserve">Signs</w:t>
      </w:r>
      <w:r w:rsidDel="00000000" w:rsidR="00000000" w:rsidRPr="00000000">
        <w:rPr>
          <w:rtl w:val="0"/>
        </w:rPr>
        <w:t xml:space="preserve">, 1:4 (Summer, 1976), 875-893.</w:t>
      </w:r>
    </w:p>
    <w:p w:rsidR="00000000" w:rsidDel="00000000" w:rsidP="00000000" w:rsidRDefault="00000000" w:rsidRPr="00000000" w14:paraId="000000AA">
      <w:pPr>
        <w:contextualSpacing w:val="0"/>
        <w:rPr/>
      </w:pPr>
      <w:r w:rsidDel="00000000" w:rsidR="00000000" w:rsidRPr="00000000">
        <w:rPr>
          <w:rtl w:val="0"/>
        </w:rPr>
      </w:r>
    </w:p>
    <w:p w:rsidR="00000000" w:rsidDel="00000000" w:rsidP="00000000" w:rsidRDefault="00000000" w:rsidRPr="00000000" w14:paraId="000000AB">
      <w:pPr>
        <w:contextualSpacing w:val="0"/>
        <w:rPr/>
      </w:pPr>
      <w:r w:rsidDel="00000000" w:rsidR="00000000" w:rsidRPr="00000000">
        <w:rPr>
          <w:rtl w:val="0"/>
        </w:rPr>
        <w:t xml:space="preserve">Gallop, Jane, ‘Reading the Mother Tongue: Psychoanalytic Feminist Criticism’, </w:t>
      </w:r>
      <w:r w:rsidDel="00000000" w:rsidR="00000000" w:rsidRPr="00000000">
        <w:rPr>
          <w:i w:val="1"/>
          <w:rtl w:val="0"/>
        </w:rPr>
        <w:t xml:space="preserve">Critical Inquiry</w:t>
      </w:r>
      <w:r w:rsidDel="00000000" w:rsidR="00000000" w:rsidRPr="00000000">
        <w:rPr>
          <w:rtl w:val="0"/>
        </w:rPr>
        <w:t xml:space="preserve">, 13:2 (Winter, 1987), 314-329. </w:t>
      </w:r>
    </w:p>
    <w:p w:rsidR="00000000" w:rsidDel="00000000" w:rsidP="00000000" w:rsidRDefault="00000000" w:rsidRPr="00000000" w14:paraId="000000AC">
      <w:pPr>
        <w:contextualSpacing w:val="0"/>
        <w:rPr/>
      </w:pPr>
      <w:r w:rsidDel="00000000" w:rsidR="00000000" w:rsidRPr="00000000">
        <w:rPr>
          <w:rtl w:val="0"/>
        </w:rPr>
      </w:r>
    </w:p>
    <w:p w:rsidR="00000000" w:rsidDel="00000000" w:rsidP="00000000" w:rsidRDefault="00000000" w:rsidRPr="00000000" w14:paraId="000000AD">
      <w:pPr>
        <w:contextualSpacing w:val="0"/>
        <w:rPr/>
      </w:pPr>
      <w:r w:rsidDel="00000000" w:rsidR="00000000" w:rsidRPr="00000000">
        <w:rPr>
          <w:rtl w:val="0"/>
        </w:rPr>
        <w:t xml:space="preserve">Gilbert, Sandra and Gubar, Susan, ‘The Madwoman in the Attic’, in </w:t>
      </w:r>
      <w:r w:rsidDel="00000000" w:rsidR="00000000" w:rsidRPr="00000000">
        <w:rPr>
          <w:i w:val="1"/>
          <w:rtl w:val="0"/>
        </w:rPr>
        <w:t xml:space="preserve">Literary Theory: An Anthology</w:t>
      </w:r>
      <w:r w:rsidDel="00000000" w:rsidR="00000000" w:rsidRPr="00000000">
        <w:rPr>
          <w:rtl w:val="0"/>
        </w:rPr>
        <w:t xml:space="preserve">, ed. By Julie Rivkin and Michael Ryan (Oxford: Blackwell Publishers, 1998), pp. 596-611.</w:t>
      </w:r>
    </w:p>
    <w:p w:rsidR="00000000" w:rsidDel="00000000" w:rsidP="00000000" w:rsidRDefault="00000000" w:rsidRPr="00000000" w14:paraId="000000AE">
      <w:pPr>
        <w:contextualSpacing w:val="0"/>
        <w:rPr/>
      </w:pPr>
      <w:r w:rsidDel="00000000" w:rsidR="00000000" w:rsidRPr="00000000">
        <w:rPr>
          <w:rtl w:val="0"/>
        </w:rPr>
      </w:r>
    </w:p>
    <w:p w:rsidR="00000000" w:rsidDel="00000000" w:rsidP="00000000" w:rsidRDefault="00000000" w:rsidRPr="00000000" w14:paraId="000000AF">
      <w:pPr>
        <w:contextualSpacing w:val="0"/>
        <w:rPr/>
      </w:pPr>
      <w:r w:rsidDel="00000000" w:rsidR="00000000" w:rsidRPr="00000000">
        <w:rPr>
          <w:rtl w:val="0"/>
        </w:rPr>
        <w:t xml:space="preserve">Iringaray, Luce, ‘Commodities amongst Themselves’, in </w:t>
      </w:r>
      <w:r w:rsidDel="00000000" w:rsidR="00000000" w:rsidRPr="00000000">
        <w:rPr>
          <w:i w:val="1"/>
          <w:rtl w:val="0"/>
        </w:rPr>
        <w:t xml:space="preserve">Literary Theory: An Anthology</w:t>
      </w:r>
      <w:r w:rsidDel="00000000" w:rsidR="00000000" w:rsidRPr="00000000">
        <w:rPr>
          <w:rtl w:val="0"/>
        </w:rPr>
        <w:t xml:space="preserve">, ed. By Julie Rivkin and Michael Ryan (Oxford: Blackwell Publishers, 1998), pp. 574-577.</w:t>
      </w:r>
    </w:p>
    <w:p w:rsidR="00000000" w:rsidDel="00000000" w:rsidP="00000000" w:rsidRDefault="00000000" w:rsidRPr="00000000" w14:paraId="000000B0">
      <w:pPr>
        <w:contextualSpacing w:val="0"/>
        <w:rPr/>
      </w:pPr>
      <w:r w:rsidDel="00000000" w:rsidR="00000000" w:rsidRPr="00000000">
        <w:rPr>
          <w:rtl w:val="0"/>
        </w:rPr>
      </w:r>
    </w:p>
    <w:p w:rsidR="00000000" w:rsidDel="00000000" w:rsidP="00000000" w:rsidRDefault="00000000" w:rsidRPr="00000000" w14:paraId="000000B1">
      <w:pPr>
        <w:contextualSpacing w:val="0"/>
        <w:rPr/>
      </w:pPr>
      <w:r w:rsidDel="00000000" w:rsidR="00000000" w:rsidRPr="00000000">
        <w:rPr>
          <w:rtl w:val="0"/>
        </w:rPr>
        <w:t xml:space="preserve">Kempe, Margery, </w:t>
      </w:r>
      <w:r w:rsidDel="00000000" w:rsidR="00000000" w:rsidRPr="00000000">
        <w:rPr>
          <w:i w:val="1"/>
          <w:rtl w:val="0"/>
        </w:rPr>
        <w:t xml:space="preserve">The Book of Margery Kempe</w:t>
      </w:r>
      <w:r w:rsidDel="00000000" w:rsidR="00000000" w:rsidRPr="00000000">
        <w:rPr>
          <w:rtl w:val="0"/>
        </w:rPr>
        <w:t xml:space="preserve">, ed. by B. A. Windeatt (London: Penguin Books, 1994).</w:t>
      </w:r>
    </w:p>
    <w:p w:rsidR="00000000" w:rsidDel="00000000" w:rsidP="00000000" w:rsidRDefault="00000000" w:rsidRPr="00000000" w14:paraId="000000B2">
      <w:pPr>
        <w:contextualSpacing w:val="0"/>
        <w:rPr/>
      </w:pPr>
      <w:r w:rsidDel="00000000" w:rsidR="00000000" w:rsidRPr="00000000">
        <w:rPr>
          <w:rtl w:val="0"/>
        </w:rPr>
      </w:r>
    </w:p>
    <w:p w:rsidR="00000000" w:rsidDel="00000000" w:rsidP="00000000" w:rsidRDefault="00000000" w:rsidRPr="00000000" w14:paraId="000000B3">
      <w:pPr>
        <w:contextualSpacing w:val="0"/>
        <w:rPr/>
      </w:pPr>
      <w:r w:rsidDel="00000000" w:rsidR="00000000" w:rsidRPr="00000000">
        <w:rPr>
          <w:rtl w:val="0"/>
        </w:rPr>
        <w:t xml:space="preserve">Mahl, Mary R. and Koon, Helene, ‘Introduction’, in </w:t>
      </w:r>
      <w:r w:rsidDel="00000000" w:rsidR="00000000" w:rsidRPr="00000000">
        <w:rPr>
          <w:i w:val="1"/>
          <w:rtl w:val="0"/>
        </w:rPr>
        <w:t xml:space="preserve">The Female Spectator: English Women Writers Before 1800</w:t>
      </w:r>
      <w:r w:rsidDel="00000000" w:rsidR="00000000" w:rsidRPr="00000000">
        <w:rPr>
          <w:rtl w:val="0"/>
        </w:rPr>
        <w:t xml:space="preserve">, ed. By Mary R. Mahl and Helene Koon (Ontario: The Feminist Press, 1977), pp. 1-11.</w:t>
      </w:r>
    </w:p>
    <w:p w:rsidR="00000000" w:rsidDel="00000000" w:rsidP="00000000" w:rsidRDefault="00000000" w:rsidRPr="00000000" w14:paraId="000000B4">
      <w:pPr>
        <w:contextualSpacing w:val="0"/>
        <w:rPr/>
      </w:pPr>
      <w:r w:rsidDel="00000000" w:rsidR="00000000" w:rsidRPr="00000000">
        <w:rPr>
          <w:rtl w:val="0"/>
        </w:rPr>
      </w:r>
    </w:p>
    <w:p w:rsidR="00000000" w:rsidDel="00000000" w:rsidP="00000000" w:rsidRDefault="00000000" w:rsidRPr="00000000" w14:paraId="000000B5">
      <w:pPr>
        <w:contextualSpacing w:val="0"/>
        <w:rPr/>
      </w:pPr>
      <w:r w:rsidDel="00000000" w:rsidR="00000000" w:rsidRPr="00000000">
        <w:rPr>
          <w:rtl w:val="0"/>
        </w:rPr>
        <w:t xml:space="preserve">Mahler, Margaret, ‘The Psychological Birth of the Human Infant’, in </w:t>
      </w:r>
      <w:r w:rsidDel="00000000" w:rsidR="00000000" w:rsidRPr="00000000">
        <w:rPr>
          <w:i w:val="1"/>
          <w:rtl w:val="0"/>
        </w:rPr>
        <w:t xml:space="preserve">Literary Theory: An Anthology</w:t>
      </w:r>
      <w:r w:rsidDel="00000000" w:rsidR="00000000" w:rsidRPr="00000000">
        <w:rPr>
          <w:rtl w:val="0"/>
        </w:rPr>
        <w:t xml:space="preserve">, ed. By Julie Rivkin and Michael Ryan (Oxford: Blackwell Publishers, 1998), pp. 215-222. </w:t>
      </w:r>
    </w:p>
    <w:p w:rsidR="00000000" w:rsidDel="00000000" w:rsidP="00000000" w:rsidRDefault="00000000" w:rsidRPr="00000000" w14:paraId="000000B6">
      <w:pPr>
        <w:contextualSpacing w:val="0"/>
        <w:rPr/>
      </w:pPr>
      <w:r w:rsidDel="00000000" w:rsidR="00000000" w:rsidRPr="00000000">
        <w:rPr>
          <w:rtl w:val="0"/>
        </w:rPr>
      </w:r>
    </w:p>
    <w:p w:rsidR="00000000" w:rsidDel="00000000" w:rsidP="00000000" w:rsidRDefault="00000000" w:rsidRPr="00000000" w14:paraId="000000B7">
      <w:pPr>
        <w:contextualSpacing w:val="0"/>
        <w:rPr/>
      </w:pPr>
      <w:r w:rsidDel="00000000" w:rsidR="00000000" w:rsidRPr="00000000">
        <w:rPr>
          <w:rtl w:val="0"/>
        </w:rPr>
        <w:t xml:space="preserve">Rubin, Gayle, ‘The Traffic in Women: Notes on the “Political Economy” of Sex’,  in </w:t>
      </w:r>
      <w:r w:rsidDel="00000000" w:rsidR="00000000" w:rsidRPr="00000000">
        <w:rPr>
          <w:i w:val="1"/>
          <w:rtl w:val="0"/>
        </w:rPr>
        <w:t xml:space="preserve">Literary Theory: An Anthology</w:t>
      </w:r>
      <w:r w:rsidDel="00000000" w:rsidR="00000000" w:rsidRPr="00000000">
        <w:rPr>
          <w:rtl w:val="0"/>
        </w:rPr>
        <w:t xml:space="preserve">, ed. By Julie Rivkin and Michael Ryan (Oxford: Blackwell Publishers, 1998), pp. 533-560.</w:t>
      </w: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Tahoma">
    <w:embedRegular w:fontKey="{00000000-0000-0000-0000-000000000000}" r:id="rId1" w:subsetted="0"/>
    <w:embedBold w:fontKey="{00000000-0000-0000-0000-000000000000}" r:id="rId2"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3">
    <w:p w:rsidR="00000000" w:rsidDel="00000000" w:rsidP="00000000" w:rsidRDefault="00000000" w:rsidRPr="00000000" w14:paraId="000000B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Margery Kempe, </w:t>
      </w:r>
      <w:r w:rsidDel="00000000" w:rsidR="00000000" w:rsidRPr="00000000">
        <w:rPr>
          <w:i w:val="1"/>
          <w:sz w:val="20"/>
          <w:szCs w:val="20"/>
          <w:rtl w:val="0"/>
        </w:rPr>
        <w:t xml:space="preserve">The Book of Margery Kempe</w:t>
      </w:r>
      <w:r w:rsidDel="00000000" w:rsidR="00000000" w:rsidRPr="00000000">
        <w:rPr>
          <w:sz w:val="20"/>
          <w:szCs w:val="20"/>
          <w:rtl w:val="0"/>
        </w:rPr>
        <w:t xml:space="preserve">, ed. by B. A. Windeatt (London: Penguin Books, 1994), p. 41.</w:t>
      </w:r>
    </w:p>
  </w:footnote>
  <w:footnote w:id="4">
    <w:p w:rsidR="00000000" w:rsidDel="00000000" w:rsidP="00000000" w:rsidRDefault="00000000" w:rsidRPr="00000000" w14:paraId="000000B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41.</w:t>
      </w:r>
    </w:p>
  </w:footnote>
  <w:footnote w:id="5">
    <w:p w:rsidR="00000000" w:rsidDel="00000000" w:rsidP="00000000" w:rsidRDefault="00000000" w:rsidRPr="00000000" w14:paraId="000000B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47.</w:t>
      </w:r>
    </w:p>
  </w:footnote>
  <w:footnote w:id="6">
    <w:p w:rsidR="00000000" w:rsidDel="00000000" w:rsidP="00000000" w:rsidRDefault="00000000" w:rsidRPr="00000000" w14:paraId="000000B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153.</w:t>
      </w:r>
    </w:p>
  </w:footnote>
  <w:footnote w:id="7">
    <w:p w:rsidR="00000000" w:rsidDel="00000000" w:rsidP="00000000" w:rsidRDefault="00000000" w:rsidRPr="00000000" w14:paraId="000000B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875.</w:t>
      </w:r>
    </w:p>
  </w:footnote>
  <w:footnote w:id="8">
    <w:p w:rsidR="00000000" w:rsidDel="00000000" w:rsidP="00000000" w:rsidRDefault="00000000" w:rsidRPr="00000000" w14:paraId="000000B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880.</w:t>
      </w:r>
    </w:p>
  </w:footnote>
  <w:footnote w:id="9">
    <w:p w:rsidR="00000000" w:rsidDel="00000000" w:rsidP="00000000" w:rsidRDefault="00000000" w:rsidRPr="00000000" w14:paraId="000000B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877.</w:t>
      </w:r>
    </w:p>
  </w:footnote>
  <w:footnote w:id="10">
    <w:p w:rsidR="00000000" w:rsidDel="00000000" w:rsidP="00000000" w:rsidRDefault="00000000" w:rsidRPr="00000000" w14:paraId="000000B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880.</w:t>
      </w:r>
    </w:p>
  </w:footnote>
  <w:footnote w:id="11">
    <w:p w:rsidR="00000000" w:rsidDel="00000000" w:rsidP="00000000" w:rsidRDefault="00000000" w:rsidRPr="00000000" w14:paraId="000000C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106.</w:t>
      </w:r>
    </w:p>
  </w:footnote>
  <w:footnote w:id="12">
    <w:p w:rsidR="00000000" w:rsidDel="00000000" w:rsidP="00000000" w:rsidRDefault="00000000" w:rsidRPr="00000000" w14:paraId="000000C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881.</w:t>
      </w:r>
    </w:p>
  </w:footnote>
  <w:footnote w:id="13">
    <w:p w:rsidR="00000000" w:rsidDel="00000000" w:rsidP="00000000" w:rsidRDefault="00000000" w:rsidRPr="00000000" w14:paraId="000000C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Caroline Walker Bynum, </w:t>
      </w:r>
      <w:r w:rsidDel="00000000" w:rsidR="00000000" w:rsidRPr="00000000">
        <w:rPr>
          <w:i w:val="1"/>
          <w:sz w:val="20"/>
          <w:szCs w:val="20"/>
          <w:rtl w:val="0"/>
        </w:rPr>
        <w:t xml:space="preserve">Fragmentation and redemption: essays on gender and the human body in Medieval religion</w:t>
      </w:r>
      <w:r w:rsidDel="00000000" w:rsidR="00000000" w:rsidRPr="00000000">
        <w:rPr>
          <w:sz w:val="20"/>
          <w:szCs w:val="20"/>
          <w:rtl w:val="0"/>
        </w:rPr>
        <w:t xml:space="preserve"> (New York: Zone Books, 2012), p. 169.</w:t>
      </w:r>
    </w:p>
  </w:footnote>
  <w:footnote w:id="15">
    <w:p w:rsidR="00000000" w:rsidDel="00000000" w:rsidP="00000000" w:rsidRDefault="00000000" w:rsidRPr="00000000" w14:paraId="000000C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Jane Gallop, ‘Reading the Mother Tongue: Psychoanalytic Feminist Criticism’, </w:t>
      </w:r>
      <w:r w:rsidDel="00000000" w:rsidR="00000000" w:rsidRPr="00000000">
        <w:rPr>
          <w:i w:val="1"/>
          <w:sz w:val="20"/>
          <w:szCs w:val="20"/>
          <w:rtl w:val="0"/>
        </w:rPr>
        <w:t xml:space="preserve">Critical Inquiry</w:t>
      </w:r>
      <w:r w:rsidDel="00000000" w:rsidR="00000000" w:rsidRPr="00000000">
        <w:rPr>
          <w:sz w:val="20"/>
          <w:szCs w:val="20"/>
          <w:rtl w:val="0"/>
        </w:rPr>
        <w:t xml:space="preserve">, 13:2 (Winter, 1987), 314-329., p. 319.</w:t>
      </w:r>
    </w:p>
  </w:footnote>
  <w:footnote w:id="16">
    <w:p w:rsidR="00000000" w:rsidDel="00000000" w:rsidP="00000000" w:rsidRDefault="00000000" w:rsidRPr="00000000" w14:paraId="000000C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73.</w:t>
      </w:r>
    </w:p>
  </w:footnote>
  <w:footnote w:id="17">
    <w:p w:rsidR="00000000" w:rsidDel="00000000" w:rsidP="00000000" w:rsidRDefault="00000000" w:rsidRPr="00000000" w14:paraId="000000C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84.</w:t>
      </w:r>
    </w:p>
  </w:footnote>
  <w:footnote w:id="18">
    <w:p w:rsidR="00000000" w:rsidDel="00000000" w:rsidP="00000000" w:rsidRDefault="00000000" w:rsidRPr="00000000" w14:paraId="000000C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888.</w:t>
      </w:r>
    </w:p>
  </w:footnote>
  <w:footnote w:id="19">
    <w:p w:rsidR="00000000" w:rsidDel="00000000" w:rsidP="00000000" w:rsidRDefault="00000000" w:rsidRPr="00000000" w14:paraId="000000C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879.</w:t>
      </w:r>
    </w:p>
  </w:footnote>
  <w:footnote w:id="20">
    <w:p w:rsidR="00000000" w:rsidDel="00000000" w:rsidP="00000000" w:rsidRDefault="00000000" w:rsidRPr="00000000" w14:paraId="000000C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884.</w:t>
      </w:r>
    </w:p>
  </w:footnote>
  <w:footnote w:id="21">
    <w:p w:rsidR="00000000" w:rsidDel="00000000" w:rsidP="00000000" w:rsidRDefault="00000000" w:rsidRPr="00000000" w14:paraId="000000C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Judith M.Bennett, </w:t>
      </w:r>
      <w:r w:rsidDel="00000000" w:rsidR="00000000" w:rsidRPr="00000000">
        <w:rPr>
          <w:i w:val="1"/>
          <w:sz w:val="20"/>
          <w:szCs w:val="20"/>
          <w:rtl w:val="0"/>
        </w:rPr>
        <w:t xml:space="preserve">History Matters: Patriarchy and the Challenge of Feminism</w:t>
      </w:r>
      <w:r w:rsidDel="00000000" w:rsidR="00000000" w:rsidRPr="00000000">
        <w:rPr>
          <w:sz w:val="20"/>
          <w:szCs w:val="20"/>
          <w:rtl w:val="0"/>
        </w:rPr>
        <w:t xml:space="preserve"> (Manchester: Manchester University Press, 2006), p.38.</w:t>
      </w:r>
    </w:p>
  </w:footnote>
  <w:footnote w:id="22">
    <w:p w:rsidR="00000000" w:rsidDel="00000000" w:rsidP="00000000" w:rsidRDefault="00000000" w:rsidRPr="00000000" w14:paraId="000000C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885.</w:t>
      </w:r>
    </w:p>
  </w:footnote>
  <w:footnote w:id="23">
    <w:p w:rsidR="00000000" w:rsidDel="00000000" w:rsidP="00000000" w:rsidRDefault="00000000" w:rsidRPr="00000000" w14:paraId="000000C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885.</w:t>
      </w:r>
    </w:p>
  </w:footnote>
  <w:footnote w:id="24">
    <w:p w:rsidR="00000000" w:rsidDel="00000000" w:rsidP="00000000" w:rsidRDefault="00000000" w:rsidRPr="00000000" w14:paraId="000000C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174.</w:t>
      </w:r>
    </w:p>
  </w:footnote>
  <w:footnote w:id="25">
    <w:p w:rsidR="00000000" w:rsidDel="00000000" w:rsidP="00000000" w:rsidRDefault="00000000" w:rsidRPr="00000000" w14:paraId="000000C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879.</w:t>
      </w:r>
    </w:p>
  </w:footnote>
  <w:footnote w:id="14">
    <w:p w:rsidR="00000000" w:rsidDel="00000000" w:rsidP="00000000" w:rsidRDefault="00000000" w:rsidRPr="00000000" w14:paraId="000000C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168.</w:t>
      </w:r>
    </w:p>
  </w:footnote>
  <w:footnote w:id="26">
    <w:p w:rsidR="00000000" w:rsidDel="00000000" w:rsidP="00000000" w:rsidRDefault="00000000" w:rsidRPr="00000000" w14:paraId="000000C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197.</w:t>
      </w:r>
    </w:p>
  </w:footnote>
  <w:footnote w:id="28">
    <w:p w:rsidR="00000000" w:rsidDel="00000000" w:rsidP="00000000" w:rsidRDefault="00000000" w:rsidRPr="00000000" w14:paraId="000000D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Bynum, </w:t>
      </w:r>
      <w:r w:rsidDel="00000000" w:rsidR="00000000" w:rsidRPr="00000000">
        <w:rPr>
          <w:i w:val="1"/>
          <w:sz w:val="20"/>
          <w:szCs w:val="20"/>
          <w:rtl w:val="0"/>
        </w:rPr>
        <w:t xml:space="preserve">Fragmentation</w:t>
      </w:r>
      <w:r w:rsidDel="00000000" w:rsidR="00000000" w:rsidRPr="00000000">
        <w:rPr>
          <w:sz w:val="20"/>
          <w:szCs w:val="20"/>
          <w:rtl w:val="0"/>
        </w:rPr>
        <w:t xml:space="preserve">, p. 41.</w:t>
      </w:r>
    </w:p>
  </w:footnote>
  <w:footnote w:id="27">
    <w:p w:rsidR="00000000" w:rsidDel="00000000" w:rsidP="00000000" w:rsidRDefault="00000000" w:rsidRPr="00000000" w14:paraId="000000D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199.</w:t>
      </w:r>
    </w:p>
  </w:footnote>
  <w:footnote w:id="29">
    <w:p w:rsidR="00000000" w:rsidDel="00000000" w:rsidP="00000000" w:rsidRDefault="00000000" w:rsidRPr="00000000" w14:paraId="000000D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878.</w:t>
      </w:r>
    </w:p>
  </w:footnote>
  <w:footnote w:id="30">
    <w:p w:rsidR="00000000" w:rsidDel="00000000" w:rsidP="00000000" w:rsidRDefault="00000000" w:rsidRPr="00000000" w14:paraId="000000D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66.</w:t>
      </w:r>
    </w:p>
  </w:footnote>
  <w:footnote w:id="31">
    <w:p w:rsidR="00000000" w:rsidDel="00000000" w:rsidP="00000000" w:rsidRDefault="00000000" w:rsidRPr="00000000" w14:paraId="000000D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Gallop, ‘Mother Tongue’, p. 322.</w:t>
      </w:r>
    </w:p>
  </w:footnote>
  <w:footnote w:id="32">
    <w:p w:rsidR="00000000" w:rsidDel="00000000" w:rsidP="00000000" w:rsidRDefault="00000000" w:rsidRPr="00000000" w14:paraId="000000D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88.</w:t>
      </w:r>
    </w:p>
  </w:footnote>
  <w:footnote w:id="33">
    <w:p w:rsidR="00000000" w:rsidDel="00000000" w:rsidP="00000000" w:rsidRDefault="00000000" w:rsidRPr="00000000" w14:paraId="000000D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122.</w:t>
      </w:r>
    </w:p>
  </w:footnote>
  <w:footnote w:id="34">
    <w:p w:rsidR="00000000" w:rsidDel="00000000" w:rsidP="00000000" w:rsidRDefault="00000000" w:rsidRPr="00000000" w14:paraId="000000D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136.</w:t>
      </w:r>
    </w:p>
  </w:footnote>
  <w:footnote w:id="35">
    <w:p w:rsidR="00000000" w:rsidDel="00000000" w:rsidP="00000000" w:rsidRDefault="00000000" w:rsidRPr="00000000" w14:paraId="000000D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158.</w:t>
      </w:r>
    </w:p>
  </w:footnote>
  <w:footnote w:id="36">
    <w:p w:rsidR="00000000" w:rsidDel="00000000" w:rsidP="00000000" w:rsidRDefault="00000000" w:rsidRPr="00000000" w14:paraId="000000D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Mary R. Mahl and Helene Koon, ‘Introduction’, in </w:t>
      </w:r>
      <w:r w:rsidDel="00000000" w:rsidR="00000000" w:rsidRPr="00000000">
        <w:rPr>
          <w:i w:val="1"/>
          <w:sz w:val="20"/>
          <w:szCs w:val="20"/>
          <w:rtl w:val="0"/>
        </w:rPr>
        <w:t xml:space="preserve">The Female Spectator: English Women Writers Before 1800</w:t>
      </w:r>
      <w:r w:rsidDel="00000000" w:rsidR="00000000" w:rsidRPr="00000000">
        <w:rPr>
          <w:sz w:val="20"/>
          <w:szCs w:val="20"/>
          <w:rtl w:val="0"/>
        </w:rPr>
        <w:t xml:space="preserve">, ed. By Mary R. Mahl and Helene Koon (Ontario: The Feminist Press, 1977), pp. 1-11., p. 4.</w:t>
      </w:r>
    </w:p>
  </w:footnote>
  <w:footnote w:id="37">
    <w:p w:rsidR="00000000" w:rsidDel="00000000" w:rsidP="00000000" w:rsidRDefault="00000000" w:rsidRPr="00000000" w14:paraId="000000D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127.</w:t>
      </w:r>
    </w:p>
  </w:footnote>
  <w:footnote w:id="38">
    <w:p w:rsidR="00000000" w:rsidDel="00000000" w:rsidP="00000000" w:rsidRDefault="00000000" w:rsidRPr="00000000" w14:paraId="000000D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881.</w:t>
      </w:r>
    </w:p>
  </w:footnote>
  <w:footnote w:id="39">
    <w:p w:rsidR="00000000" w:rsidDel="00000000" w:rsidP="00000000" w:rsidRDefault="00000000" w:rsidRPr="00000000" w14:paraId="000000D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w:t>
      </w:r>
      <w:r w:rsidDel="00000000" w:rsidR="00000000" w:rsidRPr="00000000">
        <w:rPr>
          <w:sz w:val="20"/>
          <w:szCs w:val="20"/>
          <w:rtl w:val="0"/>
        </w:rPr>
        <w:t xml:space="preserve">p. 196.</w:t>
      </w:r>
    </w:p>
  </w:footnote>
  <w:footnote w:id="40">
    <w:p w:rsidR="00000000" w:rsidDel="00000000" w:rsidP="00000000" w:rsidRDefault="00000000" w:rsidRPr="00000000" w14:paraId="000000D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pp. 880-1.</w:t>
      </w:r>
    </w:p>
  </w:footnote>
  <w:footnote w:id="41">
    <w:p w:rsidR="00000000" w:rsidDel="00000000" w:rsidP="00000000" w:rsidRDefault="00000000" w:rsidRPr="00000000" w14:paraId="000000D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Sandra Gilbert and  Susan Gubar, ‘The Madwoman in the Attic’, in </w:t>
      </w:r>
      <w:r w:rsidDel="00000000" w:rsidR="00000000" w:rsidRPr="00000000">
        <w:rPr>
          <w:i w:val="1"/>
          <w:sz w:val="20"/>
          <w:szCs w:val="20"/>
          <w:rtl w:val="0"/>
        </w:rPr>
        <w:t xml:space="preserve">Literary Theory: An Anthology</w:t>
      </w:r>
      <w:r w:rsidDel="00000000" w:rsidR="00000000" w:rsidRPr="00000000">
        <w:rPr>
          <w:sz w:val="20"/>
          <w:szCs w:val="20"/>
          <w:rtl w:val="0"/>
        </w:rPr>
        <w:t xml:space="preserve">, ed. By Julie Rivkin and Michael Ryan (Oxford: Blackwell Publishers, 1998), pp. 596-611., p. 598.</w:t>
      </w:r>
    </w:p>
  </w:footnote>
  <w:footnote w:id="42">
    <w:p w:rsidR="00000000" w:rsidDel="00000000" w:rsidP="00000000" w:rsidRDefault="00000000" w:rsidRPr="00000000" w14:paraId="000000D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42.</w:t>
      </w:r>
    </w:p>
  </w:footnote>
  <w:footnote w:id="43">
    <w:p w:rsidR="00000000" w:rsidDel="00000000" w:rsidP="00000000" w:rsidRDefault="00000000" w:rsidRPr="00000000" w14:paraId="000000E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109.</w:t>
      </w:r>
    </w:p>
  </w:footnote>
  <w:footnote w:id="44">
    <w:p w:rsidR="00000000" w:rsidDel="00000000" w:rsidP="00000000" w:rsidRDefault="00000000" w:rsidRPr="00000000" w14:paraId="000000E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876.</w:t>
      </w:r>
    </w:p>
  </w:footnote>
  <w:footnote w:id="45">
    <w:p w:rsidR="00000000" w:rsidDel="00000000" w:rsidP="00000000" w:rsidRDefault="00000000" w:rsidRPr="00000000" w14:paraId="000000E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Gallop, ‘Mother Tongue’, p. 317.</w:t>
      </w:r>
    </w:p>
  </w:footnote>
  <w:footnote w:id="46">
    <w:p w:rsidR="00000000" w:rsidDel="00000000" w:rsidP="00000000" w:rsidRDefault="00000000" w:rsidRPr="00000000" w14:paraId="000000E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317.</w:t>
      </w:r>
    </w:p>
  </w:footnote>
  <w:footnote w:id="47">
    <w:p w:rsidR="00000000" w:rsidDel="00000000" w:rsidP="00000000" w:rsidRDefault="00000000" w:rsidRPr="00000000" w14:paraId="000000E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p. 212.</w:t>
      </w:r>
    </w:p>
  </w:footnote>
  <w:footnote w:id="48">
    <w:p w:rsidR="00000000" w:rsidDel="00000000" w:rsidP="00000000" w:rsidRDefault="00000000" w:rsidRPr="00000000" w14:paraId="000000E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877.</w:t>
      </w:r>
    </w:p>
  </w:footnote>
  <w:footnote w:id="1">
    <w:p w:rsidR="00000000" w:rsidDel="00000000" w:rsidP="00000000" w:rsidRDefault="00000000" w:rsidRPr="00000000" w14:paraId="000000E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890.</w:t>
      </w:r>
    </w:p>
  </w:footnote>
  <w:footnote w:id="2">
    <w:p w:rsidR="00000000" w:rsidDel="00000000" w:rsidP="00000000" w:rsidRDefault="00000000" w:rsidRPr="00000000" w14:paraId="000000E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880.</w:t>
      </w:r>
    </w:p>
  </w:footnote>
  <w:footnote w:id="49">
    <w:p w:rsidR="00000000" w:rsidDel="00000000" w:rsidP="00000000" w:rsidRDefault="00000000" w:rsidRPr="00000000" w14:paraId="000000E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Kempe, </w:t>
      </w:r>
      <w:r w:rsidDel="00000000" w:rsidR="00000000" w:rsidRPr="00000000">
        <w:rPr>
          <w:i w:val="1"/>
          <w:sz w:val="20"/>
          <w:szCs w:val="20"/>
          <w:rtl w:val="0"/>
        </w:rPr>
        <w:t xml:space="preserve">Margery Kempe</w:t>
      </w:r>
      <w:r w:rsidDel="00000000" w:rsidR="00000000" w:rsidRPr="00000000">
        <w:rPr>
          <w:sz w:val="20"/>
          <w:szCs w:val="20"/>
          <w:rtl w:val="0"/>
        </w:rPr>
        <w:t xml:space="preserve">, </w:t>
      </w:r>
      <w:r w:rsidDel="00000000" w:rsidR="00000000" w:rsidRPr="00000000">
        <w:rPr>
          <w:sz w:val="20"/>
          <w:szCs w:val="20"/>
          <w:rtl w:val="0"/>
        </w:rPr>
        <w:t xml:space="preserve">p. 85.</w:t>
      </w:r>
    </w:p>
  </w:footnote>
  <w:footnote w:id="50">
    <w:p w:rsidR="00000000" w:rsidDel="00000000" w:rsidP="00000000" w:rsidRDefault="00000000" w:rsidRPr="00000000" w14:paraId="000000E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107.</w:t>
      </w:r>
    </w:p>
  </w:footnote>
  <w:footnote w:id="51">
    <w:p w:rsidR="00000000" w:rsidDel="00000000" w:rsidP="00000000" w:rsidRDefault="00000000" w:rsidRPr="00000000" w14:paraId="000000E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Bennett, </w:t>
      </w:r>
      <w:r w:rsidDel="00000000" w:rsidR="00000000" w:rsidRPr="00000000">
        <w:rPr>
          <w:i w:val="1"/>
          <w:sz w:val="20"/>
          <w:szCs w:val="20"/>
          <w:rtl w:val="0"/>
        </w:rPr>
        <w:t xml:space="preserve">History Matters</w:t>
      </w:r>
      <w:r w:rsidDel="00000000" w:rsidR="00000000" w:rsidRPr="00000000">
        <w:rPr>
          <w:sz w:val="20"/>
          <w:szCs w:val="20"/>
          <w:rtl w:val="0"/>
        </w:rPr>
        <w:t xml:space="preserve">, </w:t>
      </w:r>
      <w:r w:rsidDel="00000000" w:rsidR="00000000" w:rsidRPr="00000000">
        <w:rPr>
          <w:sz w:val="20"/>
          <w:szCs w:val="20"/>
          <w:rtl w:val="0"/>
        </w:rPr>
        <w:t xml:space="preserve">p. 59.</w:t>
      </w:r>
    </w:p>
  </w:footnote>
  <w:footnote w:id="52">
    <w:p w:rsidR="00000000" w:rsidDel="00000000" w:rsidP="00000000" w:rsidRDefault="00000000" w:rsidRPr="00000000" w14:paraId="000000E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60.</w:t>
      </w:r>
    </w:p>
  </w:footnote>
  <w:footnote w:id="0">
    <w:p w:rsidR="00000000" w:rsidDel="00000000" w:rsidP="00000000" w:rsidRDefault="00000000" w:rsidRPr="00000000" w14:paraId="000000E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Helene Cixous, ‘The Laugh of the Medusa’, </w:t>
      </w:r>
      <w:r w:rsidDel="00000000" w:rsidR="00000000" w:rsidRPr="00000000">
        <w:rPr>
          <w:i w:val="1"/>
          <w:sz w:val="20"/>
          <w:szCs w:val="20"/>
          <w:rtl w:val="0"/>
        </w:rPr>
        <w:t xml:space="preserve">Signs</w:t>
      </w:r>
      <w:r w:rsidDel="00000000" w:rsidR="00000000" w:rsidRPr="00000000">
        <w:rPr>
          <w:sz w:val="20"/>
          <w:szCs w:val="20"/>
          <w:rtl w:val="0"/>
        </w:rPr>
        <w:t xml:space="preserve">, 1:4 (Summer, 1976), 875-893, p. 883.</w:t>
      </w:r>
    </w:p>
  </w:footnote>
  <w:footnote w:id="53">
    <w:p w:rsidR="00000000" w:rsidDel="00000000" w:rsidP="00000000" w:rsidRDefault="00000000" w:rsidRPr="00000000" w14:paraId="000000E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Cixous, ‘Medusa’, p. 883.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