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820183740"/>
        <w:docPartObj>
          <w:docPartGallery w:val="Cover Pages"/>
          <w:docPartUnique/>
        </w:docPartObj>
      </w:sdtPr>
      <w:sdtEndPr>
        <w:rPr>
          <w:color w:val="auto"/>
        </w:rPr>
      </w:sdtEndPr>
      <w:sdtContent>
        <w:p w14:paraId="45FEE0BB" w14:textId="4546D760" w:rsidR="002A147E" w:rsidRDefault="002A147E">
          <w:pPr>
            <w:pStyle w:val="NoSpacing"/>
            <w:spacing w:before="1540" w:after="240"/>
            <w:jc w:val="center"/>
            <w:rPr>
              <w:color w:val="4472C4" w:themeColor="accent1"/>
            </w:rPr>
          </w:pPr>
          <w:r>
            <w:rPr>
              <w:noProof/>
              <w:color w:val="4472C4" w:themeColor="accent1"/>
            </w:rPr>
            <w:drawing>
              <wp:inline distT="0" distB="0" distL="0" distR="0" wp14:anchorId="74DD1E51" wp14:editId="61E1056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773808555904DE2BB08CF9F3CF7239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004132" w14:textId="1A2DF1EE" w:rsidR="002A147E" w:rsidRDefault="0070636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Usability Engineering: Assignment 1</w:t>
              </w:r>
            </w:p>
          </w:sdtContent>
        </w:sdt>
        <w:sdt>
          <w:sdtPr>
            <w:rPr>
              <w:color w:val="4472C4" w:themeColor="accent1"/>
              <w:sz w:val="28"/>
              <w:szCs w:val="28"/>
            </w:rPr>
            <w:alias w:val="Subtitle"/>
            <w:tag w:val=""/>
            <w:id w:val="328029620"/>
            <w:placeholder>
              <w:docPart w:val="C6956E64812343669900847135CA98C9"/>
            </w:placeholder>
            <w:dataBinding w:prefixMappings="xmlns:ns0='http://purl.org/dc/elements/1.1/' xmlns:ns1='http://schemas.openxmlformats.org/package/2006/metadata/core-properties' " w:xpath="/ns1:coreProperties[1]/ns0:subject[1]" w:storeItemID="{6C3C8BC8-F283-45AE-878A-BAB7291924A1}"/>
            <w:text/>
          </w:sdtPr>
          <w:sdtEndPr/>
          <w:sdtContent>
            <w:p w14:paraId="4AD1FE25" w14:textId="6522DE82" w:rsidR="002A147E" w:rsidRDefault="0070636A">
              <w:pPr>
                <w:pStyle w:val="NoSpacing"/>
                <w:jc w:val="center"/>
                <w:rPr>
                  <w:color w:val="4472C4" w:themeColor="accent1"/>
                  <w:sz w:val="28"/>
                  <w:szCs w:val="28"/>
                </w:rPr>
              </w:pPr>
              <w:r>
                <w:rPr>
                  <w:color w:val="4472C4" w:themeColor="accent1"/>
                  <w:sz w:val="28"/>
                  <w:szCs w:val="28"/>
                </w:rPr>
                <w:t>COVID App prototype.</w:t>
              </w:r>
            </w:p>
          </w:sdtContent>
        </w:sdt>
        <w:p w14:paraId="750FA941" w14:textId="77777777" w:rsidR="002A147E" w:rsidRDefault="002A147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109A3E7B" wp14:editId="085BAF4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259CDE1" w14:textId="0D4A8EFA" w:rsidR="002A147E" w:rsidRDefault="0070636A">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A3C167E" w14:textId="375DE5F4" w:rsidR="002A147E" w:rsidRDefault="0030738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0636A">
                                      <w:rPr>
                                        <w:caps/>
                                        <w:color w:val="4472C4" w:themeColor="accent1"/>
                                      </w:rPr>
                                      <w:t>Jake Mason 256602</w:t>
                                    </w:r>
                                  </w:sdtContent>
                                </w:sdt>
                              </w:p>
                              <w:p w14:paraId="5E37ACE0" w14:textId="743D1605" w:rsidR="002A147E" w:rsidRDefault="0030738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0636A">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09A3E7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259CDE1" w14:textId="0D4A8EFA" w:rsidR="002A147E" w:rsidRDefault="0070636A">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2A3C167E" w14:textId="375DE5F4" w:rsidR="002A147E" w:rsidRDefault="00E55C8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0636A">
                                <w:rPr>
                                  <w:caps/>
                                  <w:color w:val="4472C4" w:themeColor="accent1"/>
                                </w:rPr>
                                <w:t>Jake Mason 256602</w:t>
                              </w:r>
                            </w:sdtContent>
                          </w:sdt>
                        </w:p>
                        <w:p w14:paraId="5E37ACE0" w14:textId="743D1605" w:rsidR="002A147E" w:rsidRDefault="00E55C86">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0636A">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40601248" wp14:editId="40AA25A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76ACD0" w14:textId="77777777" w:rsidR="00A911B4" w:rsidRDefault="002A147E">
          <w:r>
            <w:br w:type="page"/>
          </w:r>
        </w:p>
      </w:sdtContent>
    </w:sdt>
    <w:p w14:paraId="6AF4378F" w14:textId="68A67F83" w:rsidR="00537FCF" w:rsidRPr="00A911B4" w:rsidRDefault="0070636A">
      <w:r>
        <w:rPr>
          <w:b/>
          <w:bCs/>
          <w:sz w:val="32"/>
          <w:szCs w:val="32"/>
          <w:u w:val="single"/>
        </w:rPr>
        <w:lastRenderedPageBreak/>
        <w:t>Contents Page</w:t>
      </w:r>
    </w:p>
    <w:p w14:paraId="009319AE" w14:textId="3E808E3E" w:rsidR="0070636A" w:rsidRDefault="00A50FE8" w:rsidP="00A50FE8">
      <w:pPr>
        <w:pStyle w:val="ListParagraph"/>
        <w:numPr>
          <w:ilvl w:val="0"/>
          <w:numId w:val="8"/>
        </w:numPr>
      </w:pPr>
      <w:r>
        <w:t>Contents Page – Page 1</w:t>
      </w:r>
    </w:p>
    <w:p w14:paraId="29BC2508" w14:textId="7F7A010E" w:rsidR="00A50FE8" w:rsidRDefault="00A50FE8" w:rsidP="00A50FE8">
      <w:pPr>
        <w:pStyle w:val="ListParagraph"/>
        <w:numPr>
          <w:ilvl w:val="0"/>
          <w:numId w:val="8"/>
        </w:numPr>
      </w:pPr>
      <w:r>
        <w:t>Introduction – Page 2</w:t>
      </w:r>
    </w:p>
    <w:p w14:paraId="171977E4" w14:textId="4B70B4B3" w:rsidR="00A50FE8" w:rsidRDefault="00A50FE8" w:rsidP="00A50FE8">
      <w:pPr>
        <w:pStyle w:val="ListParagraph"/>
        <w:numPr>
          <w:ilvl w:val="0"/>
          <w:numId w:val="8"/>
        </w:numPr>
      </w:pPr>
      <w:r>
        <w:t>Target User Group – Pages 2-4</w:t>
      </w:r>
    </w:p>
    <w:p w14:paraId="17394C12" w14:textId="249BB9E9" w:rsidR="00A50FE8" w:rsidRDefault="00A50FE8" w:rsidP="00A50FE8">
      <w:pPr>
        <w:pStyle w:val="ListParagraph"/>
        <w:numPr>
          <w:ilvl w:val="0"/>
          <w:numId w:val="8"/>
        </w:numPr>
      </w:pPr>
      <w:r>
        <w:t>Paper Prototype – Pages 4-8</w:t>
      </w:r>
    </w:p>
    <w:p w14:paraId="04EA45B7" w14:textId="6E17BF4E" w:rsidR="00A50FE8" w:rsidRDefault="00A50FE8" w:rsidP="00A50FE8">
      <w:pPr>
        <w:pStyle w:val="ListParagraph"/>
        <w:numPr>
          <w:ilvl w:val="1"/>
          <w:numId w:val="8"/>
        </w:numPr>
      </w:pPr>
      <w:r>
        <w:t>Walkthrough – Pages 4-5</w:t>
      </w:r>
    </w:p>
    <w:p w14:paraId="15FE5106" w14:textId="21C95753" w:rsidR="00A50FE8" w:rsidRDefault="00A50FE8" w:rsidP="00A50FE8">
      <w:pPr>
        <w:pStyle w:val="ListParagraph"/>
        <w:numPr>
          <w:ilvl w:val="0"/>
          <w:numId w:val="8"/>
        </w:numPr>
      </w:pPr>
      <w:r>
        <w:t>Human Factors Theory – Pages 8-11</w:t>
      </w:r>
    </w:p>
    <w:p w14:paraId="47B70AE5" w14:textId="1AABBA27" w:rsidR="00A50FE8" w:rsidRDefault="00A50FE8" w:rsidP="00A50FE8">
      <w:pPr>
        <w:pStyle w:val="ListParagraph"/>
        <w:numPr>
          <w:ilvl w:val="0"/>
          <w:numId w:val="8"/>
        </w:numPr>
      </w:pPr>
      <w:r>
        <w:t>Walkthrough – Page 11</w:t>
      </w:r>
    </w:p>
    <w:p w14:paraId="3082D66D" w14:textId="0606C2EC" w:rsidR="00A50FE8" w:rsidRDefault="00A50FE8" w:rsidP="00A50FE8">
      <w:pPr>
        <w:pStyle w:val="ListParagraph"/>
        <w:numPr>
          <w:ilvl w:val="0"/>
          <w:numId w:val="8"/>
        </w:numPr>
      </w:pPr>
      <w:r>
        <w:t>Participation of Walkthrough – Page 11</w:t>
      </w:r>
    </w:p>
    <w:p w14:paraId="134BF74B" w14:textId="1153ACC4" w:rsidR="00A50FE8" w:rsidRDefault="00A50FE8" w:rsidP="00A50FE8">
      <w:pPr>
        <w:pStyle w:val="ListParagraph"/>
        <w:numPr>
          <w:ilvl w:val="0"/>
          <w:numId w:val="8"/>
        </w:numPr>
      </w:pPr>
      <w:r>
        <w:t>Software Prototype – Page 12</w:t>
      </w:r>
    </w:p>
    <w:p w14:paraId="6B53CBB1" w14:textId="3761E48D" w:rsidR="00A50FE8" w:rsidRDefault="00A50FE8" w:rsidP="00A50FE8">
      <w:pPr>
        <w:pStyle w:val="ListParagraph"/>
        <w:numPr>
          <w:ilvl w:val="0"/>
          <w:numId w:val="8"/>
        </w:numPr>
      </w:pPr>
      <w:r>
        <w:t>Evaluation – Pages 12-13</w:t>
      </w:r>
    </w:p>
    <w:p w14:paraId="5FBF6023" w14:textId="4DC7CD66" w:rsidR="00A50FE8" w:rsidRDefault="00A50FE8" w:rsidP="00A50FE8">
      <w:pPr>
        <w:pStyle w:val="ListParagraph"/>
        <w:numPr>
          <w:ilvl w:val="0"/>
          <w:numId w:val="8"/>
        </w:numPr>
      </w:pPr>
      <w:r>
        <w:t>References – Pages 13-15</w:t>
      </w:r>
    </w:p>
    <w:p w14:paraId="2A615E35" w14:textId="612C335E" w:rsidR="00A50FE8" w:rsidRDefault="00A50FE8" w:rsidP="00A50FE8">
      <w:pPr>
        <w:pStyle w:val="ListParagraph"/>
        <w:numPr>
          <w:ilvl w:val="0"/>
          <w:numId w:val="8"/>
        </w:numPr>
      </w:pPr>
      <w:r>
        <w:t>Appendix – Pages 15-16</w:t>
      </w:r>
    </w:p>
    <w:p w14:paraId="663B3E8F" w14:textId="16B5A0D6" w:rsidR="00A50FE8" w:rsidRDefault="00A50FE8" w:rsidP="00A50FE8">
      <w:pPr>
        <w:pStyle w:val="ListParagraph"/>
        <w:numPr>
          <w:ilvl w:val="1"/>
          <w:numId w:val="8"/>
        </w:numPr>
      </w:pPr>
      <w:r>
        <w:t>Walkthrough Feedback Verbatim – Page 15</w:t>
      </w:r>
    </w:p>
    <w:p w14:paraId="6AE42BED" w14:textId="6133E774" w:rsidR="00A50FE8" w:rsidRPr="00F676FC" w:rsidRDefault="00A50FE8" w:rsidP="00A50FE8">
      <w:pPr>
        <w:pStyle w:val="ListParagraph"/>
        <w:numPr>
          <w:ilvl w:val="1"/>
          <w:numId w:val="8"/>
        </w:numPr>
      </w:pPr>
      <w:r>
        <w:t>Participation of Walkthrough (paper prototype screenshots) – Pages 15-16</w:t>
      </w:r>
    </w:p>
    <w:p w14:paraId="6DB17F51" w14:textId="4D6E2878" w:rsidR="0070636A" w:rsidRDefault="0070636A">
      <w:pPr>
        <w:rPr>
          <w:b/>
          <w:bCs/>
          <w:sz w:val="32"/>
          <w:szCs w:val="32"/>
          <w:u w:val="single"/>
        </w:rPr>
      </w:pPr>
    </w:p>
    <w:p w14:paraId="16136454" w14:textId="00FCB11A" w:rsidR="0070636A" w:rsidRDefault="0070636A">
      <w:pPr>
        <w:rPr>
          <w:b/>
          <w:bCs/>
          <w:sz w:val="32"/>
          <w:szCs w:val="32"/>
          <w:u w:val="single"/>
        </w:rPr>
      </w:pPr>
    </w:p>
    <w:p w14:paraId="7922E9F7" w14:textId="4B76996C" w:rsidR="0070636A" w:rsidRDefault="0070636A">
      <w:pPr>
        <w:rPr>
          <w:b/>
          <w:bCs/>
          <w:sz w:val="32"/>
          <w:szCs w:val="32"/>
          <w:u w:val="single"/>
        </w:rPr>
      </w:pPr>
    </w:p>
    <w:p w14:paraId="1FE8B0CF" w14:textId="3CD3B03E" w:rsidR="0070636A" w:rsidRDefault="0070636A">
      <w:pPr>
        <w:rPr>
          <w:b/>
          <w:bCs/>
          <w:sz w:val="32"/>
          <w:szCs w:val="32"/>
          <w:u w:val="single"/>
        </w:rPr>
      </w:pPr>
    </w:p>
    <w:p w14:paraId="201D1976" w14:textId="17667CAA" w:rsidR="0070636A" w:rsidRDefault="0070636A">
      <w:pPr>
        <w:rPr>
          <w:b/>
          <w:bCs/>
          <w:sz w:val="32"/>
          <w:szCs w:val="32"/>
          <w:u w:val="single"/>
        </w:rPr>
      </w:pPr>
    </w:p>
    <w:p w14:paraId="51C95375" w14:textId="33939735" w:rsidR="0070636A" w:rsidRDefault="0070636A">
      <w:pPr>
        <w:rPr>
          <w:b/>
          <w:bCs/>
          <w:sz w:val="32"/>
          <w:szCs w:val="32"/>
          <w:u w:val="single"/>
        </w:rPr>
      </w:pPr>
    </w:p>
    <w:p w14:paraId="401C8EB7" w14:textId="229BE0BE" w:rsidR="0070636A" w:rsidRDefault="0070636A">
      <w:pPr>
        <w:rPr>
          <w:b/>
          <w:bCs/>
          <w:sz w:val="32"/>
          <w:szCs w:val="32"/>
          <w:u w:val="single"/>
        </w:rPr>
      </w:pPr>
    </w:p>
    <w:p w14:paraId="51099FD4" w14:textId="79457ACD" w:rsidR="0070636A" w:rsidRDefault="0070636A">
      <w:pPr>
        <w:rPr>
          <w:b/>
          <w:bCs/>
          <w:sz w:val="32"/>
          <w:szCs w:val="32"/>
          <w:u w:val="single"/>
        </w:rPr>
      </w:pPr>
    </w:p>
    <w:p w14:paraId="79851529" w14:textId="0189CE7E" w:rsidR="0070636A" w:rsidRDefault="0070636A">
      <w:pPr>
        <w:rPr>
          <w:b/>
          <w:bCs/>
          <w:sz w:val="32"/>
          <w:szCs w:val="32"/>
          <w:u w:val="single"/>
        </w:rPr>
      </w:pPr>
    </w:p>
    <w:p w14:paraId="1EC37059" w14:textId="4AB9BF21" w:rsidR="0070636A" w:rsidRDefault="0070636A">
      <w:pPr>
        <w:rPr>
          <w:b/>
          <w:bCs/>
          <w:sz w:val="32"/>
          <w:szCs w:val="32"/>
          <w:u w:val="single"/>
        </w:rPr>
      </w:pPr>
    </w:p>
    <w:p w14:paraId="52E62E31" w14:textId="6386DDD3" w:rsidR="0070636A" w:rsidRDefault="0070636A">
      <w:pPr>
        <w:rPr>
          <w:b/>
          <w:bCs/>
          <w:sz w:val="32"/>
          <w:szCs w:val="32"/>
          <w:u w:val="single"/>
        </w:rPr>
      </w:pPr>
    </w:p>
    <w:p w14:paraId="47F8C131" w14:textId="2D1850F7" w:rsidR="0070636A" w:rsidRDefault="0070636A">
      <w:pPr>
        <w:rPr>
          <w:b/>
          <w:bCs/>
          <w:sz w:val="32"/>
          <w:szCs w:val="32"/>
          <w:u w:val="single"/>
        </w:rPr>
      </w:pPr>
    </w:p>
    <w:p w14:paraId="18E6D73E" w14:textId="6ADC323F" w:rsidR="0070636A" w:rsidRDefault="0070636A">
      <w:pPr>
        <w:rPr>
          <w:b/>
          <w:bCs/>
          <w:sz w:val="32"/>
          <w:szCs w:val="32"/>
          <w:u w:val="single"/>
        </w:rPr>
      </w:pPr>
    </w:p>
    <w:p w14:paraId="1C809B17" w14:textId="0CCA931B" w:rsidR="0070636A" w:rsidRDefault="0070636A">
      <w:pPr>
        <w:rPr>
          <w:b/>
          <w:bCs/>
          <w:sz w:val="32"/>
          <w:szCs w:val="32"/>
          <w:u w:val="single"/>
        </w:rPr>
      </w:pPr>
    </w:p>
    <w:p w14:paraId="3ED84499" w14:textId="77777777" w:rsidR="008B71D1" w:rsidRDefault="008B71D1" w:rsidP="008B71D1">
      <w:pPr>
        <w:rPr>
          <w:b/>
          <w:bCs/>
          <w:sz w:val="32"/>
          <w:szCs w:val="32"/>
          <w:u w:val="single"/>
        </w:rPr>
      </w:pPr>
    </w:p>
    <w:p w14:paraId="45E68ADC" w14:textId="53E9791E" w:rsidR="0070636A" w:rsidRDefault="0070636A" w:rsidP="008B71D1">
      <w:pPr>
        <w:jc w:val="center"/>
        <w:rPr>
          <w:b/>
          <w:bCs/>
          <w:sz w:val="32"/>
          <w:szCs w:val="32"/>
          <w:u w:val="single"/>
        </w:rPr>
      </w:pPr>
      <w:r>
        <w:rPr>
          <w:b/>
          <w:bCs/>
          <w:sz w:val="32"/>
          <w:szCs w:val="32"/>
          <w:u w:val="single"/>
        </w:rPr>
        <w:t>Introduction</w:t>
      </w:r>
    </w:p>
    <w:p w14:paraId="59DE5286" w14:textId="4950D8DF" w:rsidR="0070636A" w:rsidRDefault="00EF235B" w:rsidP="00EF235B">
      <w:r>
        <w:t>The task is to develop a prototype Online Welsh Government COVID-19 Pass. User tasks will be experimented with when it comes to testing/accessing the app – said user tasks will include functions the current COVID-19 Pass does, examples of the former include uploading COVID-19 test results</w:t>
      </w:r>
      <w:r w:rsidR="00704940">
        <w:t xml:space="preserve"> or displaying the QR code to show proof of vaccination</w:t>
      </w:r>
      <w:r w:rsidR="007C4982">
        <w:t xml:space="preserve"> </w:t>
      </w:r>
      <w:r w:rsidR="000721AE">
        <w:t>[1]</w:t>
      </w:r>
      <w:r w:rsidR="00704940">
        <w:t xml:space="preserve">. </w:t>
      </w:r>
    </w:p>
    <w:p w14:paraId="4F41643C" w14:textId="69F5E434" w:rsidR="00704940" w:rsidRDefault="00704940" w:rsidP="00EF235B">
      <w:r>
        <w:t>The chosen application here was a web application because of past experiences creating web applications and using HTML, as well as more experience using web applications</w:t>
      </w:r>
      <w:r w:rsidR="002631E9">
        <w:t>. Web applications are compatible with mobile devices on top of regular computer devices such as web browsers on desktops and laptops, this allows for more functionality and a larger user base. The application uses HTML as its language.</w:t>
      </w:r>
    </w:p>
    <w:p w14:paraId="4555CDB3" w14:textId="0499DE75" w:rsidR="000721AE" w:rsidRDefault="000721AE" w:rsidP="00EF235B">
      <w:r>
        <w:t xml:space="preserve">A paper prototype will be produced first, </w:t>
      </w:r>
      <w:r w:rsidR="009D5B86">
        <w:t xml:space="preserve">with a walkthrough drawn out for the transactions of the product. Human factors theories will be considered during design, namely for visual perception – but also for memory, reasoning, interface metaphors and affordance.  </w:t>
      </w:r>
    </w:p>
    <w:p w14:paraId="02728FD1" w14:textId="1D88C266" w:rsidR="000721AE" w:rsidRDefault="000721AE" w:rsidP="00EF235B">
      <w:r>
        <w:t xml:space="preserve">There are equivalent COVID-19 apps in other regions, </w:t>
      </w:r>
      <w:r w:rsidR="000B33B8">
        <w:t>like</w:t>
      </w:r>
      <w:r>
        <w:t xml:space="preserve"> that of the NHS Wales one, which can serve as further inspiration for the development of this project, including Japan’s COVID app where a public document is accessible detailing its development and evolution</w:t>
      </w:r>
      <w:r w:rsidR="007C4982">
        <w:t xml:space="preserve"> </w:t>
      </w:r>
      <w:r>
        <w:t>[2].</w:t>
      </w:r>
    </w:p>
    <w:p w14:paraId="493AD0A4" w14:textId="4BA40AEC" w:rsidR="009D5B86" w:rsidRPr="0070636A" w:rsidRDefault="009D5B86" w:rsidP="00EF235B">
      <w:r>
        <w:t>The justification for the creation of this COVID-19 App is to remedy its reported failures</w:t>
      </w:r>
      <w:r w:rsidR="007C4982">
        <w:t xml:space="preserve"> </w:t>
      </w:r>
      <w:r>
        <w:t>[3][4], these include its database not being updated – thus not including the newest information regarding the user’s status</w:t>
      </w:r>
      <w:r w:rsidR="00967B77">
        <w:t xml:space="preserve"> </w:t>
      </w:r>
      <w:r w:rsidR="00214E76">
        <w:t>[4][1][5], it’s inconvenient interface</w:t>
      </w:r>
      <w:r w:rsidR="00967B77">
        <w:t xml:space="preserve"> </w:t>
      </w:r>
      <w:r w:rsidR="00214E76">
        <w:t>[6] – culminating in it being generally unpopular</w:t>
      </w:r>
      <w:r w:rsidR="00967B77">
        <w:t xml:space="preserve"> </w:t>
      </w:r>
      <w:r w:rsidR="00214E76">
        <w:t>[6][7] and unused</w:t>
      </w:r>
      <w:r w:rsidR="00967B77">
        <w:t xml:space="preserve"> </w:t>
      </w:r>
      <w:r w:rsidR="00214E76">
        <w:t>[6][8]. Despite these flaws, the app itself is considered an important part of curbing the spread of COVID in England and Wales, and thus it being used by more people is considered a net positive</w:t>
      </w:r>
      <w:r w:rsidR="007C4982">
        <w:t xml:space="preserve"> </w:t>
      </w:r>
      <w:r w:rsidR="00214E76">
        <w:t>[9][1]</w:t>
      </w:r>
      <w:r w:rsidR="00415113">
        <w:t>.</w:t>
      </w:r>
    </w:p>
    <w:p w14:paraId="160D9F00" w14:textId="0181B6E6" w:rsidR="0070636A" w:rsidRDefault="0070636A" w:rsidP="0070636A">
      <w:pPr>
        <w:jc w:val="center"/>
        <w:rPr>
          <w:b/>
          <w:bCs/>
          <w:sz w:val="32"/>
          <w:szCs w:val="32"/>
          <w:u w:val="single"/>
        </w:rPr>
      </w:pPr>
      <w:r>
        <w:rPr>
          <w:b/>
          <w:bCs/>
          <w:sz w:val="32"/>
          <w:szCs w:val="32"/>
          <w:u w:val="single"/>
        </w:rPr>
        <w:t>Target User Group</w:t>
      </w:r>
    </w:p>
    <w:p w14:paraId="54B75BF8" w14:textId="0F6981A1" w:rsidR="00C270E6" w:rsidRDefault="005424FD" w:rsidP="006552E7">
      <w:r>
        <w:t xml:space="preserve">The target user group </w:t>
      </w:r>
      <w:r w:rsidR="00685815">
        <w:t xml:space="preserve">that has been selected is generally between the ages of 18-25. A young target group has been selected because they are the audience most likely to be using the COVID app at a </w:t>
      </w:r>
      <w:r w:rsidR="009800EE">
        <w:t>frequent</w:t>
      </w:r>
      <w:r w:rsidR="00685815">
        <w:t xml:space="preserve"> basis, as they are </w:t>
      </w:r>
      <w:r w:rsidR="009800EE">
        <w:t xml:space="preserve">more likely to be going to places which require the COVID app </w:t>
      </w:r>
      <w:r w:rsidR="007C4982">
        <w:t>[</w:t>
      </w:r>
      <w:r w:rsidR="007801F5">
        <w:t>12]</w:t>
      </w:r>
      <w:r w:rsidR="00A07944">
        <w:t>[13]</w:t>
      </w:r>
      <w:r w:rsidR="00967B77">
        <w:t>[</w:t>
      </w:r>
      <w:r w:rsidR="00D30A55">
        <w:t>10][11]</w:t>
      </w:r>
      <w:r w:rsidR="00424E42">
        <w:t xml:space="preserve">. </w:t>
      </w:r>
      <w:r w:rsidR="00781514">
        <w:t>A younger demographic will make primary research easier to conduct</w:t>
      </w:r>
      <w:r w:rsidR="00692CAC">
        <w:t xml:space="preserve">, as areas where they may associate in large groups such as universities and urban city centres are </w:t>
      </w:r>
      <w:r w:rsidR="00DD2E03">
        <w:t>generally</w:t>
      </w:r>
      <w:r w:rsidR="00692CAC">
        <w:t xml:space="preserve"> </w:t>
      </w:r>
      <w:r w:rsidR="00857104">
        <w:t>within proximity</w:t>
      </w:r>
      <w:r w:rsidR="00155DD6">
        <w:t xml:space="preserve">, they also have more </w:t>
      </w:r>
      <w:r w:rsidR="007F49E5">
        <w:t>spare time</w:t>
      </w:r>
      <w:r w:rsidR="00155DD6">
        <w:t xml:space="preserve"> </w:t>
      </w:r>
      <w:r w:rsidR="00DD2E03">
        <w:t xml:space="preserve">usually </w:t>
      </w:r>
      <w:r w:rsidR="007F49E5">
        <w:t>[14]</w:t>
      </w:r>
      <w:r w:rsidR="00466E2F">
        <w:t>[15]</w:t>
      </w:r>
      <w:r w:rsidR="00155DD6">
        <w:t>, and thus are more likely to have the time to participate in research</w:t>
      </w:r>
      <w:r w:rsidR="003153A3">
        <w:t>.</w:t>
      </w:r>
      <w:r w:rsidR="00577EA0">
        <w:t xml:space="preserve"> As implied previously, urban areas will be of interest</w:t>
      </w:r>
      <w:r w:rsidR="00145F4F">
        <w:t xml:space="preserve"> for obtaining a sample, as they contain the most services requiring use of the COVID app, as well as a high density of people</w:t>
      </w:r>
      <w:r w:rsidR="007C4982">
        <w:t xml:space="preserve"> </w:t>
      </w:r>
      <w:r w:rsidR="00120EC0">
        <w:t>[16]</w:t>
      </w:r>
      <w:r w:rsidR="00C270E6">
        <w:t xml:space="preserve">[17]. Since the COVID app will use modern technology, </w:t>
      </w:r>
      <w:r w:rsidR="003A1972">
        <w:t>tech sav</w:t>
      </w:r>
      <w:r w:rsidR="00874565">
        <w:t>v</w:t>
      </w:r>
      <w:r w:rsidR="003A1972">
        <w:t xml:space="preserve">y individuals are desired, </w:t>
      </w:r>
      <w:r w:rsidR="00874565">
        <w:t>further highlight</w:t>
      </w:r>
      <w:r w:rsidR="00B52258">
        <w:t>ing</w:t>
      </w:r>
      <w:r w:rsidR="00874565">
        <w:t xml:space="preserve"> the usefulness in a younger sample</w:t>
      </w:r>
      <w:r w:rsidR="007C4982">
        <w:t xml:space="preserve"> </w:t>
      </w:r>
      <w:r w:rsidR="001A47A7">
        <w:t>[18]</w:t>
      </w:r>
      <w:r w:rsidR="00E703AE">
        <w:t>[19]</w:t>
      </w:r>
      <w:r w:rsidR="00874565">
        <w:t>.</w:t>
      </w:r>
    </w:p>
    <w:p w14:paraId="5AD7D139" w14:textId="0CFB73FB" w:rsidR="00B402AE" w:rsidRPr="00B402AE" w:rsidRDefault="00B402AE" w:rsidP="006552E7">
      <w:pPr>
        <w:rPr>
          <w:b/>
          <w:bCs/>
          <w:sz w:val="24"/>
          <w:szCs w:val="24"/>
          <w:u w:val="single"/>
        </w:rPr>
      </w:pPr>
      <w:r>
        <w:rPr>
          <w:b/>
          <w:bCs/>
          <w:sz w:val="24"/>
          <w:szCs w:val="24"/>
          <w:u w:val="single"/>
        </w:rPr>
        <w:t>Requirements</w:t>
      </w:r>
    </w:p>
    <w:p w14:paraId="33DBF8FE" w14:textId="539509AA" w:rsidR="00235DB9" w:rsidRDefault="0061344D" w:rsidP="006552E7">
      <w:r>
        <w:t>Younger people generally have lower attention spans</w:t>
      </w:r>
      <w:r w:rsidR="007C4982">
        <w:t xml:space="preserve"> </w:t>
      </w:r>
      <w:r>
        <w:t xml:space="preserve">[20], thus </w:t>
      </w:r>
      <w:r w:rsidR="0095555F">
        <w:t>the</w:t>
      </w:r>
      <w:r>
        <w:t xml:space="preserve"> app </w:t>
      </w:r>
      <w:r w:rsidR="0095555F">
        <w:t xml:space="preserve">should be able to </w:t>
      </w:r>
      <w:r>
        <w:t xml:space="preserve">grip their attention </w:t>
      </w:r>
      <w:r w:rsidR="00B402AE">
        <w:t xml:space="preserve">– this can be done by having its necessary features be easily </w:t>
      </w:r>
      <w:r w:rsidR="00931692">
        <w:t>noticeable, identifiable within a split second</w:t>
      </w:r>
      <w:r w:rsidR="00D07BBC">
        <w:t xml:space="preserve"> with </w:t>
      </w:r>
      <w:r w:rsidR="0095555F">
        <w:t>its features</w:t>
      </w:r>
      <w:r w:rsidR="00D07BBC">
        <w:t xml:space="preserve"> being easily identifiable</w:t>
      </w:r>
      <w:r w:rsidR="00967B77">
        <w:t xml:space="preserve"> </w:t>
      </w:r>
      <w:r w:rsidR="00816BFD">
        <w:t>[21]</w:t>
      </w:r>
      <w:r w:rsidR="00D07BBC">
        <w:t>.</w:t>
      </w:r>
    </w:p>
    <w:p w14:paraId="24203F9F" w14:textId="2317625A" w:rsidR="00F16FDE" w:rsidRDefault="00DC5681" w:rsidP="006552E7">
      <w:r>
        <w:t>Task analysis</w:t>
      </w:r>
      <w:r w:rsidR="007C4982">
        <w:t xml:space="preserve"> </w:t>
      </w:r>
      <w:r>
        <w:t>[22]</w:t>
      </w:r>
      <w:r w:rsidR="00C040EA">
        <w:t xml:space="preserve"> methods will be utilised. Between cognitive</w:t>
      </w:r>
      <w:r w:rsidR="007C4982">
        <w:t xml:space="preserve"> </w:t>
      </w:r>
      <w:r w:rsidR="00B578CE">
        <w:t>[23]</w:t>
      </w:r>
      <w:r w:rsidR="00C040EA">
        <w:t xml:space="preserve"> and hierarchal task analysis</w:t>
      </w:r>
      <w:r w:rsidR="00967B77">
        <w:t xml:space="preserve"> </w:t>
      </w:r>
      <w:r w:rsidR="00B578CE">
        <w:t>[24]</w:t>
      </w:r>
      <w:r w:rsidR="00C040EA">
        <w:t xml:space="preserve">, </w:t>
      </w:r>
      <w:r w:rsidR="00727330">
        <w:t>cognitive was chosen, it is more relevant for Interface and application design and development with its focus on problem solving, attention and memory</w:t>
      </w:r>
      <w:r w:rsidR="00967B77">
        <w:t xml:space="preserve"> </w:t>
      </w:r>
      <w:r w:rsidR="00B578CE">
        <w:t>[23]</w:t>
      </w:r>
      <w:r w:rsidR="005E4B3A">
        <w:t xml:space="preserve">. </w:t>
      </w:r>
    </w:p>
    <w:p w14:paraId="67E78441" w14:textId="1D1B7645" w:rsidR="00011E63" w:rsidRDefault="005E4B3A" w:rsidP="006552E7">
      <w:r>
        <w:t xml:space="preserve">The tasks identified </w:t>
      </w:r>
      <w:r w:rsidR="00D41ED6">
        <w:t xml:space="preserve">as being necessary to the application </w:t>
      </w:r>
      <w:r w:rsidR="007C4982">
        <w:t>are</w:t>
      </w:r>
      <w:r w:rsidR="00555337">
        <w:t xml:space="preserve"> presenting user’s COVID status (QR code showing proof of vaccination and jab)</w:t>
      </w:r>
      <w:r w:rsidR="00967355">
        <w:t>, being able to display recent COVID test results</w:t>
      </w:r>
      <w:r w:rsidR="00011E63">
        <w:t xml:space="preserve"> and</w:t>
      </w:r>
      <w:r w:rsidR="00967355">
        <w:t xml:space="preserve"> showing areas of concern </w:t>
      </w:r>
      <w:r w:rsidR="00967B77">
        <w:t>regarding</w:t>
      </w:r>
      <w:r w:rsidR="00967355">
        <w:t xml:space="preserve"> COVID rates</w:t>
      </w:r>
      <w:r w:rsidR="00011E63">
        <w:t>.</w:t>
      </w:r>
      <w:r w:rsidR="00F16FDE">
        <w:t xml:space="preserve"> </w:t>
      </w:r>
      <w:r w:rsidR="005A7ACD">
        <w:t>P</w:t>
      </w:r>
      <w:r w:rsidR="00F5600F">
        <w:t>rototyping w</w:t>
      </w:r>
      <w:r w:rsidR="00482B22">
        <w:t>as</w:t>
      </w:r>
      <w:r w:rsidR="00F5600F">
        <w:t xml:space="preserve"> done, </w:t>
      </w:r>
      <w:r w:rsidR="005A7ACD">
        <w:t>allowing</w:t>
      </w:r>
      <w:r w:rsidR="00233790">
        <w:t xml:space="preserve"> the user</w:t>
      </w:r>
      <w:r w:rsidR="001E09FC">
        <w:t xml:space="preserve"> </w:t>
      </w:r>
      <w:r w:rsidR="005A7ACD">
        <w:t>to</w:t>
      </w:r>
      <w:r w:rsidR="001E09FC">
        <w:t xml:space="preserve"> see what the product will be like and how it will function before its completion and give feedback.</w:t>
      </w:r>
    </w:p>
    <w:p w14:paraId="108CD416" w14:textId="1FACF14E" w:rsidR="00F16FDE" w:rsidRDefault="00F16FDE" w:rsidP="006552E7">
      <w:r>
        <w:t xml:space="preserve">Questionnaires were </w:t>
      </w:r>
      <w:r w:rsidR="00D407A8">
        <w:t>used for gathering evidence of user feedback</w:t>
      </w:r>
      <w:r w:rsidR="00293573">
        <w:t>, because they are easy to distribute</w:t>
      </w:r>
      <w:r w:rsidR="00D97280">
        <w:t>,</w:t>
      </w:r>
      <w:r w:rsidR="00293573">
        <w:t xml:space="preserve"> </w:t>
      </w:r>
      <w:r w:rsidR="00C73818">
        <w:t>have a low resource cost, high reliability, and allow for open and closed questions to be presented to participants</w:t>
      </w:r>
      <w:r w:rsidR="007C4982">
        <w:t xml:space="preserve"> </w:t>
      </w:r>
      <w:r w:rsidR="0080733B">
        <w:t>[25]</w:t>
      </w:r>
      <w:r w:rsidR="00C73818">
        <w:t>.</w:t>
      </w:r>
    </w:p>
    <w:p w14:paraId="14EFD40E" w14:textId="25276308" w:rsidR="00A7754A" w:rsidRDefault="00A2702F" w:rsidP="006552E7">
      <w:r>
        <w:rPr>
          <w:noProof/>
        </w:rPr>
        <w:drawing>
          <wp:inline distT="0" distB="0" distL="0" distR="0" wp14:anchorId="2062BD28" wp14:editId="774BE0C5">
            <wp:extent cx="5731510" cy="2411730"/>
            <wp:effectExtent l="19050" t="19050" r="21590" b="2667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tx1"/>
                      </a:solidFill>
                    </a:ln>
                  </pic:spPr>
                </pic:pic>
              </a:graphicData>
            </a:graphic>
          </wp:inline>
        </w:drawing>
      </w:r>
      <w:r>
        <w:rPr>
          <w:noProof/>
        </w:rPr>
        <w:drawing>
          <wp:inline distT="0" distB="0" distL="0" distR="0" wp14:anchorId="2F685B14" wp14:editId="60E3B5D5">
            <wp:extent cx="5731510" cy="2724785"/>
            <wp:effectExtent l="19050" t="19050" r="21590" b="18415"/>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solidFill>
                        <a:schemeClr val="tx1"/>
                      </a:solidFill>
                    </a:ln>
                  </pic:spPr>
                </pic:pic>
              </a:graphicData>
            </a:graphic>
          </wp:inline>
        </w:drawing>
      </w:r>
      <w:r w:rsidR="006731D7">
        <w:rPr>
          <w:noProof/>
        </w:rPr>
        <w:drawing>
          <wp:inline distT="0" distB="0" distL="0" distR="0" wp14:anchorId="13C948FD" wp14:editId="1DABC8A7">
            <wp:extent cx="5731510" cy="3332480"/>
            <wp:effectExtent l="19050" t="19050" r="21590" b="20320"/>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pic:nvPicPr>
                  <pic:blipFill>
                    <a:blip r:embed="rId15"/>
                    <a:stretch>
                      <a:fillRect/>
                    </a:stretch>
                  </pic:blipFill>
                  <pic:spPr>
                    <a:xfrm>
                      <a:off x="0" y="0"/>
                      <a:ext cx="5731510" cy="3332480"/>
                    </a:xfrm>
                    <a:prstGeom prst="rect">
                      <a:avLst/>
                    </a:prstGeom>
                    <a:ln>
                      <a:solidFill>
                        <a:schemeClr val="tx1"/>
                      </a:solidFill>
                    </a:ln>
                  </pic:spPr>
                </pic:pic>
              </a:graphicData>
            </a:graphic>
          </wp:inline>
        </w:drawing>
      </w:r>
      <w:r w:rsidR="006731D7">
        <w:rPr>
          <w:noProof/>
        </w:rPr>
        <w:drawing>
          <wp:inline distT="0" distB="0" distL="0" distR="0" wp14:anchorId="3A47CCB1" wp14:editId="11F2A818">
            <wp:extent cx="5731510" cy="2411730"/>
            <wp:effectExtent l="19050" t="19050" r="21590" b="2667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solidFill>
                        <a:schemeClr val="tx1"/>
                      </a:solidFill>
                    </a:ln>
                  </pic:spPr>
                </pic:pic>
              </a:graphicData>
            </a:graphic>
          </wp:inline>
        </w:drawing>
      </w:r>
    </w:p>
    <w:p w14:paraId="730EFA3A" w14:textId="41FBDFC5" w:rsidR="006731D7" w:rsidRPr="006552E7" w:rsidRDefault="006731D7" w:rsidP="006552E7">
      <w:r>
        <w:t>Primary research confirmed findings of the secondary research</w:t>
      </w:r>
      <w:r w:rsidR="00165928">
        <w:t>, complaints regarding the app include its interface, but also a general feeling of it being useless (which was not found in secondary data). Young people were mostly polled</w:t>
      </w:r>
      <w:r w:rsidR="00EF1D96">
        <w:t>, which may impact results, as younger people generally are more negative and dismissive of COVID-19 regulations</w:t>
      </w:r>
      <w:r w:rsidR="005455B7">
        <w:t xml:space="preserve"> [37].</w:t>
      </w:r>
    </w:p>
    <w:p w14:paraId="55694423" w14:textId="3DAB0CB1" w:rsidR="0070636A" w:rsidRDefault="0070636A" w:rsidP="0070636A">
      <w:pPr>
        <w:jc w:val="center"/>
        <w:rPr>
          <w:b/>
          <w:bCs/>
          <w:sz w:val="32"/>
          <w:szCs w:val="32"/>
          <w:u w:val="single"/>
        </w:rPr>
      </w:pPr>
      <w:r>
        <w:rPr>
          <w:b/>
          <w:bCs/>
          <w:sz w:val="32"/>
          <w:szCs w:val="32"/>
          <w:u w:val="single"/>
        </w:rPr>
        <w:t>Paper Prototype</w:t>
      </w:r>
    </w:p>
    <w:p w14:paraId="780DFACB" w14:textId="6AF8E56D" w:rsidR="0099501C" w:rsidRDefault="00501390" w:rsidP="00EA7332">
      <w:pPr>
        <w:rPr>
          <w:b/>
          <w:bCs/>
          <w:sz w:val="28"/>
          <w:szCs w:val="28"/>
          <w:u w:val="single"/>
        </w:rPr>
      </w:pPr>
      <w:r>
        <w:rPr>
          <w:b/>
          <w:bCs/>
          <w:sz w:val="28"/>
          <w:szCs w:val="28"/>
          <w:u w:val="single"/>
        </w:rPr>
        <w:t>Walkthrough</w:t>
      </w:r>
    </w:p>
    <w:p w14:paraId="637BCABE" w14:textId="32269E74" w:rsidR="0099501C" w:rsidRDefault="00501390" w:rsidP="00EA7332">
      <w:pPr>
        <w:rPr>
          <w:b/>
          <w:bCs/>
          <w:sz w:val="28"/>
          <w:szCs w:val="28"/>
          <w:u w:val="single"/>
        </w:rPr>
      </w:pPr>
      <w:r>
        <w:rPr>
          <w:noProof/>
        </w:rPr>
        <w:drawing>
          <wp:inline distT="0" distB="0" distL="0" distR="0" wp14:anchorId="45D472AB" wp14:editId="232DE13D">
            <wp:extent cx="5731510" cy="2620010"/>
            <wp:effectExtent l="19050" t="19050" r="21590" b="27940"/>
            <wp:docPr id="22" name="Picture 2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 timeline&#10;&#10;Description automatically generated"/>
                    <pic:cNvPicPr/>
                  </pic:nvPicPr>
                  <pic:blipFill>
                    <a:blip r:embed="rId17"/>
                    <a:stretch>
                      <a:fillRect/>
                    </a:stretch>
                  </pic:blipFill>
                  <pic:spPr>
                    <a:xfrm>
                      <a:off x="0" y="0"/>
                      <a:ext cx="5731510" cy="2620010"/>
                    </a:xfrm>
                    <a:prstGeom prst="rect">
                      <a:avLst/>
                    </a:prstGeom>
                    <a:ln>
                      <a:solidFill>
                        <a:schemeClr val="tx1"/>
                      </a:solidFill>
                    </a:ln>
                  </pic:spPr>
                </pic:pic>
              </a:graphicData>
            </a:graphic>
          </wp:inline>
        </w:drawing>
      </w:r>
    </w:p>
    <w:p w14:paraId="0E999D73" w14:textId="52C91BC1" w:rsidR="00501390" w:rsidRPr="00501390" w:rsidRDefault="00501390" w:rsidP="00EA7332">
      <w:r>
        <w:t>The user is greeted with a welcome screen asking them to select a language (options being English and Welsh) – the option will then dictate how text will appear on the following pages. The next page is the home page, acting as the hub for the rest of the application</w:t>
      </w:r>
      <w:r w:rsidR="00F50292">
        <w:t xml:space="preserve"> – options of the home screen exist to be redirected to the QR Code page as well as the page for test results, </w:t>
      </w:r>
      <w:r w:rsidR="00C233D1">
        <w:t>furthermore,</w:t>
      </w:r>
      <w:r w:rsidR="00F50292">
        <w:t xml:space="preserve"> exists the option to</w:t>
      </w:r>
      <w:r w:rsidR="00167054">
        <w:t xml:space="preserve"> view what symptoms of COVID-19 are, which will redirect the user to the NHS web page on COVID-19 symptoms</w:t>
      </w:r>
      <w:r w:rsidR="004B0F81">
        <w:t>; on the home page exists a map displaying areas of concern</w:t>
      </w:r>
      <w:r w:rsidR="00692028">
        <w:t xml:space="preserve"> for COVID-19, showing data on cases per capita – this map can be explored by users in a similar fashion to a Google maps hyperlink.</w:t>
      </w:r>
      <w:r w:rsidR="002B317E">
        <w:t xml:space="preserve"> The QR codes pages offers options to display the QR code for any of the jabs the user has obtained, to be scanned. The test results page allows users to upload </w:t>
      </w:r>
      <w:r w:rsidR="00A8256D">
        <w:t xml:space="preserve">their test results, buttons also exist to redirect the user to </w:t>
      </w:r>
      <w:r w:rsidR="0017211C">
        <w:t xml:space="preserve">the external symptoms page, and to view the QR codes on the QR codes screen. </w:t>
      </w:r>
      <w:r w:rsidR="007046AD">
        <w:t>An NHS logo in the header can be clicked on, which will redirect the user to the home page</w:t>
      </w:r>
      <w:r w:rsidR="0087207C">
        <w:t xml:space="preserve"> – assuming a language has been selected on the welcome page first.</w:t>
      </w:r>
    </w:p>
    <w:p w14:paraId="69668223" w14:textId="76D582F5" w:rsidR="00C27AF5" w:rsidRPr="00C27AF5" w:rsidRDefault="00F71A40" w:rsidP="00EA7332">
      <w:pPr>
        <w:rPr>
          <w:b/>
          <w:bCs/>
          <w:sz w:val="28"/>
          <w:szCs w:val="28"/>
          <w:u w:val="single"/>
        </w:rPr>
      </w:pPr>
      <w:r>
        <w:rPr>
          <w:b/>
          <w:bCs/>
          <w:sz w:val="28"/>
          <w:szCs w:val="28"/>
          <w:u w:val="single"/>
        </w:rPr>
        <w:t>Welcome</w:t>
      </w:r>
      <w:r w:rsidR="00C27AF5">
        <w:rPr>
          <w:b/>
          <w:bCs/>
          <w:sz w:val="28"/>
          <w:szCs w:val="28"/>
          <w:u w:val="single"/>
        </w:rPr>
        <w:t xml:space="preserve"> Page</w:t>
      </w:r>
    </w:p>
    <w:p w14:paraId="588CD868" w14:textId="3C5B63C1" w:rsidR="00C27AF5" w:rsidRPr="00737C82" w:rsidRDefault="00E116FD" w:rsidP="00EA7332">
      <w:r>
        <w:rPr>
          <w:noProof/>
        </w:rPr>
        <w:drawing>
          <wp:inline distT="0" distB="0" distL="0" distR="0" wp14:anchorId="0D1FA47C" wp14:editId="5C734432">
            <wp:extent cx="2767054" cy="2075444"/>
            <wp:effectExtent l="0" t="0" r="0" b="127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87047" cy="2090440"/>
                    </a:xfrm>
                    <a:prstGeom prst="rect">
                      <a:avLst/>
                    </a:prstGeom>
                    <a:noFill/>
                    <a:ln>
                      <a:noFill/>
                    </a:ln>
                  </pic:spPr>
                </pic:pic>
              </a:graphicData>
            </a:graphic>
          </wp:inline>
        </w:drawing>
      </w:r>
      <w:r w:rsidR="00737C82">
        <w:rPr>
          <w:sz w:val="32"/>
          <w:szCs w:val="32"/>
        </w:rPr>
        <w:t xml:space="preserve"> </w:t>
      </w:r>
      <w:r w:rsidR="00737C82">
        <w:t>To represent the languages are the flags most associated with said tongues</w:t>
      </w:r>
      <w:r w:rsidR="005C7697">
        <w:t xml:space="preserve"> [36]</w:t>
      </w:r>
      <w:r w:rsidR="00395A8B">
        <w:t xml:space="preserve"> (this is why the union jack was chosen instead of an English flag, on top of the union jack representing Wales</w:t>
      </w:r>
      <w:r w:rsidR="00D36F30">
        <w:t xml:space="preserve"> also, and this app’s target audience being those living in Wales)</w:t>
      </w:r>
      <w:r w:rsidR="00737C82">
        <w:t>, with the Welsh flag above the Welsh option and the union jack above the English one.</w:t>
      </w:r>
      <w:r w:rsidR="005C7697">
        <w:t xml:space="preserve"> </w:t>
      </w:r>
    </w:p>
    <w:p w14:paraId="06A7739E" w14:textId="77777777" w:rsidR="00DB1DDE" w:rsidRPr="00DB1DDE" w:rsidRDefault="00DB1DDE" w:rsidP="00EA7332"/>
    <w:p w14:paraId="58BE1C63" w14:textId="3F5EC225" w:rsidR="00C27AF5" w:rsidRPr="00C27AF5" w:rsidRDefault="00F71A40" w:rsidP="00EA7332">
      <w:pPr>
        <w:rPr>
          <w:b/>
          <w:bCs/>
          <w:sz w:val="28"/>
          <w:szCs w:val="28"/>
          <w:u w:val="single"/>
        </w:rPr>
      </w:pPr>
      <w:r>
        <w:rPr>
          <w:b/>
          <w:bCs/>
          <w:sz w:val="28"/>
          <w:szCs w:val="28"/>
          <w:u w:val="single"/>
        </w:rPr>
        <w:t>Home Page</w:t>
      </w:r>
    </w:p>
    <w:p w14:paraId="20A99BBA" w14:textId="25C7F1C8" w:rsidR="00F71A40" w:rsidRDefault="00C27AF5" w:rsidP="00EA7332">
      <w:pPr>
        <w:rPr>
          <w:sz w:val="32"/>
          <w:szCs w:val="32"/>
        </w:rPr>
      </w:pPr>
      <w:r>
        <w:rPr>
          <w:noProof/>
        </w:rPr>
        <w:drawing>
          <wp:inline distT="0" distB="0" distL="0" distR="0" wp14:anchorId="5C5EFCC2" wp14:editId="43139217">
            <wp:extent cx="2035670" cy="2713850"/>
            <wp:effectExtent l="3810" t="0" r="6985" b="6985"/>
            <wp:docPr id="17" name="Picture 1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diagram&#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2042037" cy="2722338"/>
                    </a:xfrm>
                    <a:prstGeom prst="rect">
                      <a:avLst/>
                    </a:prstGeom>
                    <a:noFill/>
                    <a:ln>
                      <a:noFill/>
                    </a:ln>
                  </pic:spPr>
                </pic:pic>
              </a:graphicData>
            </a:graphic>
          </wp:inline>
        </w:drawing>
      </w:r>
    </w:p>
    <w:p w14:paraId="02935CE0" w14:textId="24F48AC7" w:rsidR="00F71A40" w:rsidRPr="00F71A40" w:rsidRDefault="00F71A40" w:rsidP="00EA7332">
      <w:pPr>
        <w:rPr>
          <w:b/>
          <w:bCs/>
          <w:sz w:val="28"/>
          <w:szCs w:val="28"/>
          <w:u w:val="single"/>
        </w:rPr>
      </w:pPr>
      <w:r>
        <w:rPr>
          <w:b/>
          <w:bCs/>
          <w:sz w:val="28"/>
          <w:szCs w:val="28"/>
          <w:u w:val="single"/>
        </w:rPr>
        <w:t>Jab Page</w:t>
      </w:r>
    </w:p>
    <w:p w14:paraId="4F4DEA71" w14:textId="7B27D36E" w:rsidR="00F71A40" w:rsidRDefault="00EA7332" w:rsidP="00EA7332">
      <w:pPr>
        <w:rPr>
          <w:sz w:val="32"/>
          <w:szCs w:val="32"/>
        </w:rPr>
      </w:pPr>
      <w:r>
        <w:rPr>
          <w:noProof/>
        </w:rPr>
        <w:drawing>
          <wp:inline distT="0" distB="0" distL="0" distR="0" wp14:anchorId="49AE6C96" wp14:editId="74FAAFC4">
            <wp:extent cx="2051437" cy="2734871"/>
            <wp:effectExtent l="1270" t="0" r="7620" b="7620"/>
            <wp:docPr id="5" name="Picture 5" descr="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et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2053373" cy="2737453"/>
                    </a:xfrm>
                    <a:prstGeom prst="rect">
                      <a:avLst/>
                    </a:prstGeom>
                    <a:noFill/>
                    <a:ln>
                      <a:noFill/>
                    </a:ln>
                  </pic:spPr>
                </pic:pic>
              </a:graphicData>
            </a:graphic>
          </wp:inline>
        </w:drawing>
      </w:r>
    </w:p>
    <w:p w14:paraId="41E70FC2" w14:textId="0D227169" w:rsidR="00F71A40" w:rsidRPr="00F71A40" w:rsidRDefault="00F71A40" w:rsidP="00EA7332">
      <w:pPr>
        <w:rPr>
          <w:b/>
          <w:bCs/>
          <w:sz w:val="28"/>
          <w:szCs w:val="28"/>
          <w:u w:val="single"/>
        </w:rPr>
      </w:pPr>
      <w:r>
        <w:rPr>
          <w:b/>
          <w:bCs/>
          <w:sz w:val="28"/>
          <w:szCs w:val="28"/>
          <w:u w:val="single"/>
        </w:rPr>
        <w:t>COVID Test Page</w:t>
      </w:r>
    </w:p>
    <w:p w14:paraId="6612BB6D" w14:textId="7D6571D4" w:rsidR="006B4894" w:rsidRDefault="00C27AF5" w:rsidP="00EA7332">
      <w:pPr>
        <w:rPr>
          <w:sz w:val="32"/>
          <w:szCs w:val="32"/>
        </w:rPr>
      </w:pPr>
      <w:r>
        <w:rPr>
          <w:noProof/>
        </w:rPr>
        <w:drawing>
          <wp:inline distT="0" distB="0" distL="0" distR="0" wp14:anchorId="6F766DE9" wp14:editId="2D6385CC">
            <wp:extent cx="2066572" cy="2755048"/>
            <wp:effectExtent l="0" t="1270" r="8890" b="889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069274" cy="2758650"/>
                    </a:xfrm>
                    <a:prstGeom prst="rect">
                      <a:avLst/>
                    </a:prstGeom>
                    <a:noFill/>
                    <a:ln>
                      <a:noFill/>
                    </a:ln>
                  </pic:spPr>
                </pic:pic>
              </a:graphicData>
            </a:graphic>
          </wp:inline>
        </w:drawing>
      </w:r>
    </w:p>
    <w:p w14:paraId="37CCC40F" w14:textId="06B4DF0B" w:rsidR="00F71A40" w:rsidRPr="00F71A40" w:rsidRDefault="009B1BE1" w:rsidP="00EA7332">
      <w:pPr>
        <w:rPr>
          <w:b/>
          <w:bCs/>
          <w:sz w:val="28"/>
          <w:szCs w:val="28"/>
          <w:u w:val="single"/>
        </w:rPr>
      </w:pPr>
      <w:r>
        <w:rPr>
          <w:b/>
          <w:bCs/>
          <w:sz w:val="28"/>
          <w:szCs w:val="28"/>
          <w:u w:val="single"/>
        </w:rPr>
        <w:t>Overview</w:t>
      </w:r>
    </w:p>
    <w:p w14:paraId="3DA33692" w14:textId="280E0A3A" w:rsidR="006B4894" w:rsidRDefault="00DF4E44" w:rsidP="0019426A">
      <w:pPr>
        <w:rPr>
          <w:b/>
          <w:bCs/>
          <w:sz w:val="32"/>
          <w:szCs w:val="32"/>
          <w:u w:val="single"/>
        </w:rPr>
      </w:pPr>
      <w:r>
        <w:rPr>
          <w:noProof/>
        </w:rPr>
        <w:drawing>
          <wp:inline distT="0" distB="0" distL="0" distR="0" wp14:anchorId="5CECEDF6" wp14:editId="51A2DF96">
            <wp:extent cx="2170706" cy="2893874"/>
            <wp:effectExtent l="0" t="0" r="1270"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189703" cy="2919200"/>
                    </a:xfrm>
                    <a:prstGeom prst="rect">
                      <a:avLst/>
                    </a:prstGeom>
                    <a:noFill/>
                    <a:ln>
                      <a:noFill/>
                    </a:ln>
                  </pic:spPr>
                </pic:pic>
              </a:graphicData>
            </a:graphic>
          </wp:inline>
        </w:drawing>
      </w:r>
      <w:r w:rsidR="0019426A">
        <w:rPr>
          <w:b/>
          <w:bCs/>
          <w:sz w:val="32"/>
          <w:szCs w:val="32"/>
          <w:u w:val="single"/>
        </w:rPr>
        <w:t xml:space="preserve"> </w:t>
      </w:r>
    </w:p>
    <w:p w14:paraId="7C1BA3DE" w14:textId="66210153" w:rsidR="009216BD" w:rsidRDefault="00847270" w:rsidP="0019426A">
      <w:r>
        <w:t xml:space="preserve">Here are paper prototypes for the application, with many interfaces shown, the quality of the handwriting is low – so the annotations will be </w:t>
      </w:r>
      <w:r w:rsidR="009B3DED">
        <w:t>noted again here</w:t>
      </w:r>
      <w:r w:rsidR="00482B22">
        <w:t>.</w:t>
      </w:r>
      <w:r w:rsidR="009B3DED">
        <w:t xml:space="preserve"> The header shown</w:t>
      </w:r>
      <w:r w:rsidR="00AA0779">
        <w:t xml:space="preserve"> above</w:t>
      </w:r>
      <w:r w:rsidR="009B3DED">
        <w:t xml:space="preserve"> contains the ‘NHS’ logo, when clicking on it the user will be redirected back to the front page, the header will appear on every page. </w:t>
      </w:r>
    </w:p>
    <w:p w14:paraId="39211503" w14:textId="389C789D" w:rsidR="00DC492B" w:rsidRDefault="00DC492B" w:rsidP="0019426A">
      <w:r>
        <w:t xml:space="preserve">The home page contains the header, footer, a redirect button to the QR code page, a redirect button to be taken to the page on the symptoms, a redirect button to be taken to the area where test results can be uploaded and lastly </w:t>
      </w:r>
      <w:r w:rsidR="00B57150">
        <w:t xml:space="preserve">a map </w:t>
      </w:r>
      <w:r w:rsidR="007E3233">
        <w:t>displaying</w:t>
      </w:r>
      <w:r w:rsidR="00B57150">
        <w:t xml:space="preserve"> areas of concern. To the right of the home page is what it could look like when using mobile.</w:t>
      </w:r>
    </w:p>
    <w:p w14:paraId="2D06F5D8" w14:textId="5A0396C6" w:rsidR="00534AEA" w:rsidRDefault="00DF4AF9" w:rsidP="0019426A">
      <w:r>
        <w:t xml:space="preserve">The page for accessing QR codes is beneath the home page, showing the QR codes and extra information regarding them beneath. </w:t>
      </w:r>
      <w:r w:rsidR="0015768E">
        <w:t xml:space="preserve">The page for the test results will display the user’s current status, and contains a button for uploading the results, symbolised by an up arrow. The symptoms button will take the user to the NHS webpage listing symptoms. </w:t>
      </w:r>
      <w:r w:rsidR="00AA0779">
        <w:rPr>
          <w:noProof/>
        </w:rPr>
        <w:drawing>
          <wp:inline distT="0" distB="0" distL="0" distR="0" wp14:anchorId="3118F744" wp14:editId="25D2A8FF">
            <wp:extent cx="2844973" cy="379277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46668" cy="3795031"/>
                    </a:xfrm>
                    <a:prstGeom prst="rect">
                      <a:avLst/>
                    </a:prstGeom>
                    <a:noFill/>
                    <a:ln>
                      <a:noFill/>
                    </a:ln>
                  </pic:spPr>
                </pic:pic>
              </a:graphicData>
            </a:graphic>
          </wp:inline>
        </w:drawing>
      </w:r>
      <w:r w:rsidR="00AA0779">
        <w:t xml:space="preserve"> </w:t>
      </w:r>
      <w:r w:rsidR="00AD7191">
        <w:t xml:space="preserve">The tasks this app can complete include scanning QR codes, showing test results and areas of concern. </w:t>
      </w:r>
      <w:r w:rsidR="00F17232">
        <w:t xml:space="preserve">Here showing how to access QR codes – uploading test results is </w:t>
      </w:r>
      <w:r w:rsidR="008B3279">
        <w:t xml:space="preserve">more </w:t>
      </w:r>
      <w:r w:rsidR="00F17232">
        <w:t>self-explanatory</w:t>
      </w:r>
      <w:r w:rsidR="008B3279">
        <w:t xml:space="preserve"> and areas of concern isn’t so much a task as it is looking at the map shown on the home page. </w:t>
      </w:r>
      <w:r w:rsidR="00534AEA">
        <w:t>The resolution is adjustable.</w:t>
      </w:r>
    </w:p>
    <w:p w14:paraId="56BC0019" w14:textId="17AD671B" w:rsidR="00534AEA" w:rsidRDefault="00534AEA" w:rsidP="0019426A">
      <w:r>
        <w:t>The steps that should be taken to access QR codes are as follows:</w:t>
      </w:r>
    </w:p>
    <w:p w14:paraId="725935D2" w14:textId="48F5D17D" w:rsidR="00534AEA" w:rsidRDefault="009B1D76" w:rsidP="00534AEA">
      <w:pPr>
        <w:pStyle w:val="ListParagraph"/>
        <w:numPr>
          <w:ilvl w:val="0"/>
          <w:numId w:val="5"/>
        </w:numPr>
      </w:pPr>
      <w:r>
        <w:t>Move the mouse to select the corresponding option (QR codes) and left click.</w:t>
      </w:r>
    </w:p>
    <w:p w14:paraId="197274B1" w14:textId="2A242B21" w:rsidR="009B1D76" w:rsidRDefault="009B1D76" w:rsidP="00534AEA">
      <w:pPr>
        <w:pStyle w:val="ListParagraph"/>
        <w:numPr>
          <w:ilvl w:val="0"/>
          <w:numId w:val="5"/>
        </w:numPr>
      </w:pPr>
      <w:r>
        <w:t xml:space="preserve">The user will then be taken to the interface displaying their QR codes </w:t>
      </w:r>
      <w:r w:rsidR="00C80C49">
        <w:t>indicating proof of vaccination.</w:t>
      </w:r>
    </w:p>
    <w:p w14:paraId="48975399" w14:textId="7BC1E676" w:rsidR="00C80C49" w:rsidRDefault="00C80C49" w:rsidP="00534AEA">
      <w:pPr>
        <w:pStyle w:val="ListParagraph"/>
        <w:numPr>
          <w:ilvl w:val="0"/>
          <w:numId w:val="5"/>
        </w:numPr>
      </w:pPr>
      <w:r>
        <w:t>The chosen QR code to be scanned is then selected.</w:t>
      </w:r>
    </w:p>
    <w:p w14:paraId="58B3411D" w14:textId="381D75E8" w:rsidR="00C80C49" w:rsidRDefault="00C80C49" w:rsidP="00534AEA">
      <w:pPr>
        <w:pStyle w:val="ListParagraph"/>
        <w:numPr>
          <w:ilvl w:val="0"/>
          <w:numId w:val="5"/>
        </w:numPr>
      </w:pPr>
      <w:r>
        <w:t>The specific QR code selected will then appear larger, able to be scanned.</w:t>
      </w:r>
    </w:p>
    <w:p w14:paraId="518060B4" w14:textId="5BF5299A" w:rsidR="0070636A" w:rsidRDefault="0070636A" w:rsidP="0070636A">
      <w:pPr>
        <w:jc w:val="center"/>
        <w:rPr>
          <w:b/>
          <w:bCs/>
          <w:sz w:val="32"/>
          <w:szCs w:val="32"/>
          <w:u w:val="single"/>
        </w:rPr>
      </w:pPr>
      <w:r>
        <w:rPr>
          <w:b/>
          <w:bCs/>
          <w:sz w:val="32"/>
          <w:szCs w:val="32"/>
          <w:u w:val="single"/>
        </w:rPr>
        <w:t>Human Factors Theory</w:t>
      </w:r>
    </w:p>
    <w:p w14:paraId="2DCD2535" w14:textId="05FF5EA4" w:rsidR="00AD3831" w:rsidRDefault="00413CCD" w:rsidP="00AA7CCF">
      <w:r>
        <w:t>Human factor</w:t>
      </w:r>
      <w:r w:rsidR="000C2D8B">
        <w:t>s</w:t>
      </w:r>
      <w:r w:rsidR="009B2DC3">
        <w:t xml:space="preserve"> theory states that accidents occur because of </w:t>
      </w:r>
      <w:r w:rsidR="00570769">
        <w:t xml:space="preserve">casual chain, one of these causes being “human error”. Human error is </w:t>
      </w:r>
      <w:r w:rsidR="007A6BA7">
        <w:t xml:space="preserve">the result of three </w:t>
      </w:r>
      <w:r w:rsidR="00AD3831">
        <w:t>things</w:t>
      </w:r>
      <w:r w:rsidR="007A6BA7">
        <w:t xml:space="preserve"> – overload, </w:t>
      </w:r>
      <w:r w:rsidR="00AD3831">
        <w:t>incompatibility,</w:t>
      </w:r>
      <w:r w:rsidR="007A6BA7">
        <w:t xml:space="preserve"> and improper activities</w:t>
      </w:r>
      <w:r w:rsidR="007C4982">
        <w:t xml:space="preserve"> </w:t>
      </w:r>
      <w:r w:rsidR="00D67CDA">
        <w:t>[26]</w:t>
      </w:r>
      <w:r w:rsidR="001D14D2">
        <w:t>[27]</w:t>
      </w:r>
      <w:r w:rsidR="009A2298">
        <w:t>.</w:t>
      </w:r>
    </w:p>
    <w:p w14:paraId="6CD85246" w14:textId="5731C707" w:rsidR="004727C7" w:rsidRDefault="00581627" w:rsidP="00AA7CCF">
      <w:r>
        <w:t>Issues with</w:t>
      </w:r>
      <w:r w:rsidR="0072629B">
        <w:t xml:space="preserve"> the user feeling overloaded can be caused by their capacity for information</w:t>
      </w:r>
      <w:r w:rsidR="004727C7">
        <w:t xml:space="preserve"> and </w:t>
      </w:r>
      <w:r w:rsidR="0072629B">
        <w:t xml:space="preserve">load. </w:t>
      </w:r>
      <w:r w:rsidR="00A72A0A">
        <w:t>The processing of physical information, internal matters like stress and situational issues such as danger can impact load.</w:t>
      </w:r>
      <w:r w:rsidR="001D5A54">
        <w:t xml:space="preserve"> Capacity is impacted by the user’s state of mind, applied pressure, fatigue, stressors and their ability to react/respond. </w:t>
      </w:r>
      <w:r w:rsidR="004727C7">
        <w:t xml:space="preserve">Incompatibility occurs due to the display, display types, location and inconsistent control types impacting stimuli and response. Improper activities </w:t>
      </w:r>
      <w:r w:rsidR="00B7124C">
        <w:t>occur when a user does not know how to perform functions, intentionally takes risks, perceives the accident’s probability as low</w:t>
      </w:r>
      <w:r w:rsidR="00D35C7B">
        <w:t>, or the cost of the accident as low</w:t>
      </w:r>
      <w:r w:rsidR="007C4982">
        <w:t xml:space="preserve"> </w:t>
      </w:r>
      <w:r w:rsidR="00D36FE9">
        <w:t>[28][26][27]</w:t>
      </w:r>
      <w:r w:rsidR="00D35C7B">
        <w:t>.</w:t>
      </w:r>
    </w:p>
    <w:p w14:paraId="4097BA70" w14:textId="6A2C922E" w:rsidR="00D36FE9" w:rsidRDefault="009F15AF" w:rsidP="00AA7CCF">
      <w:r>
        <w:t>Human factors theory was applied in the creation of the paper prototype</w:t>
      </w:r>
      <w:r w:rsidR="009A311F">
        <w:t xml:space="preserve"> when creating the interfaces</w:t>
      </w:r>
      <w:r w:rsidR="007C4982">
        <w:t xml:space="preserve"> </w:t>
      </w:r>
      <w:r w:rsidR="0007406E">
        <w:t>[29]</w:t>
      </w:r>
      <w:r w:rsidR="00AC62DC">
        <w:t>, taking into consideration human reasoning</w:t>
      </w:r>
      <w:r w:rsidR="001871D8">
        <w:t>,</w:t>
      </w:r>
      <w:r w:rsidR="00AC62DC">
        <w:t xml:space="preserve"> interface metaphors </w:t>
      </w:r>
      <w:r w:rsidR="001871D8">
        <w:t>and affordance</w:t>
      </w:r>
      <w:r w:rsidR="00AC62DC">
        <w:t>.</w:t>
      </w:r>
      <w:r w:rsidR="00DF138F">
        <w:t xml:space="preserve"> Not every human factor could be accounted for, such as stress </w:t>
      </w:r>
      <w:r w:rsidR="00EF3D15">
        <w:t>caused by external factors</w:t>
      </w:r>
      <w:r w:rsidR="00DF138F">
        <w:t>.</w:t>
      </w:r>
      <w:r w:rsidR="00CF55E1">
        <w:t xml:space="preserve"> There are no possible stressors on the web application, nothing implies urgency to the user.</w:t>
      </w:r>
      <w:r w:rsidR="00780D3D" w:rsidRPr="00780D3D">
        <w:rPr>
          <w:noProof/>
        </w:rPr>
        <w:t xml:space="preserve"> </w:t>
      </w:r>
      <w:r w:rsidR="002B4EF0">
        <w:rPr>
          <w:noProof/>
        </w:rPr>
        <w:drawing>
          <wp:inline distT="0" distB="0" distL="0" distR="0" wp14:anchorId="4AF0D0B8" wp14:editId="2D39CB09">
            <wp:extent cx="2767869" cy="1905248"/>
            <wp:effectExtent l="19050" t="19050" r="13970" b="1905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4"/>
                    <a:stretch>
                      <a:fillRect/>
                    </a:stretch>
                  </pic:blipFill>
                  <pic:spPr>
                    <a:xfrm>
                      <a:off x="0" y="0"/>
                      <a:ext cx="2800223" cy="1927519"/>
                    </a:xfrm>
                    <a:prstGeom prst="rect">
                      <a:avLst/>
                    </a:prstGeom>
                    <a:ln>
                      <a:solidFill>
                        <a:schemeClr val="tx1"/>
                      </a:solidFill>
                    </a:ln>
                  </pic:spPr>
                </pic:pic>
              </a:graphicData>
            </a:graphic>
          </wp:inline>
        </w:drawing>
      </w:r>
      <w:r w:rsidR="00780D3D">
        <w:rPr>
          <w:noProof/>
        </w:rPr>
        <w:drawing>
          <wp:inline distT="0" distB="0" distL="0" distR="0" wp14:anchorId="207768B3" wp14:editId="3FDE9BE5">
            <wp:extent cx="2798445" cy="1926605"/>
            <wp:effectExtent l="0" t="0" r="1905" b="0"/>
            <wp:docPr id="4" name="Picture 4"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Qr code&#10;&#10;Description automatically generated"/>
                    <pic:cNvPicPr/>
                  </pic:nvPicPr>
                  <pic:blipFill>
                    <a:blip r:embed="rId25"/>
                    <a:stretch>
                      <a:fillRect/>
                    </a:stretch>
                  </pic:blipFill>
                  <pic:spPr>
                    <a:xfrm>
                      <a:off x="0" y="0"/>
                      <a:ext cx="2804788" cy="1930972"/>
                    </a:xfrm>
                    <a:prstGeom prst="rect">
                      <a:avLst/>
                    </a:prstGeom>
                  </pic:spPr>
                </pic:pic>
              </a:graphicData>
            </a:graphic>
          </wp:inline>
        </w:drawing>
      </w:r>
    </w:p>
    <w:p w14:paraId="7C78E9BE" w14:textId="24EA9703" w:rsidR="00B72B66" w:rsidRDefault="00E53F37" w:rsidP="00AA7CCF">
      <w:r>
        <w:rPr>
          <w:noProof/>
        </w:rPr>
        <w:drawing>
          <wp:inline distT="0" distB="0" distL="0" distR="0" wp14:anchorId="7365635C" wp14:editId="03CE40E9">
            <wp:extent cx="2759103" cy="1909607"/>
            <wp:effectExtent l="0" t="0" r="3175" b="0"/>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26"/>
                    <a:stretch>
                      <a:fillRect/>
                    </a:stretch>
                  </pic:blipFill>
                  <pic:spPr>
                    <a:xfrm>
                      <a:off x="0" y="0"/>
                      <a:ext cx="2768430" cy="1916063"/>
                    </a:xfrm>
                    <a:prstGeom prst="rect">
                      <a:avLst/>
                    </a:prstGeom>
                  </pic:spPr>
                </pic:pic>
              </a:graphicData>
            </a:graphic>
          </wp:inline>
        </w:drawing>
      </w:r>
      <w:r w:rsidR="007E1780">
        <w:rPr>
          <w:noProof/>
        </w:rPr>
        <w:drawing>
          <wp:inline distT="0" distB="0" distL="0" distR="0" wp14:anchorId="43D68117" wp14:editId="3EB0CF2F">
            <wp:extent cx="2785773" cy="1908313"/>
            <wp:effectExtent l="0" t="0" r="0" b="0"/>
            <wp:docPr id="7" name="Picture 7"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pic:cNvPicPr/>
                  </pic:nvPicPr>
                  <pic:blipFill>
                    <a:blip r:embed="rId27"/>
                    <a:stretch>
                      <a:fillRect/>
                    </a:stretch>
                  </pic:blipFill>
                  <pic:spPr>
                    <a:xfrm>
                      <a:off x="0" y="0"/>
                      <a:ext cx="2792820" cy="1913140"/>
                    </a:xfrm>
                    <a:prstGeom prst="rect">
                      <a:avLst/>
                    </a:prstGeom>
                  </pic:spPr>
                </pic:pic>
              </a:graphicData>
            </a:graphic>
          </wp:inline>
        </w:drawing>
      </w:r>
    </w:p>
    <w:p w14:paraId="1B729630" w14:textId="69BDA116" w:rsidR="0061322F" w:rsidRDefault="005A3839" w:rsidP="00AA7CCF">
      <w:r>
        <w:t>Visually a range of colours were utilised for specific buttons</w:t>
      </w:r>
      <w:r w:rsidR="0045036D">
        <w:t xml:space="preserve"> in the </w:t>
      </w:r>
      <w:r w:rsidR="00301FD0">
        <w:t>computerised design,</w:t>
      </w:r>
      <w:r>
        <w:t xml:space="preserve"> which took the user to different sections</w:t>
      </w:r>
      <w:r w:rsidR="00D208E3">
        <w:t>.  The colours differed in appearance to allow for easy remembrance and distinction between them</w:t>
      </w:r>
      <w:r w:rsidR="00901E86">
        <w:t xml:space="preserve">. </w:t>
      </w:r>
      <w:r w:rsidR="00D208E3">
        <w:t xml:space="preserve"> </w:t>
      </w:r>
      <w:r w:rsidR="00901E86">
        <w:t>T</w:t>
      </w:r>
      <w:r w:rsidR="00D208E3">
        <w:t xml:space="preserve">o avoid possible </w:t>
      </w:r>
      <w:r w:rsidR="0042020D">
        <w:t>stress to the user – the colours were not bright and were only used for items such as buttons. The general colour scheme was blue</w:t>
      </w:r>
      <w:r w:rsidR="00BB3FBD">
        <w:t xml:space="preserve"> and </w:t>
      </w:r>
      <w:r w:rsidR="0042020D">
        <w:t>white, these two colours are associated with the NHS, so it was familiar to the user</w:t>
      </w:r>
      <w:r w:rsidR="00BD3C2C">
        <w:t>, giving them a sense of comfortability</w:t>
      </w:r>
      <w:r w:rsidR="009E4F17">
        <w:t>.</w:t>
      </w:r>
      <w:r w:rsidR="001A7DC4">
        <w:br/>
      </w:r>
      <w:r w:rsidR="009E4F17">
        <w:t xml:space="preserve"> </w:t>
      </w:r>
      <w:r w:rsidR="001A7DC4">
        <w:rPr>
          <w:noProof/>
        </w:rPr>
        <w:drawing>
          <wp:inline distT="0" distB="0" distL="0" distR="0" wp14:anchorId="7660767D" wp14:editId="2F80DC57">
            <wp:extent cx="1984678" cy="1877204"/>
            <wp:effectExtent l="19050" t="19050" r="15875" b="27940"/>
            <wp:docPr id="8" name="Picture 8"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diagram&#10;&#10;Description automatically generated"/>
                    <pic:cNvPicPr/>
                  </pic:nvPicPr>
                  <pic:blipFill>
                    <a:blip r:embed="rId28"/>
                    <a:stretch>
                      <a:fillRect/>
                    </a:stretch>
                  </pic:blipFill>
                  <pic:spPr>
                    <a:xfrm>
                      <a:off x="0" y="0"/>
                      <a:ext cx="2007465" cy="1898757"/>
                    </a:xfrm>
                    <a:prstGeom prst="rect">
                      <a:avLst/>
                    </a:prstGeom>
                    <a:ln>
                      <a:solidFill>
                        <a:schemeClr val="tx1"/>
                      </a:solidFill>
                    </a:ln>
                  </pic:spPr>
                </pic:pic>
              </a:graphicData>
            </a:graphic>
          </wp:inline>
        </w:drawing>
      </w:r>
    </w:p>
    <w:p w14:paraId="61ABBCF6" w14:textId="622FD269" w:rsidR="009E4F17" w:rsidRDefault="009E4F17" w:rsidP="00AA7CCF">
      <w:r>
        <w:t xml:space="preserve">The amount of risk involved in performing the functions of the app were low, so mitigating for risk, </w:t>
      </w:r>
      <w:r w:rsidR="00E669B3">
        <w:t>was an easy task to perform. As to not overwhelm the user, t</w:t>
      </w:r>
      <w:r w:rsidR="00504D9F">
        <w:t xml:space="preserve">he application presents itself with its 4 basic functions immediately for the user, </w:t>
      </w:r>
      <w:r w:rsidR="000303F4">
        <w:t xml:space="preserve">with their roles told in few words. </w:t>
      </w:r>
      <w:r w:rsidR="007070ED">
        <w:rPr>
          <w:noProof/>
        </w:rPr>
        <w:drawing>
          <wp:inline distT="0" distB="0" distL="0" distR="0" wp14:anchorId="6A93A106" wp14:editId="54B1CF80">
            <wp:extent cx="1657350" cy="1924050"/>
            <wp:effectExtent l="19050" t="19050" r="19050" b="19050"/>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a:blip r:embed="rId29"/>
                    <a:stretch>
                      <a:fillRect/>
                    </a:stretch>
                  </pic:blipFill>
                  <pic:spPr>
                    <a:xfrm>
                      <a:off x="0" y="0"/>
                      <a:ext cx="1657350" cy="1924050"/>
                    </a:xfrm>
                    <a:prstGeom prst="rect">
                      <a:avLst/>
                    </a:prstGeom>
                    <a:ln>
                      <a:solidFill>
                        <a:schemeClr val="tx1"/>
                      </a:solidFill>
                    </a:ln>
                  </pic:spPr>
                </pic:pic>
              </a:graphicData>
            </a:graphic>
          </wp:inline>
        </w:drawing>
      </w:r>
      <w:r w:rsidR="007070ED">
        <w:rPr>
          <w:noProof/>
        </w:rPr>
        <w:drawing>
          <wp:inline distT="0" distB="0" distL="0" distR="0" wp14:anchorId="423BE9D5" wp14:editId="54AFAEE6">
            <wp:extent cx="3522428" cy="1712823"/>
            <wp:effectExtent l="19050" t="19050" r="20955" b="20955"/>
            <wp:docPr id="12" name="Picture 12"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Qr code&#10;&#10;Description automatically generated"/>
                    <pic:cNvPicPr/>
                  </pic:nvPicPr>
                  <pic:blipFill>
                    <a:blip r:embed="rId30"/>
                    <a:stretch>
                      <a:fillRect/>
                    </a:stretch>
                  </pic:blipFill>
                  <pic:spPr>
                    <a:xfrm>
                      <a:off x="0" y="0"/>
                      <a:ext cx="3531498" cy="1717234"/>
                    </a:xfrm>
                    <a:prstGeom prst="rect">
                      <a:avLst/>
                    </a:prstGeom>
                    <a:ln>
                      <a:solidFill>
                        <a:schemeClr val="tx1"/>
                      </a:solidFill>
                    </a:ln>
                  </pic:spPr>
                </pic:pic>
              </a:graphicData>
            </a:graphic>
          </wp:inline>
        </w:drawing>
      </w:r>
      <w:r w:rsidR="007070ED">
        <w:t xml:space="preserve"> Pictured above are the </w:t>
      </w:r>
      <w:r w:rsidR="0002757F">
        <w:t>upload status button and the list of QR codes to select, their uses described in few words, easy to understand by all.</w:t>
      </w:r>
      <w:r w:rsidR="00F00F2B">
        <w:t xml:space="preserve"> A visual metaphor used above is the up arrow being used to indicate ‘upload’, as it is the symbol commonly used to mean so [30].</w:t>
      </w:r>
    </w:p>
    <w:p w14:paraId="709173FD" w14:textId="5FA7F1AA" w:rsidR="003D2AC8" w:rsidRDefault="0061322F" w:rsidP="00AA7CCF">
      <w:r>
        <w:t>The header and footer contained the same information</w:t>
      </w:r>
      <w:r w:rsidR="00D67871">
        <w:t>,</w:t>
      </w:r>
      <w:r>
        <w:t xml:space="preserve"> and size on every interface o</w:t>
      </w:r>
      <w:r w:rsidR="00013333">
        <w:t>f</w:t>
      </w:r>
      <w:r>
        <w:t xml:space="preserve"> the application</w:t>
      </w:r>
      <w:r w:rsidR="00B21122">
        <w:t>.</w:t>
      </w:r>
      <w:r w:rsidR="00A06AEB">
        <w:t xml:space="preserve"> </w:t>
      </w:r>
      <w:r w:rsidR="003D2AC8">
        <w:rPr>
          <w:noProof/>
        </w:rPr>
        <w:drawing>
          <wp:inline distT="0" distB="0" distL="0" distR="0" wp14:anchorId="2EC14885" wp14:editId="18B5675E">
            <wp:extent cx="5731510" cy="836930"/>
            <wp:effectExtent l="0" t="0" r="2540" b="1270"/>
            <wp:docPr id="9" name="Picture 9"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 rectangle&#10;&#10;Description automatically generated"/>
                    <pic:cNvPicPr/>
                  </pic:nvPicPr>
                  <pic:blipFill>
                    <a:blip r:embed="rId31"/>
                    <a:stretch>
                      <a:fillRect/>
                    </a:stretch>
                  </pic:blipFill>
                  <pic:spPr>
                    <a:xfrm>
                      <a:off x="0" y="0"/>
                      <a:ext cx="5731510" cy="836930"/>
                    </a:xfrm>
                    <a:prstGeom prst="rect">
                      <a:avLst/>
                    </a:prstGeom>
                  </pic:spPr>
                </pic:pic>
              </a:graphicData>
            </a:graphic>
          </wp:inline>
        </w:drawing>
      </w:r>
      <w:r w:rsidR="003D2AC8">
        <w:rPr>
          <w:noProof/>
        </w:rPr>
        <w:drawing>
          <wp:inline distT="0" distB="0" distL="0" distR="0" wp14:anchorId="0DA6FE91" wp14:editId="2C4E9B3E">
            <wp:extent cx="5731510" cy="758190"/>
            <wp:effectExtent l="0" t="0" r="2540" b="3810"/>
            <wp:docPr id="10" name="Picture 10"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Shape, rectangle&#10;&#10;Description automatically generated"/>
                    <pic:cNvPicPr/>
                  </pic:nvPicPr>
                  <pic:blipFill>
                    <a:blip r:embed="rId32"/>
                    <a:stretch>
                      <a:fillRect/>
                    </a:stretch>
                  </pic:blipFill>
                  <pic:spPr>
                    <a:xfrm>
                      <a:off x="0" y="0"/>
                      <a:ext cx="5731510" cy="758190"/>
                    </a:xfrm>
                    <a:prstGeom prst="rect">
                      <a:avLst/>
                    </a:prstGeom>
                  </pic:spPr>
                </pic:pic>
              </a:graphicData>
            </a:graphic>
          </wp:inline>
        </w:drawing>
      </w:r>
    </w:p>
    <w:p w14:paraId="2CE371C5" w14:textId="41FBF477" w:rsidR="00DF30B2" w:rsidRPr="00AA7CCF" w:rsidRDefault="00A06AEB" w:rsidP="00AA7CCF">
      <w:r>
        <w:t>The map showing the prominence of COVID-19 in specific regions uses the same visual look of most interactive digital maps</w:t>
      </w:r>
      <w:r w:rsidR="00402376">
        <w:t xml:space="preserve"> </w:t>
      </w:r>
      <w:r w:rsidR="0055258D">
        <w:t>[31]</w:t>
      </w:r>
      <w:r w:rsidR="003D194A">
        <w:t xml:space="preserve"> and it can be explored by using the mouse and dragging along, or for mobile users by scrolling with their fingers</w:t>
      </w:r>
      <w:r w:rsidR="00BA3EB0">
        <w:t xml:space="preserve"> – this makes it easy for the user to make use of right away, as it functions similarly to what they have used before</w:t>
      </w:r>
      <w:r w:rsidR="00D917B4">
        <w:t>,</w:t>
      </w:r>
      <w:r w:rsidR="00BA3EB0">
        <w:t xml:space="preserve"> reducing stress</w:t>
      </w:r>
      <w:r w:rsidR="00194CC9">
        <w:t xml:space="preserve">, positively impacting their ability to load information – reducing overload. The location of the interactive map is on the </w:t>
      </w:r>
      <w:r w:rsidR="006F1B2D">
        <w:t>right-hand</w:t>
      </w:r>
      <w:r w:rsidR="00194CC9">
        <w:t xml:space="preserve"> side of the screen, on the bottom half of the screen – </w:t>
      </w:r>
      <w:r w:rsidR="00967B77">
        <w:t>like</w:t>
      </w:r>
      <w:r w:rsidR="00194CC9">
        <w:t xml:space="preserve"> where interactive maps are placed</w:t>
      </w:r>
      <w:r w:rsidR="00485497">
        <w:t xml:space="preserve"> on the web</w:t>
      </w:r>
      <w:r w:rsidR="007C4982">
        <w:t xml:space="preserve"> </w:t>
      </w:r>
      <w:r w:rsidR="00485497">
        <w:t>[32]</w:t>
      </w:r>
      <w:r w:rsidR="00B13DB8">
        <w:t>[33]</w:t>
      </w:r>
      <w:r w:rsidR="006F1B2D">
        <w:t>[34]</w:t>
      </w:r>
      <w:r w:rsidR="00010948">
        <w:t>.</w:t>
      </w:r>
      <w:r w:rsidR="00CF55E1">
        <w:t xml:space="preserve"> </w:t>
      </w:r>
      <w:r w:rsidR="00B83958">
        <w:t>The darker an area is, the more COVID cases there are there,</w:t>
      </w:r>
      <w:r w:rsidR="0097620E">
        <w:t xml:space="preserve"> dark colours are commonly associated with danger </w:t>
      </w:r>
      <w:r w:rsidR="007C4982">
        <w:t>[</w:t>
      </w:r>
      <w:r w:rsidR="00573CF2">
        <w:t>35]</w:t>
      </w:r>
      <w:r w:rsidR="0097620E">
        <w:t>.</w:t>
      </w:r>
      <w:r w:rsidR="0097620E">
        <w:br/>
      </w:r>
      <w:r w:rsidR="0097620E">
        <w:br/>
      </w:r>
      <w:r w:rsidR="003C5A6A" w:rsidRPr="003C5A6A">
        <w:rPr>
          <w:noProof/>
        </w:rPr>
        <w:t xml:space="preserve"> </w:t>
      </w:r>
      <w:r w:rsidR="003C5A6A">
        <w:rPr>
          <w:noProof/>
        </w:rPr>
        <w:drawing>
          <wp:inline distT="0" distB="0" distL="0" distR="0" wp14:anchorId="64338931" wp14:editId="445E26CC">
            <wp:extent cx="3449152" cy="3411110"/>
            <wp:effectExtent l="19050" t="19050" r="18415" b="18415"/>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33"/>
                    <a:stretch>
                      <a:fillRect/>
                    </a:stretch>
                  </pic:blipFill>
                  <pic:spPr>
                    <a:xfrm>
                      <a:off x="0" y="0"/>
                      <a:ext cx="3457784" cy="3419646"/>
                    </a:xfrm>
                    <a:prstGeom prst="rect">
                      <a:avLst/>
                    </a:prstGeom>
                    <a:ln>
                      <a:solidFill>
                        <a:schemeClr val="tx1"/>
                      </a:solidFill>
                    </a:ln>
                  </pic:spPr>
                </pic:pic>
              </a:graphicData>
            </a:graphic>
          </wp:inline>
        </w:drawing>
      </w:r>
      <w:r w:rsidR="00CF4676">
        <w:rPr>
          <w:noProof/>
        </w:rPr>
        <w:drawing>
          <wp:inline distT="0" distB="0" distL="0" distR="0" wp14:anchorId="52E77AEE" wp14:editId="4A87C9C6">
            <wp:extent cx="2167559" cy="2222783"/>
            <wp:effectExtent l="19050" t="19050" r="23495" b="25400"/>
            <wp:docPr id="14" name="Picture 1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Map&#10;&#10;Description automatically generated"/>
                    <pic:cNvPicPr/>
                  </pic:nvPicPr>
                  <pic:blipFill>
                    <a:blip r:embed="rId34"/>
                    <a:stretch>
                      <a:fillRect/>
                    </a:stretch>
                  </pic:blipFill>
                  <pic:spPr>
                    <a:xfrm>
                      <a:off x="0" y="0"/>
                      <a:ext cx="2188992" cy="2244762"/>
                    </a:xfrm>
                    <a:prstGeom prst="rect">
                      <a:avLst/>
                    </a:prstGeom>
                    <a:ln>
                      <a:solidFill>
                        <a:schemeClr val="tx1"/>
                      </a:solidFill>
                    </a:ln>
                  </pic:spPr>
                </pic:pic>
              </a:graphicData>
            </a:graphic>
          </wp:inline>
        </w:drawing>
      </w:r>
    </w:p>
    <w:p w14:paraId="437F00AC" w14:textId="21F0AC34" w:rsidR="005B7433" w:rsidRPr="005B7433" w:rsidRDefault="0070636A" w:rsidP="005B7433">
      <w:pPr>
        <w:jc w:val="center"/>
        <w:rPr>
          <w:b/>
          <w:bCs/>
          <w:sz w:val="32"/>
          <w:szCs w:val="32"/>
          <w:u w:val="single"/>
        </w:rPr>
      </w:pPr>
      <w:r>
        <w:rPr>
          <w:b/>
          <w:bCs/>
          <w:sz w:val="32"/>
          <w:szCs w:val="32"/>
          <w:u w:val="single"/>
        </w:rPr>
        <w:t>Walkthrough of paper prototype</w:t>
      </w:r>
    </w:p>
    <w:p w14:paraId="779A0826" w14:textId="5B2334D5" w:rsidR="00E54B58" w:rsidRDefault="000D3902" w:rsidP="00E54B58">
      <w:r>
        <w:t>A walkthrough of my paper prototype was conducted</w:t>
      </w:r>
      <w:r w:rsidR="007269CB">
        <w:rPr>
          <w:rStyle w:val="FootnoteReference"/>
        </w:rPr>
        <w:footnoteReference w:id="2"/>
      </w:r>
      <w:r>
        <w:t xml:space="preserve"> with another member of the classroom</w:t>
      </w:r>
      <w:r w:rsidR="003B4073">
        <w:t xml:space="preserve"> being</w:t>
      </w:r>
      <w:r>
        <w:t xml:space="preserve"> left with specific tasks to try and complete, seeing if they could work out how to navigate the interfa</w:t>
      </w:r>
      <w:r w:rsidR="00625E97">
        <w:t>ce</w:t>
      </w:r>
      <w:r w:rsidR="00B61063">
        <w:t xml:space="preserve">. </w:t>
      </w:r>
      <w:r w:rsidR="003B4073">
        <w:t>Assistance</w:t>
      </w:r>
      <w:r w:rsidR="00B61063">
        <w:t xml:space="preserve"> was provided</w:t>
      </w:r>
      <w:r w:rsidR="00B76F32">
        <w:t xml:space="preserve"> if asked,</w:t>
      </w:r>
      <w:r w:rsidR="00344D6A">
        <w:t xml:space="preserve"> however</w:t>
      </w:r>
      <w:r w:rsidR="00B76F32">
        <w:t xml:space="preserve"> assistance was </w:t>
      </w:r>
      <w:r w:rsidR="00344D6A">
        <w:t xml:space="preserve">not </w:t>
      </w:r>
      <w:r w:rsidR="00B76F32">
        <w:t>requested</w:t>
      </w:r>
      <w:r w:rsidR="000A1542">
        <w:t>, showing the interface’s ease of use</w:t>
      </w:r>
      <w:r w:rsidR="00344D6A">
        <w:t xml:space="preserve">. </w:t>
      </w:r>
      <w:r w:rsidR="007D6183">
        <w:t>The tasks given to the user for completion were just to be able to display QR codes for COVID-19 Jabs, and upload COVID test results.</w:t>
      </w:r>
      <w:r w:rsidR="00EC744E">
        <w:t xml:space="preserve"> </w:t>
      </w:r>
    </w:p>
    <w:p w14:paraId="5FB87742" w14:textId="00E566C2" w:rsidR="00EC744E" w:rsidRPr="00E54B58" w:rsidRDefault="00EC744E" w:rsidP="00E54B58">
      <w:r>
        <w:t xml:space="preserve">Aspects of the paper prototype were complimented, such as the colour scheme – with it standing out, without </w:t>
      </w:r>
      <w:r w:rsidR="00B33495">
        <w:t>being</w:t>
      </w:r>
      <w:r>
        <w:t xml:space="preserve"> an eyesore. </w:t>
      </w:r>
      <w:r w:rsidR="00B33495">
        <w:t>Navigation was called “easy”</w:t>
      </w:r>
      <w:r w:rsidR="00F67C6C">
        <w:t xml:space="preserve">, there was not many </w:t>
      </w:r>
      <w:r w:rsidR="00646FE1">
        <w:t>pages</w:t>
      </w:r>
      <w:r w:rsidR="00F67C6C">
        <w:t xml:space="preserve">, which could overwhelm </w:t>
      </w:r>
      <w:r w:rsidR="00646FE1">
        <w:t>the user.</w:t>
      </w:r>
      <w:r w:rsidR="00F67C6C">
        <w:t xml:space="preserve"> </w:t>
      </w:r>
      <w:r w:rsidR="00F24CD4">
        <w:br/>
      </w:r>
      <w:r w:rsidR="00646FE1">
        <w:t>D</w:t>
      </w:r>
      <w:r w:rsidR="00F67C6C">
        <w:t xml:space="preserve">ownsides </w:t>
      </w:r>
      <w:r w:rsidR="00F24CD4">
        <w:t>noted are</w:t>
      </w:r>
      <w:r w:rsidR="00F67C6C">
        <w:t xml:space="preserve"> </w:t>
      </w:r>
      <w:r w:rsidR="00F24CD4">
        <w:t xml:space="preserve">the </w:t>
      </w:r>
      <w:r w:rsidR="00F67C6C">
        <w:t xml:space="preserve">QR Code and Test Result Upload </w:t>
      </w:r>
      <w:r w:rsidR="000270D0">
        <w:t xml:space="preserve">pages </w:t>
      </w:r>
      <w:r w:rsidR="00F24CD4">
        <w:t xml:space="preserve">possibly appearing too </w:t>
      </w:r>
      <w:r w:rsidR="0080614A">
        <w:t>similar for</w:t>
      </w:r>
      <w:r w:rsidR="000270D0">
        <w:t xml:space="preserve"> the user</w:t>
      </w:r>
      <w:r w:rsidR="00F24CD4">
        <w:t>. A</w:t>
      </w:r>
      <w:r w:rsidR="000270D0">
        <w:t xml:space="preserve"> solution offered was a help option</w:t>
      </w:r>
      <w:r w:rsidR="0080614A">
        <w:t xml:space="preserve">, </w:t>
      </w:r>
      <w:r w:rsidR="000270D0">
        <w:t>provid</w:t>
      </w:r>
      <w:r w:rsidR="0080614A">
        <w:t>ing</w:t>
      </w:r>
      <w:r w:rsidR="00062A8A">
        <w:t xml:space="preserve"> operationalising sections.</w:t>
      </w:r>
      <w:r w:rsidR="00A20DA5">
        <w:t xml:space="preserve"> </w:t>
      </w:r>
      <w:r w:rsidR="00062A8A">
        <w:t>The user specified</w:t>
      </w:r>
      <w:r w:rsidR="00A20DA5">
        <w:t xml:space="preserve"> that </w:t>
      </w:r>
      <w:r w:rsidR="00E12085">
        <w:t xml:space="preserve">they could understand </w:t>
      </w:r>
      <w:r w:rsidR="00062A8A">
        <w:t xml:space="preserve">the </w:t>
      </w:r>
      <w:r w:rsidR="00E12085">
        <w:t xml:space="preserve">differences, but they could </w:t>
      </w:r>
      <w:r w:rsidR="00062A8A">
        <w:t>fore</w:t>
      </w:r>
      <w:r w:rsidR="00E12085">
        <w:t>see another user not understanding, needing guidanc</w:t>
      </w:r>
      <w:r w:rsidR="00FD4C30">
        <w:t>e</w:t>
      </w:r>
      <w:r w:rsidR="00E12085">
        <w:t>.</w:t>
      </w:r>
      <w:r w:rsidR="00FD4C30">
        <w:t xml:space="preserve"> </w:t>
      </w:r>
      <w:r w:rsidR="00D57232">
        <w:t>Furthermore,</w:t>
      </w:r>
      <w:r w:rsidR="00020160">
        <w:t xml:space="preserve"> a section for additional information regarding the COVID map displaying areas of concern</w:t>
      </w:r>
      <w:r w:rsidR="00FD4C30">
        <w:t xml:space="preserve"> was suggested</w:t>
      </w:r>
      <w:r w:rsidR="00020160">
        <w:t xml:space="preserve">, detailing </w:t>
      </w:r>
      <w:r w:rsidR="009937CC">
        <w:t xml:space="preserve">which COVID restriction </w:t>
      </w:r>
      <w:r w:rsidR="00FD4C30">
        <w:t>tier</w:t>
      </w:r>
      <w:r w:rsidR="009937CC">
        <w:t xml:space="preserve"> areas would fall into.</w:t>
      </w:r>
    </w:p>
    <w:p w14:paraId="2C605451" w14:textId="4C5E9100" w:rsidR="0070636A" w:rsidRDefault="0070636A" w:rsidP="0070636A">
      <w:pPr>
        <w:jc w:val="center"/>
        <w:rPr>
          <w:b/>
          <w:bCs/>
          <w:sz w:val="32"/>
          <w:szCs w:val="32"/>
          <w:u w:val="single"/>
        </w:rPr>
      </w:pPr>
      <w:r>
        <w:rPr>
          <w:b/>
          <w:bCs/>
          <w:sz w:val="32"/>
          <w:szCs w:val="32"/>
          <w:u w:val="single"/>
        </w:rPr>
        <w:t>Participation of walkthrough</w:t>
      </w:r>
    </w:p>
    <w:p w14:paraId="62ED9CF2" w14:textId="132C5777" w:rsidR="0047028B" w:rsidRDefault="005E6B0D" w:rsidP="0047028B">
      <w:r>
        <w:rPr>
          <w:rStyle w:val="FootnoteReference"/>
        </w:rPr>
        <w:footnoteReference w:id="3"/>
      </w:r>
      <w:r w:rsidR="00A344D3">
        <w:t xml:space="preserve">The login screen is adequate, </w:t>
      </w:r>
      <w:r w:rsidR="00A77561">
        <w:t>the resolution being that to fit a phone too matches with what was drawn with the prototype. Labels are correct, options for additional information are present but do not obscure main features. What is missing however is language options.</w:t>
      </w:r>
      <w:r w:rsidR="006017DC">
        <w:t xml:space="preserve"> Following pages lack header and footer in design, but it is stated that they are present on all pages</w:t>
      </w:r>
      <w:r w:rsidR="00AD1753">
        <w:t>. Buttons are labelled clearly and briefly, with what they provide to the user being obvious.</w:t>
      </w:r>
      <w:r w:rsidR="00FC1830">
        <w:t xml:space="preserve"> The additional information page is not clear – what the “view” and “input” buttons do is not clearly stated.</w:t>
      </w:r>
      <w:r w:rsidR="00CC18EA">
        <w:t xml:space="preserve"> Labels on the pages for the PCR and Lateral flow test are labelled, and it was stated that the footer containing additional info would be present on all pages</w:t>
      </w:r>
      <w:r w:rsidR="00B41C46">
        <w:t>, but I’m sure these features could be more clear without the need for additional help.</w:t>
      </w:r>
      <w:r w:rsidR="00E521E9">
        <w:t xml:space="preserve"> The test results and QR code pages are very clear, and simplistic – would not overcomplicate the user.</w:t>
      </w:r>
      <w:r w:rsidR="00726C33">
        <w:t xml:space="preserve"> The about page is annotated well.</w:t>
      </w:r>
    </w:p>
    <w:p w14:paraId="7F32D208" w14:textId="00BE118B" w:rsidR="0070636A" w:rsidRDefault="0070636A" w:rsidP="0070636A">
      <w:pPr>
        <w:jc w:val="center"/>
        <w:rPr>
          <w:b/>
          <w:bCs/>
          <w:sz w:val="32"/>
          <w:szCs w:val="32"/>
          <w:u w:val="single"/>
        </w:rPr>
      </w:pPr>
      <w:r>
        <w:rPr>
          <w:b/>
          <w:bCs/>
          <w:sz w:val="32"/>
          <w:szCs w:val="32"/>
          <w:u w:val="single"/>
        </w:rPr>
        <w:t>Software prototype</w:t>
      </w:r>
    </w:p>
    <w:p w14:paraId="29B1A5A1" w14:textId="141013B9" w:rsidR="004D3BA5" w:rsidRDefault="00E15CB3" w:rsidP="00E15CB3">
      <w:r>
        <w:t xml:space="preserve">The prototype of the COVID-19 application was created on </w:t>
      </w:r>
      <w:r w:rsidR="001F12BE">
        <w:t xml:space="preserve">Adobe XD. </w:t>
      </w:r>
      <w:r w:rsidR="003215B1">
        <w:t xml:space="preserve">Taking into consideration advice given from the walkthrough, extra </w:t>
      </w:r>
      <w:r w:rsidR="00873D5C">
        <w:t>information was given, and a help option was available for users who may want specific</w:t>
      </w:r>
      <w:r w:rsidR="00E30181">
        <w:t>s</w:t>
      </w:r>
      <w:r w:rsidR="00873D5C">
        <w:t xml:space="preserve"> to be explained. COVID-restriction levels were detailed on the map. </w:t>
      </w:r>
      <w:r w:rsidR="004D3BA5">
        <w:t>Adding these new features to the prototype</w:t>
      </w:r>
      <w:r w:rsidR="00554BE8">
        <w:t xml:space="preserve"> was a quick task to see through. Adobe XD provid</w:t>
      </w:r>
      <w:r w:rsidR="008A78CE">
        <w:t>ed a</w:t>
      </w:r>
      <w:r w:rsidR="00554BE8">
        <w:t xml:space="preserve"> quick </w:t>
      </w:r>
      <w:r w:rsidR="00107D16">
        <w:t>way</w:t>
      </w:r>
      <w:r w:rsidR="00554BE8">
        <w:t xml:space="preserve"> to snap new </w:t>
      </w:r>
      <w:r w:rsidR="00BC61A7">
        <w:t>elements into fitting places no matter the size</w:t>
      </w:r>
      <w:r w:rsidR="00107D16">
        <w:t>, making</w:t>
      </w:r>
      <w:r w:rsidR="00BC61A7">
        <w:t xml:space="preserve"> </w:t>
      </w:r>
      <w:r w:rsidR="002C385C">
        <w:t xml:space="preserve">this </w:t>
      </w:r>
      <w:r w:rsidR="00BC61A7">
        <w:t>a simple task.</w:t>
      </w:r>
    </w:p>
    <w:p w14:paraId="711166FB" w14:textId="2C7EB12B" w:rsidR="00F86381" w:rsidRDefault="00F86381" w:rsidP="00E15CB3">
      <w:r>
        <w:t xml:space="preserve">The colours provided by default on the system fit the colour scheme intended from the previous prototypes, as well as other ways to minimize </w:t>
      </w:r>
      <w:r w:rsidR="00322A10">
        <w:t>stress and maximise comfort to the user, such as adding familiar icons to symbolise certain tasks.</w:t>
      </w:r>
      <w:r w:rsidR="00F700B3">
        <w:t xml:space="preserve"> </w:t>
      </w:r>
    </w:p>
    <w:p w14:paraId="125DCED0" w14:textId="77777777" w:rsidR="00450342" w:rsidRDefault="00C56BBA" w:rsidP="00E15CB3">
      <w:r>
        <w:t xml:space="preserve">Adobe XD was useful in the creation of this </w:t>
      </w:r>
      <w:r w:rsidR="007F61C8">
        <w:t xml:space="preserve">finalised </w:t>
      </w:r>
      <w:r>
        <w:t xml:space="preserve">prototype as it provided similar features to software such as Photoshop but was </w:t>
      </w:r>
      <w:r w:rsidR="00450342">
        <w:t>better</w:t>
      </w:r>
      <w:r>
        <w:t xml:space="preserve"> optimized</w:t>
      </w:r>
      <w:r w:rsidR="00450342">
        <w:t>.</w:t>
      </w:r>
      <w:r>
        <w:t xml:space="preserve"> Adobe Photoshop has faults in it being very resource intensive as more layers and editing features are applied – while Adobe XD </w:t>
      </w:r>
      <w:r w:rsidR="00E265A4">
        <w:t>keeps a consistent performance level</w:t>
      </w:r>
      <w:r w:rsidR="00970760">
        <w:t xml:space="preserve">. </w:t>
      </w:r>
      <w:r w:rsidR="0039684F">
        <w:t>Adobe XD allowed for specific elements to be edited separately, even if they existed on the same layer</w:t>
      </w:r>
      <w:r w:rsidR="00B63EDC">
        <w:t xml:space="preserve"> – which is a lot harder to do on Photoshop, GIMP or Paint.net. An option existed to select a template for 1920x1080 monitors immediately upon creating a new </w:t>
      </w:r>
      <w:r w:rsidR="005C052D">
        <w:t>project.</w:t>
      </w:r>
      <w:r w:rsidR="00003918">
        <w:t xml:space="preserve"> </w:t>
      </w:r>
    </w:p>
    <w:p w14:paraId="0B6EEDB1" w14:textId="39119E83" w:rsidR="00C56BBA" w:rsidRPr="0036619E" w:rsidRDefault="00003918" w:rsidP="00E15CB3">
      <w:r>
        <w:t xml:space="preserve">In the context of rapid prototyping, Adobe XD served advantageous as it provided </w:t>
      </w:r>
      <w:r w:rsidR="00AB2E06">
        <w:t>an environment to optimise aspects such as shape, size and even usability to a more than satisfactory extent</w:t>
      </w:r>
      <w:r w:rsidR="007632B4">
        <w:t>. Adobe XD’s way of handling elements allowed for quick and easy alterations to be made based on feedback and analysis</w:t>
      </w:r>
      <w:r w:rsidR="00280193">
        <w:t>.</w:t>
      </w:r>
      <w:r w:rsidR="007632B4">
        <w:t xml:space="preserve"> </w:t>
      </w:r>
      <w:r w:rsidR="00280193">
        <w:t>C</w:t>
      </w:r>
      <w:r w:rsidR="007632B4">
        <w:t>hanges based on constructive criticism at a fluid rate is a cornerstone of</w:t>
      </w:r>
      <w:r w:rsidR="00FE0952">
        <w:t xml:space="preserve"> rapid prototyping.</w:t>
      </w:r>
      <w:r w:rsidR="00F700B3">
        <w:t xml:space="preserve"> </w:t>
      </w:r>
      <w:r w:rsidR="00280193">
        <w:br/>
      </w:r>
      <w:r w:rsidR="00F700B3">
        <w:t xml:space="preserve">Manually resizing was not necessary, as on the </w:t>
      </w:r>
      <w:r w:rsidR="00553708">
        <w:t>right-hand</w:t>
      </w:r>
      <w:r w:rsidR="00F700B3">
        <w:t xml:space="preserve"> side of the software w</w:t>
      </w:r>
      <w:r w:rsidR="00D30D8A">
        <w:t>as</w:t>
      </w:r>
      <w:r w:rsidR="00F700B3">
        <w:t xml:space="preserve"> options for font edits, text size edits and </w:t>
      </w:r>
      <w:r w:rsidR="00DD3EBA">
        <w:t>elements could have their sizes edited to specific pixels, which is useful when trying to create an interface for a specific monitor size.</w:t>
      </w:r>
      <w:r w:rsidR="00066C51">
        <w:t xml:space="preserve"> Responsive resize was offered, allowing for elements to be</w:t>
      </w:r>
      <w:r w:rsidR="00553708">
        <w:t xml:space="preserve"> resized around other elements on the page, something lacking in alternative</w:t>
      </w:r>
      <w:r w:rsidR="00771D24">
        <w:t>s like</w:t>
      </w:r>
      <w:r w:rsidR="00553708">
        <w:t xml:space="preserve"> Photoshop.</w:t>
      </w:r>
    </w:p>
    <w:p w14:paraId="5E10BFB5" w14:textId="0B291873" w:rsidR="0070636A" w:rsidRDefault="0070636A" w:rsidP="0070636A">
      <w:pPr>
        <w:jc w:val="center"/>
        <w:rPr>
          <w:b/>
          <w:bCs/>
          <w:sz w:val="32"/>
          <w:szCs w:val="32"/>
          <w:u w:val="single"/>
        </w:rPr>
      </w:pPr>
      <w:r>
        <w:rPr>
          <w:b/>
          <w:bCs/>
          <w:sz w:val="32"/>
          <w:szCs w:val="32"/>
          <w:u w:val="single"/>
        </w:rPr>
        <w:t>Evaluation</w:t>
      </w:r>
    </w:p>
    <w:p w14:paraId="2C5C7BCF" w14:textId="2EBAEA8F" w:rsidR="00D91E74" w:rsidRDefault="00A739C7" w:rsidP="00107DC7">
      <w:r>
        <w:t xml:space="preserve">The usability engineering techniques </w:t>
      </w:r>
      <w:r w:rsidR="0078759E">
        <w:t>that were</w:t>
      </w:r>
      <w:r w:rsidR="006E7C8F">
        <w:t xml:space="preserve"> used </w:t>
      </w:r>
      <w:r w:rsidR="0078759E">
        <w:t>prov</w:t>
      </w:r>
      <w:r w:rsidR="006E7C8F">
        <w:t>ed beneficial</w:t>
      </w:r>
      <w:r w:rsidR="0078759E">
        <w:t xml:space="preserve"> to the project and served to make </w:t>
      </w:r>
      <w:r w:rsidR="00967B77">
        <w:t xml:space="preserve">the </w:t>
      </w:r>
      <w:r w:rsidR="003F0490">
        <w:t>product</w:t>
      </w:r>
      <w:r w:rsidR="006E7C8F">
        <w:t xml:space="preserve"> better</w:t>
      </w:r>
      <w:r w:rsidR="00D03089">
        <w:t xml:space="preserve"> than it would </w:t>
      </w:r>
      <w:r w:rsidR="006E7C8F">
        <w:t>have been otherwise</w:t>
      </w:r>
      <w:r w:rsidR="00D03089">
        <w:t xml:space="preserve">. </w:t>
      </w:r>
      <w:r w:rsidR="003F0490">
        <w:t>C</w:t>
      </w:r>
      <w:r w:rsidR="002614E6">
        <w:t>ognitive task analysis was used for its focus on human memory</w:t>
      </w:r>
      <w:r w:rsidR="00BD6EEB">
        <w:t xml:space="preserve">, </w:t>
      </w:r>
      <w:r w:rsidR="00637243">
        <w:t>judgement,</w:t>
      </w:r>
      <w:r w:rsidR="00BD6EEB">
        <w:t xml:space="preserve"> and attention</w:t>
      </w:r>
      <w:r w:rsidR="00EB0142">
        <w:t xml:space="preserve"> – this form of task analysis served to benefit the product as it led to the creation of simpler interface which utilised different colours to signify </w:t>
      </w:r>
      <w:r w:rsidR="00637243">
        <w:t>the buttons for different pages</w:t>
      </w:r>
      <w:r w:rsidR="00934DEE">
        <w:t>. Cognitive task analysis</w:t>
      </w:r>
      <w:r w:rsidR="00323D1A">
        <w:t xml:space="preserve"> highlighted the importance of working out the end goals for the users and taking it into consideration during interface design.</w:t>
      </w:r>
      <w:r w:rsidR="00150CC7">
        <w:t xml:space="preserve"> </w:t>
      </w:r>
    </w:p>
    <w:p w14:paraId="16CC9D35" w14:textId="77777777" w:rsidR="00693822" w:rsidRDefault="00323D1A" w:rsidP="00107DC7">
      <w:pPr>
        <w:rPr>
          <w:noProof/>
        </w:rPr>
      </w:pPr>
      <w:r>
        <w:t>The more subjective nature of cognitive task analysis however</w:t>
      </w:r>
      <w:r w:rsidR="00844401">
        <w:t xml:space="preserve"> led to more unclear findings, which did complicate implementation, and the quality of the prototypes was uncertain at first</w:t>
      </w:r>
      <w:r w:rsidR="00362E7F">
        <w:t xml:space="preserve">. A hierarchal task analysis may </w:t>
      </w:r>
      <w:r w:rsidR="007C4982">
        <w:t>have</w:t>
      </w:r>
      <w:r w:rsidR="00362E7F">
        <w:t xml:space="preserve"> proved to be more advantageous in some areas too, in hindsight, as it would allow for a better understanding of complex tasks based on subtasks, if </w:t>
      </w:r>
      <w:r w:rsidR="007E3D2C">
        <w:t>introduced at an early stage in development it could have identified areas for improvement early on.</w:t>
      </w:r>
      <w:r w:rsidR="00D91E74">
        <w:t xml:space="preserve"> </w:t>
      </w:r>
      <w:r w:rsidR="00362E7F">
        <w:t>T</w:t>
      </w:r>
      <w:r w:rsidR="00D91E74">
        <w:t xml:space="preserve">hese concerns were remedied </w:t>
      </w:r>
      <w:r w:rsidR="000B33B8">
        <w:t>using</w:t>
      </w:r>
      <w:r w:rsidR="000D30D4">
        <w:t xml:space="preserve"> the walkthrough</w:t>
      </w:r>
      <w:r w:rsidR="00DC6534">
        <w:t xml:space="preserve"> to some degree. The walkthrough allowed for another perspective on the interface, an unbiased one too – which brought insight to issues which were not clear initially and led to suggestions for improvements; overall use of walkthroughs brought a direct benefit to the product</w:t>
      </w:r>
      <w:r w:rsidR="00384E16">
        <w:t xml:space="preserve">, the use of the walkthrough in the end managed to maintain use of the cognitive task analysis, negating its drawbacks while incorporating the advantages of hierarchal task analysis without needing to implement </w:t>
      </w:r>
      <w:r w:rsidR="00B0330E">
        <w:t>it.</w:t>
      </w:r>
      <w:r w:rsidR="00630BE4" w:rsidRPr="00630BE4">
        <w:rPr>
          <w:noProof/>
        </w:rPr>
        <w:t xml:space="preserve"> </w:t>
      </w:r>
    </w:p>
    <w:p w14:paraId="429B9C04" w14:textId="56FF2F76" w:rsidR="00107DC7" w:rsidRDefault="003D68A2" w:rsidP="00107DC7">
      <w:pPr>
        <w:rPr>
          <w:noProof/>
        </w:rPr>
      </w:pPr>
      <w:r w:rsidRPr="003D68A2">
        <w:rPr>
          <w:noProof/>
        </w:rPr>
        <w:t xml:space="preserve"> </w:t>
      </w:r>
      <w:r>
        <w:rPr>
          <w:noProof/>
        </w:rPr>
        <w:drawing>
          <wp:inline distT="0" distB="0" distL="0" distR="0" wp14:anchorId="3503AB1E" wp14:editId="2B056550">
            <wp:extent cx="2307745" cy="2453805"/>
            <wp:effectExtent l="19050" t="19050" r="16510" b="22860"/>
            <wp:docPr id="31" name="Picture 3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Map&#10;&#10;Description automatically generated"/>
                    <pic:cNvPicPr/>
                  </pic:nvPicPr>
                  <pic:blipFill>
                    <a:blip r:embed="rId35"/>
                    <a:stretch>
                      <a:fillRect/>
                    </a:stretch>
                  </pic:blipFill>
                  <pic:spPr>
                    <a:xfrm>
                      <a:off x="0" y="0"/>
                      <a:ext cx="2310669" cy="2456914"/>
                    </a:xfrm>
                    <a:prstGeom prst="rect">
                      <a:avLst/>
                    </a:prstGeom>
                    <a:ln>
                      <a:solidFill>
                        <a:schemeClr val="tx1"/>
                      </a:solidFill>
                    </a:ln>
                  </pic:spPr>
                </pic:pic>
              </a:graphicData>
            </a:graphic>
          </wp:inline>
        </w:drawing>
      </w:r>
      <w:r w:rsidR="00C93F6B">
        <w:rPr>
          <w:noProof/>
        </w:rPr>
        <w:t xml:space="preserve"> Shown here is the addition of which tier a map location will fall under (based on walkthrough feedback).</w:t>
      </w:r>
    </w:p>
    <w:p w14:paraId="450F1778" w14:textId="7F1B6A31" w:rsidR="00A40B25" w:rsidRDefault="00A40B25" w:rsidP="00107DC7">
      <w:r>
        <w:rPr>
          <w:noProof/>
        </w:rPr>
        <w:drawing>
          <wp:inline distT="0" distB="0" distL="0" distR="0" wp14:anchorId="1365F0AC" wp14:editId="4EBE5BC3">
            <wp:extent cx="5731510" cy="739140"/>
            <wp:effectExtent l="0" t="0" r="2540" b="3810"/>
            <wp:docPr id="32" name="Picture 32"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Shape, rectangle&#10;&#10;Description automatically generated"/>
                    <pic:cNvPicPr/>
                  </pic:nvPicPr>
                  <pic:blipFill>
                    <a:blip r:embed="rId36"/>
                    <a:stretch>
                      <a:fillRect/>
                    </a:stretch>
                  </pic:blipFill>
                  <pic:spPr>
                    <a:xfrm>
                      <a:off x="0" y="0"/>
                      <a:ext cx="5731510" cy="739140"/>
                    </a:xfrm>
                    <a:prstGeom prst="rect">
                      <a:avLst/>
                    </a:prstGeom>
                  </pic:spPr>
                </pic:pic>
              </a:graphicData>
            </a:graphic>
          </wp:inline>
        </w:drawing>
      </w:r>
      <w:r>
        <w:t>The footer was updated to include a help option</w:t>
      </w:r>
      <w:r w:rsidR="00517E96">
        <w:t xml:space="preserve"> as well as an option for additional information regarding options on the present page. These options </w:t>
      </w:r>
      <w:r w:rsidR="008B336D">
        <w:t xml:space="preserve">are available </w:t>
      </w:r>
    </w:p>
    <w:p w14:paraId="1938C8DC" w14:textId="1BC2E23C" w:rsidR="00E51B7E" w:rsidRPr="00107DC7" w:rsidRDefault="00E51B7E" w:rsidP="00107DC7">
      <w:r>
        <w:t>Human factors theory was essential in development of the interface design</w:t>
      </w:r>
      <w:r w:rsidR="00372938">
        <w:t xml:space="preserve">, highlighting the importance in minimising frustration in users by reducing </w:t>
      </w:r>
      <w:r w:rsidR="0045442D">
        <w:t xml:space="preserve">the </w:t>
      </w:r>
      <w:r w:rsidR="00E06957">
        <w:t>number</w:t>
      </w:r>
      <w:r w:rsidR="0045442D">
        <w:t xml:space="preserve"> of possible stressors and the distinctness of the colours chosen. </w:t>
      </w:r>
      <w:r w:rsidR="00E06957">
        <w:t>Not every human factor was able to be accounted for, such as workstation</w:t>
      </w:r>
      <w:r w:rsidR="00B926E3">
        <w:t>. Nothing on the interface required quick interactions, allowing users to go at their own pace</w:t>
      </w:r>
      <w:r w:rsidR="00BC58AE">
        <w:t xml:space="preserve">. Some changes done to the design </w:t>
      </w:r>
      <w:r w:rsidR="00483726">
        <w:t xml:space="preserve">thanks to application of human factors theory include how much was going to be included on each page, initially a few ideas came up in passing to </w:t>
      </w:r>
      <w:r w:rsidR="002F3512">
        <w:t>include more items on every page</w:t>
      </w:r>
      <w:r w:rsidR="00324DB4">
        <w:t xml:space="preserve"> – perhaps at the expense of the number of pages – with descriptions existing too (</w:t>
      </w:r>
      <w:r w:rsidR="00811242">
        <w:t>not to be confused with the later implemented help feature which could be toggled on and off</w:t>
      </w:r>
      <w:r w:rsidR="007B635A">
        <w:t>) – use of human factors theory led to these ideas being scrapped in favour for a far more simple interface, with 3 pages, each being very simple</w:t>
      </w:r>
      <w:r w:rsidR="00E332E2">
        <w:t>, providing just what is needed to assist the user in completing tasks, but help being provided in case of confusion.</w:t>
      </w:r>
    </w:p>
    <w:p w14:paraId="433D8DC5" w14:textId="2F8BD14E" w:rsidR="0070636A" w:rsidRDefault="0070636A" w:rsidP="0070636A">
      <w:pPr>
        <w:jc w:val="center"/>
        <w:rPr>
          <w:b/>
          <w:bCs/>
          <w:sz w:val="32"/>
          <w:szCs w:val="32"/>
          <w:u w:val="single"/>
        </w:rPr>
      </w:pPr>
      <w:r>
        <w:rPr>
          <w:b/>
          <w:bCs/>
          <w:sz w:val="32"/>
          <w:szCs w:val="32"/>
          <w:u w:val="single"/>
        </w:rPr>
        <w:t>References/Bibliography</w:t>
      </w:r>
    </w:p>
    <w:p w14:paraId="21E970A9" w14:textId="155D1D49" w:rsidR="000721AE" w:rsidRPr="00D12FDD" w:rsidRDefault="000721AE" w:rsidP="000721AE">
      <w:pPr>
        <w:pStyle w:val="ListParagraph"/>
        <w:numPr>
          <w:ilvl w:val="0"/>
          <w:numId w:val="1"/>
        </w:numPr>
      </w:pPr>
      <w:r w:rsidRPr="00D12FDD">
        <w:rPr>
          <w:rFonts w:ascii="Arial" w:hAnsi="Arial" w:cs="Arial"/>
          <w:sz w:val="20"/>
          <w:szCs w:val="20"/>
          <w:shd w:val="clear" w:color="auto" w:fill="FFFFFF"/>
        </w:rPr>
        <w:t xml:space="preserve">Wymant C, Ferretti L, Tsallis D, Charalambides M, Abeler-Dörner L, Bonsall D, Hinch R, Kendall M, Milsom L, Ayres M, Holmes C. </w:t>
      </w:r>
      <w:r w:rsidRPr="00D12FDD">
        <w:rPr>
          <w:rFonts w:ascii="Arial" w:hAnsi="Arial" w:cs="Arial"/>
          <w:i/>
          <w:iCs/>
          <w:sz w:val="20"/>
          <w:szCs w:val="20"/>
          <w:shd w:val="clear" w:color="auto" w:fill="FFFFFF"/>
        </w:rPr>
        <w:t>The epidemiological impact of the NHS COVID-19 app</w:t>
      </w:r>
      <w:r w:rsidRPr="00D12FDD">
        <w:rPr>
          <w:rFonts w:ascii="Arial" w:hAnsi="Arial" w:cs="Arial"/>
          <w:sz w:val="20"/>
          <w:szCs w:val="20"/>
          <w:shd w:val="clear" w:color="auto" w:fill="FFFFFF"/>
        </w:rPr>
        <w:t>. Nature. 2021 Jun;594(7863):408-12.</w:t>
      </w:r>
    </w:p>
    <w:p w14:paraId="30393829" w14:textId="31269ABE" w:rsidR="000721AE" w:rsidRPr="00D12FDD" w:rsidRDefault="000721AE" w:rsidP="000721AE">
      <w:pPr>
        <w:pStyle w:val="ListParagraph"/>
        <w:numPr>
          <w:ilvl w:val="0"/>
          <w:numId w:val="1"/>
        </w:numPr>
      </w:pPr>
      <w:r w:rsidRPr="00D12FDD">
        <w:rPr>
          <w:rFonts w:ascii="Arial" w:hAnsi="Arial" w:cs="Arial"/>
          <w:sz w:val="20"/>
          <w:szCs w:val="20"/>
          <w:shd w:val="clear" w:color="auto" w:fill="FFFFFF"/>
        </w:rPr>
        <w:t xml:space="preserve">Nakamoto I, Jiang M, Zhang J, Zhuang W, Guo Y, Jin MH, Huang Y, Tang K. </w:t>
      </w:r>
      <w:r w:rsidRPr="00D12FDD">
        <w:rPr>
          <w:rFonts w:ascii="Arial" w:hAnsi="Arial" w:cs="Arial"/>
          <w:i/>
          <w:iCs/>
          <w:sz w:val="20"/>
          <w:szCs w:val="20"/>
          <w:shd w:val="clear" w:color="auto" w:fill="FFFFFF"/>
        </w:rPr>
        <w:t>Evaluation of the design and implementation of a peer-to-peer COVID-19 contact tracing mobile app (COCOA) in Japan.</w:t>
      </w:r>
      <w:r w:rsidRPr="00D12FDD">
        <w:rPr>
          <w:rFonts w:ascii="Arial" w:hAnsi="Arial" w:cs="Arial"/>
          <w:sz w:val="20"/>
          <w:szCs w:val="20"/>
          <w:shd w:val="clear" w:color="auto" w:fill="FFFFFF"/>
        </w:rPr>
        <w:t xml:space="preserve"> JMIR mHealth and uHealth. 2020 Dec 1;8(12):</w:t>
      </w:r>
      <w:r w:rsidR="007C4982" w:rsidRPr="00D12FDD">
        <w:rPr>
          <w:rFonts w:ascii="Arial" w:hAnsi="Arial" w:cs="Arial"/>
          <w:sz w:val="20"/>
          <w:szCs w:val="20"/>
          <w:shd w:val="clear" w:color="auto" w:fill="FFFFFF"/>
        </w:rPr>
        <w:t xml:space="preserve"> </w:t>
      </w:r>
      <w:r w:rsidRPr="00D12FDD">
        <w:rPr>
          <w:rFonts w:ascii="Arial" w:hAnsi="Arial" w:cs="Arial"/>
          <w:sz w:val="20"/>
          <w:szCs w:val="20"/>
          <w:shd w:val="clear" w:color="auto" w:fill="FFFFFF"/>
        </w:rPr>
        <w:t>e22098.</w:t>
      </w:r>
    </w:p>
    <w:p w14:paraId="7D46A36C" w14:textId="47961569" w:rsidR="009D5B86" w:rsidRPr="00D12FDD" w:rsidRDefault="009D5B86" w:rsidP="000721AE">
      <w:pPr>
        <w:pStyle w:val="ListParagraph"/>
        <w:numPr>
          <w:ilvl w:val="0"/>
          <w:numId w:val="1"/>
        </w:numPr>
      </w:pPr>
      <w:r w:rsidRPr="00D12FDD">
        <w:rPr>
          <w:rFonts w:ascii="Arial" w:hAnsi="Arial" w:cs="Arial"/>
          <w:sz w:val="20"/>
          <w:szCs w:val="20"/>
          <w:shd w:val="clear" w:color="auto" w:fill="FFFFFF"/>
        </w:rPr>
        <w:t xml:space="preserve">Guinchard A. </w:t>
      </w:r>
      <w:r w:rsidRPr="00D12FDD">
        <w:rPr>
          <w:rFonts w:ascii="Arial" w:hAnsi="Arial" w:cs="Arial"/>
          <w:i/>
          <w:iCs/>
          <w:sz w:val="20"/>
          <w:szCs w:val="20"/>
          <w:shd w:val="clear" w:color="auto" w:fill="FFFFFF"/>
        </w:rPr>
        <w:t>Our digital footprint under Covid-19: should we fear the UK digital contact tracing app?.</w:t>
      </w:r>
      <w:r w:rsidRPr="00D12FDD">
        <w:rPr>
          <w:rFonts w:ascii="Arial" w:hAnsi="Arial" w:cs="Arial"/>
          <w:sz w:val="20"/>
          <w:szCs w:val="20"/>
          <w:shd w:val="clear" w:color="auto" w:fill="FFFFFF"/>
        </w:rPr>
        <w:t xml:space="preserve"> International Review of Law, Computers &amp; Technology. 2021 Jan 2;35(1):84-97.</w:t>
      </w:r>
    </w:p>
    <w:p w14:paraId="63C04179" w14:textId="65E5ECF8" w:rsidR="009D5B86" w:rsidRPr="00D12FDD" w:rsidRDefault="009D5B86" w:rsidP="000721AE">
      <w:pPr>
        <w:pStyle w:val="ListParagraph"/>
        <w:numPr>
          <w:ilvl w:val="0"/>
          <w:numId w:val="1"/>
        </w:numPr>
      </w:pPr>
      <w:r w:rsidRPr="00D12FDD">
        <w:rPr>
          <w:rFonts w:ascii="Arial" w:hAnsi="Arial" w:cs="Arial"/>
          <w:sz w:val="20"/>
          <w:szCs w:val="20"/>
          <w:shd w:val="clear" w:color="auto" w:fill="FFFFFF"/>
        </w:rPr>
        <w:t xml:space="preserve">White L, Van Basshuysen P. </w:t>
      </w:r>
      <w:r w:rsidRPr="00D12FDD">
        <w:rPr>
          <w:rFonts w:ascii="Arial" w:hAnsi="Arial" w:cs="Arial"/>
          <w:i/>
          <w:iCs/>
          <w:sz w:val="20"/>
          <w:szCs w:val="20"/>
          <w:shd w:val="clear" w:color="auto" w:fill="FFFFFF"/>
        </w:rPr>
        <w:t>Without a trace: Why did corona apps fail?.</w:t>
      </w:r>
      <w:r w:rsidRPr="00D12FDD">
        <w:rPr>
          <w:rFonts w:ascii="Arial" w:hAnsi="Arial" w:cs="Arial"/>
          <w:sz w:val="20"/>
          <w:szCs w:val="20"/>
          <w:shd w:val="clear" w:color="auto" w:fill="FFFFFF"/>
        </w:rPr>
        <w:t xml:space="preserve"> Journal of medical ethics. 2021 Dec 1;47(12):e83-.</w:t>
      </w:r>
    </w:p>
    <w:p w14:paraId="40C0D450" w14:textId="5741BD2F" w:rsidR="00214E76" w:rsidRPr="00D12FDD" w:rsidRDefault="00214E76" w:rsidP="000721AE">
      <w:pPr>
        <w:pStyle w:val="ListParagraph"/>
        <w:numPr>
          <w:ilvl w:val="0"/>
          <w:numId w:val="1"/>
        </w:numPr>
      </w:pPr>
      <w:r w:rsidRPr="00D12FDD">
        <w:rPr>
          <w:rFonts w:ascii="Arial" w:hAnsi="Arial" w:cs="Arial"/>
          <w:sz w:val="20"/>
          <w:szCs w:val="20"/>
          <w:shd w:val="clear" w:color="auto" w:fill="FFFFFF"/>
        </w:rPr>
        <w:t xml:space="preserve">Poletto C, Boëlle PY. </w:t>
      </w:r>
      <w:r w:rsidRPr="00D12FDD">
        <w:rPr>
          <w:rFonts w:ascii="Arial" w:hAnsi="Arial" w:cs="Arial"/>
          <w:i/>
          <w:iCs/>
          <w:sz w:val="20"/>
          <w:szCs w:val="20"/>
          <w:shd w:val="clear" w:color="auto" w:fill="FFFFFF"/>
        </w:rPr>
        <w:t>Learning from the initial deployment of digital contact tracing apps</w:t>
      </w:r>
      <w:r w:rsidRPr="00D12FDD">
        <w:rPr>
          <w:rFonts w:ascii="Arial" w:hAnsi="Arial" w:cs="Arial"/>
          <w:sz w:val="20"/>
          <w:szCs w:val="20"/>
          <w:shd w:val="clear" w:color="auto" w:fill="FFFFFF"/>
        </w:rPr>
        <w:t>. The Lancet Public Health. 2022 Feb 4.</w:t>
      </w:r>
    </w:p>
    <w:p w14:paraId="10038A18" w14:textId="0CE75FB9" w:rsidR="00214E76" w:rsidRPr="00D12FDD" w:rsidRDefault="00214E76" w:rsidP="000721AE">
      <w:pPr>
        <w:pStyle w:val="ListParagraph"/>
        <w:numPr>
          <w:ilvl w:val="0"/>
          <w:numId w:val="1"/>
        </w:numPr>
      </w:pPr>
      <w:r w:rsidRPr="00D12FDD">
        <w:rPr>
          <w:rFonts w:ascii="Arial" w:hAnsi="Arial" w:cs="Arial"/>
          <w:sz w:val="20"/>
          <w:szCs w:val="20"/>
          <w:shd w:val="clear" w:color="auto" w:fill="FFFFFF"/>
        </w:rPr>
        <w:t xml:space="preserve">Walrave M, Waeterloos C, Ponnet K. Reasons for Nonuse, </w:t>
      </w:r>
      <w:r w:rsidRPr="00D12FDD">
        <w:rPr>
          <w:rFonts w:ascii="Arial" w:hAnsi="Arial" w:cs="Arial"/>
          <w:i/>
          <w:iCs/>
          <w:sz w:val="20"/>
          <w:szCs w:val="20"/>
          <w:shd w:val="clear" w:color="auto" w:fill="FFFFFF"/>
        </w:rPr>
        <w:t>Discontinuation of Use, and Acceptance of Additional Functionalities of a COVID-19 Contact Tracing App</w:t>
      </w:r>
      <w:r w:rsidRPr="00D12FDD">
        <w:rPr>
          <w:rFonts w:ascii="Arial" w:hAnsi="Arial" w:cs="Arial"/>
          <w:sz w:val="20"/>
          <w:szCs w:val="20"/>
          <w:shd w:val="clear" w:color="auto" w:fill="FFFFFF"/>
        </w:rPr>
        <w:t>: Cross-sectional Survey Study. JMIR Public Health and Surveillance. 2022 Jan 14;8(1):e22113.</w:t>
      </w:r>
    </w:p>
    <w:p w14:paraId="234FE39F" w14:textId="06208F97" w:rsidR="00214E76" w:rsidRPr="00D12FDD" w:rsidRDefault="00214E76" w:rsidP="000721AE">
      <w:pPr>
        <w:pStyle w:val="ListParagraph"/>
        <w:numPr>
          <w:ilvl w:val="0"/>
          <w:numId w:val="1"/>
        </w:numPr>
      </w:pPr>
      <w:r w:rsidRPr="00D12FDD">
        <w:rPr>
          <w:rFonts w:ascii="Arial" w:hAnsi="Arial" w:cs="Arial"/>
          <w:sz w:val="20"/>
          <w:szCs w:val="20"/>
          <w:shd w:val="clear" w:color="auto" w:fill="FFFFFF"/>
        </w:rPr>
        <w:t xml:space="preserve">Panchal M, Singh S, Rodriguez-Villegas E. </w:t>
      </w:r>
      <w:r w:rsidRPr="00D12FDD">
        <w:rPr>
          <w:rFonts w:ascii="Arial" w:hAnsi="Arial" w:cs="Arial"/>
          <w:i/>
          <w:iCs/>
          <w:sz w:val="20"/>
          <w:szCs w:val="20"/>
          <w:shd w:val="clear" w:color="auto" w:fill="FFFFFF"/>
        </w:rPr>
        <w:t>Analysis of the factors affecting the adoption and compliance of the NHS COVID-19 mobile application</w:t>
      </w:r>
      <w:r w:rsidRPr="00D12FDD">
        <w:rPr>
          <w:rFonts w:ascii="Arial" w:hAnsi="Arial" w:cs="Arial"/>
          <w:sz w:val="20"/>
          <w:szCs w:val="20"/>
          <w:shd w:val="clear" w:color="auto" w:fill="FFFFFF"/>
        </w:rPr>
        <w:t>: a national cross-sectional survey in England. BMJ open. 2021 Aug 1;11(8):e053395.</w:t>
      </w:r>
    </w:p>
    <w:p w14:paraId="2A314948" w14:textId="6A395E1D" w:rsidR="00214E76" w:rsidRPr="00D12FDD" w:rsidRDefault="00214E76" w:rsidP="000721AE">
      <w:pPr>
        <w:pStyle w:val="ListParagraph"/>
        <w:numPr>
          <w:ilvl w:val="0"/>
          <w:numId w:val="1"/>
        </w:numPr>
      </w:pPr>
      <w:r w:rsidRPr="00D12FDD">
        <w:rPr>
          <w:rFonts w:ascii="Arial" w:hAnsi="Arial" w:cs="Arial"/>
          <w:sz w:val="20"/>
          <w:szCs w:val="20"/>
          <w:shd w:val="clear" w:color="auto" w:fill="FFFFFF"/>
        </w:rPr>
        <w:t xml:space="preserve">Dowthwaite L, Fischer J, Vallejos EP, Portillo V, Nichele E, Goulden M, McAuley D. </w:t>
      </w:r>
      <w:r w:rsidRPr="00D12FDD">
        <w:rPr>
          <w:rFonts w:ascii="Arial" w:hAnsi="Arial" w:cs="Arial"/>
          <w:i/>
          <w:iCs/>
          <w:sz w:val="20"/>
          <w:szCs w:val="20"/>
          <w:shd w:val="clear" w:color="auto" w:fill="FFFFFF"/>
        </w:rPr>
        <w:t>Public Adoption of and Trust in the NHS COVID-19 Contact Tracing App in the United Kingdom</w:t>
      </w:r>
      <w:r w:rsidRPr="00D12FDD">
        <w:rPr>
          <w:rFonts w:ascii="Arial" w:hAnsi="Arial" w:cs="Arial"/>
          <w:sz w:val="20"/>
          <w:szCs w:val="20"/>
          <w:shd w:val="clear" w:color="auto" w:fill="FFFFFF"/>
        </w:rPr>
        <w:t>: Quantitative Online Survey Study. Journal of medical Internet research. 2021 Sep 17;23(9):e29085.</w:t>
      </w:r>
    </w:p>
    <w:p w14:paraId="35DC7F30" w14:textId="185D5FB2" w:rsidR="00214E76" w:rsidRPr="00D12FDD" w:rsidRDefault="00214E76" w:rsidP="000721AE">
      <w:pPr>
        <w:pStyle w:val="ListParagraph"/>
        <w:numPr>
          <w:ilvl w:val="0"/>
          <w:numId w:val="1"/>
        </w:numPr>
      </w:pPr>
      <w:r w:rsidRPr="00D12FDD">
        <w:rPr>
          <w:rFonts w:ascii="Arial" w:hAnsi="Arial" w:cs="Arial"/>
          <w:sz w:val="20"/>
          <w:szCs w:val="20"/>
          <w:shd w:val="clear" w:color="auto" w:fill="FFFFFF"/>
        </w:rPr>
        <w:t xml:space="preserve">Dowthwaite L, Fischer J, Vallejos EP, Portillo V, Nichele E, Goulden M, McAuley D. </w:t>
      </w:r>
      <w:r w:rsidRPr="00D12FDD">
        <w:rPr>
          <w:rFonts w:ascii="Arial" w:hAnsi="Arial" w:cs="Arial"/>
          <w:i/>
          <w:iCs/>
          <w:sz w:val="20"/>
          <w:szCs w:val="20"/>
          <w:shd w:val="clear" w:color="auto" w:fill="FFFFFF"/>
        </w:rPr>
        <w:t>Public Adoption of and Trust in the NHS COVID-19 Contact Tracing App in the United Kingdom: Quantitative Online Survey Study</w:t>
      </w:r>
      <w:r w:rsidRPr="00D12FDD">
        <w:rPr>
          <w:rFonts w:ascii="Arial" w:hAnsi="Arial" w:cs="Arial"/>
          <w:sz w:val="20"/>
          <w:szCs w:val="20"/>
          <w:shd w:val="clear" w:color="auto" w:fill="FFFFFF"/>
        </w:rPr>
        <w:t>. Journal of medical Internet research. 2021 Sep 17;23(9):e29085.</w:t>
      </w:r>
    </w:p>
    <w:p w14:paraId="512CF6B2" w14:textId="01DB660C" w:rsidR="00D30A55" w:rsidRPr="00D12FDD" w:rsidRDefault="00D30A55" w:rsidP="000721AE">
      <w:pPr>
        <w:pStyle w:val="ListParagraph"/>
        <w:numPr>
          <w:ilvl w:val="0"/>
          <w:numId w:val="1"/>
        </w:numPr>
      </w:pPr>
      <w:r w:rsidRPr="00D12FDD">
        <w:rPr>
          <w:rFonts w:ascii="Arial" w:hAnsi="Arial" w:cs="Arial"/>
          <w:sz w:val="20"/>
          <w:szCs w:val="20"/>
          <w:shd w:val="clear" w:color="auto" w:fill="FFFFFF"/>
        </w:rPr>
        <w:t xml:space="preserve">Sherlock K, Conner M. Patterns of ecstasy use amongst </w:t>
      </w:r>
      <w:r w:rsidRPr="00D12FDD">
        <w:rPr>
          <w:rFonts w:ascii="Arial" w:hAnsi="Arial" w:cs="Arial"/>
          <w:i/>
          <w:iCs/>
          <w:sz w:val="20"/>
          <w:szCs w:val="20"/>
          <w:shd w:val="clear" w:color="auto" w:fill="FFFFFF"/>
        </w:rPr>
        <w:t>club-goers on the UK ‘dance scene’. International Journal of Drug Policy</w:t>
      </w:r>
      <w:r w:rsidRPr="00D12FDD">
        <w:rPr>
          <w:rFonts w:ascii="Arial" w:hAnsi="Arial" w:cs="Arial"/>
          <w:sz w:val="20"/>
          <w:szCs w:val="20"/>
          <w:shd w:val="clear" w:color="auto" w:fill="FFFFFF"/>
        </w:rPr>
        <w:t>. 1999 Apr 1;10(2):117-29.</w:t>
      </w:r>
    </w:p>
    <w:p w14:paraId="58E68A9D" w14:textId="6EE5D245" w:rsidR="00D30A55" w:rsidRPr="00D12FDD" w:rsidRDefault="00D30A55" w:rsidP="000721AE">
      <w:pPr>
        <w:pStyle w:val="ListParagraph"/>
        <w:numPr>
          <w:ilvl w:val="0"/>
          <w:numId w:val="1"/>
        </w:numPr>
      </w:pPr>
      <w:r w:rsidRPr="00D12FDD">
        <w:rPr>
          <w:rFonts w:ascii="Arial" w:hAnsi="Arial" w:cs="Arial"/>
          <w:sz w:val="20"/>
          <w:szCs w:val="20"/>
          <w:shd w:val="clear" w:color="auto" w:fill="FFFFFF"/>
        </w:rPr>
        <w:t>Buttram ME, Pagano ME, Kurtz SP</w:t>
      </w:r>
      <w:r w:rsidRPr="00D12FDD">
        <w:rPr>
          <w:rFonts w:ascii="Arial" w:hAnsi="Arial" w:cs="Arial"/>
          <w:i/>
          <w:iCs/>
          <w:sz w:val="20"/>
          <w:szCs w:val="20"/>
          <w:shd w:val="clear" w:color="auto" w:fill="FFFFFF"/>
        </w:rPr>
        <w:t>. Frequency of group sex participation and risk for HIV/STI among young adult nightclub scene participants</w:t>
      </w:r>
      <w:r w:rsidRPr="00D12FDD">
        <w:rPr>
          <w:rFonts w:ascii="Arial" w:hAnsi="Arial" w:cs="Arial"/>
          <w:sz w:val="20"/>
          <w:szCs w:val="20"/>
          <w:shd w:val="clear" w:color="auto" w:fill="FFFFFF"/>
        </w:rPr>
        <w:t>. International Journal of Sexual Health. 2018 Jan 2;30(1):12-9.</w:t>
      </w:r>
    </w:p>
    <w:p w14:paraId="01C095A9" w14:textId="0AFB89DF" w:rsidR="007801F5" w:rsidRPr="00D12FDD" w:rsidRDefault="00107EEC" w:rsidP="000721AE">
      <w:pPr>
        <w:pStyle w:val="ListParagraph"/>
        <w:numPr>
          <w:ilvl w:val="0"/>
          <w:numId w:val="1"/>
        </w:numPr>
      </w:pPr>
      <w:r w:rsidRPr="00D12FDD">
        <w:rPr>
          <w:rFonts w:ascii="Arial" w:hAnsi="Arial" w:cs="Arial"/>
          <w:sz w:val="20"/>
          <w:szCs w:val="20"/>
          <w:shd w:val="clear" w:color="auto" w:fill="FFFFFF"/>
        </w:rPr>
        <w:t>King T</w:t>
      </w:r>
      <w:r w:rsidRPr="00D12FDD">
        <w:rPr>
          <w:rFonts w:ascii="Arial" w:hAnsi="Arial" w:cs="Arial"/>
          <w:i/>
          <w:iCs/>
          <w:sz w:val="20"/>
          <w:szCs w:val="20"/>
          <w:shd w:val="clear" w:color="auto" w:fill="FFFFFF"/>
        </w:rPr>
        <w:t>. Streaming from stage to screen: its place in the cultural marketplace and the implication for UK arts policy</w:t>
      </w:r>
      <w:r w:rsidRPr="00D12FDD">
        <w:rPr>
          <w:rFonts w:ascii="Arial" w:hAnsi="Arial" w:cs="Arial"/>
          <w:sz w:val="20"/>
          <w:szCs w:val="20"/>
          <w:shd w:val="clear" w:color="auto" w:fill="FFFFFF"/>
        </w:rPr>
        <w:t>. International Journal of Cultural Policy. 2018 Mar 4;24(2):220-35.</w:t>
      </w:r>
    </w:p>
    <w:p w14:paraId="6EE4F624" w14:textId="0F13820D" w:rsidR="00107EEC" w:rsidRPr="00D12FDD" w:rsidRDefault="00A07944" w:rsidP="000721AE">
      <w:pPr>
        <w:pStyle w:val="ListParagraph"/>
        <w:numPr>
          <w:ilvl w:val="0"/>
          <w:numId w:val="1"/>
        </w:numPr>
      </w:pPr>
      <w:r w:rsidRPr="00D12FDD">
        <w:rPr>
          <w:rFonts w:ascii="Arial" w:hAnsi="Arial" w:cs="Arial"/>
          <w:sz w:val="20"/>
          <w:szCs w:val="20"/>
          <w:shd w:val="clear" w:color="auto" w:fill="FFFFFF"/>
        </w:rPr>
        <w:t xml:space="preserve">Dawson DL, Golijani-Moghaddam N. </w:t>
      </w:r>
      <w:r w:rsidRPr="00D12FDD">
        <w:rPr>
          <w:rFonts w:ascii="Arial" w:hAnsi="Arial" w:cs="Arial"/>
          <w:i/>
          <w:iCs/>
          <w:sz w:val="20"/>
          <w:szCs w:val="20"/>
          <w:shd w:val="clear" w:color="auto" w:fill="FFFFFF"/>
        </w:rPr>
        <w:t>COVID-19: Psychological flexibility, coping, mental health, and wellbeing in the UK during the pandemic</w:t>
      </w:r>
      <w:r w:rsidRPr="00D12FDD">
        <w:rPr>
          <w:rFonts w:ascii="Arial" w:hAnsi="Arial" w:cs="Arial"/>
          <w:sz w:val="20"/>
          <w:szCs w:val="20"/>
          <w:shd w:val="clear" w:color="auto" w:fill="FFFFFF"/>
        </w:rPr>
        <w:t xml:space="preserve">. Journal of contextual </w:t>
      </w:r>
      <w:r w:rsidR="007C4982" w:rsidRPr="00D12FDD">
        <w:rPr>
          <w:rFonts w:ascii="Arial" w:hAnsi="Arial" w:cs="Arial"/>
          <w:sz w:val="20"/>
          <w:szCs w:val="20"/>
          <w:shd w:val="clear" w:color="auto" w:fill="FFFFFF"/>
        </w:rPr>
        <w:t>behavioural</w:t>
      </w:r>
      <w:r w:rsidRPr="00D12FDD">
        <w:rPr>
          <w:rFonts w:ascii="Arial" w:hAnsi="Arial" w:cs="Arial"/>
          <w:sz w:val="20"/>
          <w:szCs w:val="20"/>
          <w:shd w:val="clear" w:color="auto" w:fill="FFFFFF"/>
        </w:rPr>
        <w:t xml:space="preserve"> science. 2020 Jul 1;17:126-34.</w:t>
      </w:r>
    </w:p>
    <w:p w14:paraId="14117CAD" w14:textId="473BBB9C" w:rsidR="007F49E5" w:rsidRPr="00D12FDD" w:rsidRDefault="007F49E5" w:rsidP="000721AE">
      <w:pPr>
        <w:pStyle w:val="ListParagraph"/>
        <w:numPr>
          <w:ilvl w:val="0"/>
          <w:numId w:val="1"/>
        </w:numPr>
      </w:pPr>
      <w:r w:rsidRPr="00D12FDD">
        <w:rPr>
          <w:rFonts w:ascii="Arial" w:hAnsi="Arial" w:cs="Arial"/>
          <w:sz w:val="20"/>
          <w:szCs w:val="20"/>
          <w:shd w:val="clear" w:color="auto" w:fill="FFFFFF"/>
        </w:rPr>
        <w:t xml:space="preserve">Purdon A. </w:t>
      </w:r>
      <w:r w:rsidRPr="00D12FDD">
        <w:rPr>
          <w:rFonts w:ascii="Arial" w:hAnsi="Arial" w:cs="Arial"/>
          <w:i/>
          <w:iCs/>
          <w:sz w:val="20"/>
          <w:szCs w:val="20"/>
          <w:shd w:val="clear" w:color="auto" w:fill="FFFFFF"/>
        </w:rPr>
        <w:t>A comparison of free time activity choices of third culture kids in Albania and children in the UK</w:t>
      </w:r>
      <w:r w:rsidRPr="00D12FDD">
        <w:rPr>
          <w:rFonts w:ascii="Arial" w:hAnsi="Arial" w:cs="Arial"/>
          <w:sz w:val="20"/>
          <w:szCs w:val="20"/>
          <w:shd w:val="clear" w:color="auto" w:fill="FFFFFF"/>
        </w:rPr>
        <w:t>. Education 3-13. 2018 Feb 23;46(2):218-36.</w:t>
      </w:r>
    </w:p>
    <w:p w14:paraId="59993D71" w14:textId="7AF68D54" w:rsidR="00466E2F" w:rsidRPr="00D12FDD" w:rsidRDefault="00466E2F" w:rsidP="000721AE">
      <w:pPr>
        <w:pStyle w:val="ListParagraph"/>
        <w:numPr>
          <w:ilvl w:val="0"/>
          <w:numId w:val="1"/>
        </w:numPr>
      </w:pPr>
      <w:r w:rsidRPr="00D12FDD">
        <w:rPr>
          <w:rFonts w:ascii="Arial" w:hAnsi="Arial" w:cs="Arial"/>
          <w:sz w:val="20"/>
          <w:szCs w:val="20"/>
          <w:shd w:val="clear" w:color="auto" w:fill="FFFFFF"/>
        </w:rPr>
        <w:t xml:space="preserve">Mota J, Esculcas C. </w:t>
      </w:r>
      <w:r w:rsidRPr="00D12FDD">
        <w:rPr>
          <w:rFonts w:ascii="Arial" w:hAnsi="Arial" w:cs="Arial"/>
          <w:i/>
          <w:iCs/>
          <w:sz w:val="20"/>
          <w:szCs w:val="20"/>
          <w:shd w:val="clear" w:color="auto" w:fill="FFFFFF"/>
        </w:rPr>
        <w:t>Leisure-time physical activity behavior: structured and unstructured choices according to sex, age, and level of physical activity</w:t>
      </w:r>
      <w:r w:rsidRPr="00D12FDD">
        <w:rPr>
          <w:rFonts w:ascii="Arial" w:hAnsi="Arial" w:cs="Arial"/>
          <w:sz w:val="20"/>
          <w:szCs w:val="20"/>
          <w:shd w:val="clear" w:color="auto" w:fill="FFFFFF"/>
        </w:rPr>
        <w:t>. International journal of behavioral medicine. 2002 Jun;9(2):111-21.</w:t>
      </w:r>
    </w:p>
    <w:p w14:paraId="5F98CD8B" w14:textId="575811F7" w:rsidR="00516B0E" w:rsidRPr="00D12FDD" w:rsidRDefault="00120EC0" w:rsidP="000721AE">
      <w:pPr>
        <w:pStyle w:val="ListParagraph"/>
        <w:numPr>
          <w:ilvl w:val="0"/>
          <w:numId w:val="1"/>
        </w:numPr>
      </w:pPr>
      <w:r w:rsidRPr="00D12FDD">
        <w:rPr>
          <w:rFonts w:ascii="Arial" w:hAnsi="Arial" w:cs="Arial"/>
          <w:sz w:val="20"/>
          <w:szCs w:val="20"/>
          <w:shd w:val="clear" w:color="auto" w:fill="FFFFFF"/>
        </w:rPr>
        <w:t xml:space="preserve">Minx J, Baiocchi G, Wiedmann T, Barrett J, Creutzig F, Feng K, Förster M, Pichler PP, Weisz H, Hubacek K. </w:t>
      </w:r>
      <w:r w:rsidRPr="00D12FDD">
        <w:rPr>
          <w:rFonts w:ascii="Arial" w:hAnsi="Arial" w:cs="Arial"/>
          <w:i/>
          <w:iCs/>
          <w:sz w:val="20"/>
          <w:szCs w:val="20"/>
          <w:shd w:val="clear" w:color="auto" w:fill="FFFFFF"/>
        </w:rPr>
        <w:t>Carbon footprints of cities and other human settlements in the UK</w:t>
      </w:r>
      <w:r w:rsidRPr="00D12FDD">
        <w:rPr>
          <w:rFonts w:ascii="Arial" w:hAnsi="Arial" w:cs="Arial"/>
          <w:sz w:val="20"/>
          <w:szCs w:val="20"/>
          <w:shd w:val="clear" w:color="auto" w:fill="FFFFFF"/>
        </w:rPr>
        <w:t>. Environmental Research Letters. 2013 Sep 10;8(3):035039.</w:t>
      </w:r>
    </w:p>
    <w:p w14:paraId="68B60A45" w14:textId="39ADFA0B" w:rsidR="00227D6F" w:rsidRPr="00D12FDD" w:rsidRDefault="00227D6F" w:rsidP="000721AE">
      <w:pPr>
        <w:pStyle w:val="ListParagraph"/>
        <w:numPr>
          <w:ilvl w:val="0"/>
          <w:numId w:val="1"/>
        </w:numPr>
      </w:pPr>
      <w:r w:rsidRPr="00D12FDD">
        <w:rPr>
          <w:rFonts w:ascii="Arial" w:hAnsi="Arial" w:cs="Arial"/>
          <w:sz w:val="20"/>
          <w:szCs w:val="20"/>
          <w:shd w:val="clear" w:color="auto" w:fill="FFFFFF"/>
        </w:rPr>
        <w:t xml:space="preserve">Cheng V. </w:t>
      </w:r>
      <w:r w:rsidRPr="00D12FDD">
        <w:rPr>
          <w:rFonts w:ascii="Arial" w:hAnsi="Arial" w:cs="Arial"/>
          <w:i/>
          <w:iCs/>
          <w:sz w:val="20"/>
          <w:szCs w:val="20"/>
          <w:shd w:val="clear" w:color="auto" w:fill="FFFFFF"/>
        </w:rPr>
        <w:t>Understanding density and high density</w:t>
      </w:r>
      <w:r w:rsidRPr="00D12FDD">
        <w:rPr>
          <w:rFonts w:ascii="Arial" w:hAnsi="Arial" w:cs="Arial"/>
          <w:sz w:val="20"/>
          <w:szCs w:val="20"/>
          <w:shd w:val="clear" w:color="auto" w:fill="FFFFFF"/>
        </w:rPr>
        <w:t>. InDesigning high-density cities 2009 Dec 16 (pp. 37-51). Routledge.</w:t>
      </w:r>
    </w:p>
    <w:p w14:paraId="625E4864" w14:textId="299A58F8" w:rsidR="001A47A7" w:rsidRPr="00D12FDD" w:rsidRDefault="001A47A7" w:rsidP="000721AE">
      <w:pPr>
        <w:pStyle w:val="ListParagraph"/>
        <w:numPr>
          <w:ilvl w:val="0"/>
          <w:numId w:val="1"/>
        </w:numPr>
      </w:pPr>
      <w:r w:rsidRPr="00D12FDD">
        <w:rPr>
          <w:rFonts w:ascii="Arial" w:hAnsi="Arial" w:cs="Arial"/>
          <w:sz w:val="20"/>
          <w:szCs w:val="20"/>
          <w:shd w:val="clear" w:color="auto" w:fill="FFFFFF"/>
        </w:rPr>
        <w:t>Lane CA, Lyle HF. O</w:t>
      </w:r>
      <w:r w:rsidRPr="00D12FDD">
        <w:rPr>
          <w:rFonts w:ascii="Arial" w:hAnsi="Arial" w:cs="Arial"/>
          <w:i/>
          <w:iCs/>
          <w:sz w:val="20"/>
          <w:szCs w:val="20"/>
          <w:shd w:val="clear" w:color="auto" w:fill="FFFFFF"/>
        </w:rPr>
        <w:t>bstacles and supports related to the use of educational technologies: The role of technological expertise, gender, and age. Journal of Computing in Higher Education</w:t>
      </w:r>
      <w:r w:rsidRPr="00D12FDD">
        <w:rPr>
          <w:rFonts w:ascii="Arial" w:hAnsi="Arial" w:cs="Arial"/>
          <w:sz w:val="20"/>
          <w:szCs w:val="20"/>
          <w:shd w:val="clear" w:color="auto" w:fill="FFFFFF"/>
        </w:rPr>
        <w:t>. 2011 Apr;23(1):38-59.</w:t>
      </w:r>
    </w:p>
    <w:p w14:paraId="2153E741" w14:textId="38382E1B" w:rsidR="00E703AE" w:rsidRPr="00D12FDD" w:rsidRDefault="00E703AE" w:rsidP="000721AE">
      <w:pPr>
        <w:pStyle w:val="ListParagraph"/>
        <w:numPr>
          <w:ilvl w:val="0"/>
          <w:numId w:val="1"/>
        </w:numPr>
      </w:pPr>
      <w:r w:rsidRPr="00D12FDD">
        <w:rPr>
          <w:rFonts w:ascii="Arial" w:hAnsi="Arial" w:cs="Arial"/>
          <w:sz w:val="20"/>
          <w:szCs w:val="20"/>
          <w:shd w:val="clear" w:color="auto" w:fill="FFFFFF"/>
        </w:rPr>
        <w:t xml:space="preserve">Hanson VL. </w:t>
      </w:r>
      <w:r w:rsidRPr="00D12FDD">
        <w:rPr>
          <w:rFonts w:ascii="Arial" w:hAnsi="Arial" w:cs="Arial"/>
          <w:i/>
          <w:iCs/>
          <w:sz w:val="20"/>
          <w:szCs w:val="20"/>
          <w:shd w:val="clear" w:color="auto" w:fill="FFFFFF"/>
        </w:rPr>
        <w:t>Technology skill and age: what will be the same 20 years from now?.</w:t>
      </w:r>
      <w:r w:rsidRPr="00D12FDD">
        <w:rPr>
          <w:rFonts w:ascii="Arial" w:hAnsi="Arial" w:cs="Arial"/>
          <w:sz w:val="20"/>
          <w:szCs w:val="20"/>
          <w:shd w:val="clear" w:color="auto" w:fill="FFFFFF"/>
        </w:rPr>
        <w:t xml:space="preserve"> Universal Access in the Information Society. 2011 Nov;10(4):443-52.</w:t>
      </w:r>
    </w:p>
    <w:p w14:paraId="5E4D93A1" w14:textId="36D5DD6C" w:rsidR="0061344D" w:rsidRPr="00D12FDD" w:rsidRDefault="0061344D" w:rsidP="000721AE">
      <w:pPr>
        <w:pStyle w:val="ListParagraph"/>
        <w:numPr>
          <w:ilvl w:val="0"/>
          <w:numId w:val="1"/>
        </w:numPr>
      </w:pPr>
      <w:r w:rsidRPr="00D12FDD">
        <w:rPr>
          <w:rFonts w:ascii="Arial" w:hAnsi="Arial" w:cs="Arial"/>
          <w:sz w:val="20"/>
          <w:szCs w:val="20"/>
          <w:shd w:val="clear" w:color="auto" w:fill="FFFFFF"/>
        </w:rPr>
        <w:t xml:space="preserve">Subramanian KR. </w:t>
      </w:r>
      <w:r w:rsidRPr="00D12FDD">
        <w:rPr>
          <w:rFonts w:ascii="Arial" w:hAnsi="Arial" w:cs="Arial"/>
          <w:i/>
          <w:iCs/>
          <w:sz w:val="20"/>
          <w:szCs w:val="20"/>
          <w:shd w:val="clear" w:color="auto" w:fill="FFFFFF"/>
        </w:rPr>
        <w:t>Product promotion in an era of shrinking attention span</w:t>
      </w:r>
      <w:r w:rsidRPr="00D12FDD">
        <w:rPr>
          <w:rFonts w:ascii="Arial" w:hAnsi="Arial" w:cs="Arial"/>
          <w:sz w:val="20"/>
          <w:szCs w:val="20"/>
          <w:shd w:val="clear" w:color="auto" w:fill="FFFFFF"/>
        </w:rPr>
        <w:t>. International Journal of Engineering and Management Research (IJEMR). 2017;7(2):85-91.</w:t>
      </w:r>
    </w:p>
    <w:p w14:paraId="459C38D3" w14:textId="52D82FA0" w:rsidR="00816BFD" w:rsidRPr="00D12FDD" w:rsidRDefault="00816BFD" w:rsidP="000721AE">
      <w:pPr>
        <w:pStyle w:val="ListParagraph"/>
        <w:numPr>
          <w:ilvl w:val="0"/>
          <w:numId w:val="1"/>
        </w:numPr>
      </w:pPr>
      <w:r w:rsidRPr="00D12FDD">
        <w:rPr>
          <w:rFonts w:ascii="Arial" w:hAnsi="Arial" w:cs="Arial"/>
          <w:sz w:val="20"/>
          <w:szCs w:val="20"/>
          <w:shd w:val="clear" w:color="auto" w:fill="FFFFFF"/>
        </w:rPr>
        <w:t xml:space="preserve">Valle CG, Nezami BT, Tate DF. </w:t>
      </w:r>
      <w:r w:rsidRPr="00D12FDD">
        <w:rPr>
          <w:rFonts w:ascii="Arial" w:hAnsi="Arial" w:cs="Arial"/>
          <w:i/>
          <w:iCs/>
          <w:sz w:val="20"/>
          <w:szCs w:val="20"/>
          <w:shd w:val="clear" w:color="auto" w:fill="FFFFFF"/>
        </w:rPr>
        <w:t>Designing in-app messages to nudge behavior change: lessons learned from a weight management app for young adults</w:t>
      </w:r>
      <w:r w:rsidRPr="00D12FDD">
        <w:rPr>
          <w:rFonts w:ascii="Arial" w:hAnsi="Arial" w:cs="Arial"/>
          <w:sz w:val="20"/>
          <w:szCs w:val="20"/>
          <w:shd w:val="clear" w:color="auto" w:fill="FFFFFF"/>
        </w:rPr>
        <w:t>. Organizational Behavior and Human Decision Processes. 2020 Nov 1;161:95-101.</w:t>
      </w:r>
    </w:p>
    <w:p w14:paraId="4AA7ECA9" w14:textId="03BB4FF0" w:rsidR="00DC5681" w:rsidRPr="00D12FDD" w:rsidRDefault="00DC5681" w:rsidP="000721AE">
      <w:pPr>
        <w:pStyle w:val="ListParagraph"/>
        <w:numPr>
          <w:ilvl w:val="0"/>
          <w:numId w:val="1"/>
        </w:numPr>
      </w:pPr>
      <w:r w:rsidRPr="00D12FDD">
        <w:rPr>
          <w:rFonts w:ascii="Arial" w:hAnsi="Arial" w:cs="Arial"/>
          <w:sz w:val="20"/>
          <w:szCs w:val="20"/>
          <w:shd w:val="clear" w:color="auto" w:fill="FFFFFF"/>
        </w:rPr>
        <w:t xml:space="preserve">Annett J, Stanton NA, editors. </w:t>
      </w:r>
      <w:r w:rsidRPr="00D12FDD">
        <w:rPr>
          <w:rFonts w:ascii="Arial" w:hAnsi="Arial" w:cs="Arial"/>
          <w:i/>
          <w:iCs/>
          <w:sz w:val="20"/>
          <w:szCs w:val="20"/>
          <w:shd w:val="clear" w:color="auto" w:fill="FFFFFF"/>
        </w:rPr>
        <w:t>Task analysis</w:t>
      </w:r>
      <w:r w:rsidRPr="00D12FDD">
        <w:rPr>
          <w:rFonts w:ascii="Arial" w:hAnsi="Arial" w:cs="Arial"/>
          <w:sz w:val="20"/>
          <w:szCs w:val="20"/>
          <w:shd w:val="clear" w:color="auto" w:fill="FFFFFF"/>
        </w:rPr>
        <w:t>. CRC Press; 2000 Jun 5.</w:t>
      </w:r>
    </w:p>
    <w:p w14:paraId="43F65246" w14:textId="740E1A7F" w:rsidR="00B578CE" w:rsidRPr="00D12FDD" w:rsidRDefault="00B578CE" w:rsidP="000721AE">
      <w:pPr>
        <w:pStyle w:val="ListParagraph"/>
        <w:numPr>
          <w:ilvl w:val="0"/>
          <w:numId w:val="1"/>
        </w:numPr>
      </w:pPr>
      <w:r w:rsidRPr="00D12FDD">
        <w:rPr>
          <w:rFonts w:ascii="Arial" w:hAnsi="Arial" w:cs="Arial"/>
          <w:sz w:val="20"/>
          <w:szCs w:val="20"/>
          <w:shd w:val="clear" w:color="auto" w:fill="FFFFFF"/>
        </w:rPr>
        <w:t xml:space="preserve">Schraagen JM, Chipman SF, Shalin VL, editors. </w:t>
      </w:r>
      <w:r w:rsidRPr="00D12FDD">
        <w:rPr>
          <w:rFonts w:ascii="Arial" w:hAnsi="Arial" w:cs="Arial"/>
          <w:i/>
          <w:iCs/>
          <w:sz w:val="20"/>
          <w:szCs w:val="20"/>
          <w:shd w:val="clear" w:color="auto" w:fill="FFFFFF"/>
        </w:rPr>
        <w:t>Cognitive task analysis</w:t>
      </w:r>
      <w:r w:rsidRPr="00D12FDD">
        <w:rPr>
          <w:rFonts w:ascii="Arial" w:hAnsi="Arial" w:cs="Arial"/>
          <w:sz w:val="20"/>
          <w:szCs w:val="20"/>
          <w:shd w:val="clear" w:color="auto" w:fill="FFFFFF"/>
        </w:rPr>
        <w:t>. Psychology Press; 2000.</w:t>
      </w:r>
    </w:p>
    <w:p w14:paraId="5C1B7CBC" w14:textId="72C9C80A" w:rsidR="00B578CE" w:rsidRPr="00D12FDD" w:rsidRDefault="00B578CE" w:rsidP="000721AE">
      <w:pPr>
        <w:pStyle w:val="ListParagraph"/>
        <w:numPr>
          <w:ilvl w:val="0"/>
          <w:numId w:val="1"/>
        </w:numPr>
      </w:pPr>
      <w:r w:rsidRPr="00D12FDD">
        <w:rPr>
          <w:rFonts w:ascii="Arial" w:hAnsi="Arial" w:cs="Arial"/>
          <w:sz w:val="20"/>
          <w:szCs w:val="20"/>
          <w:shd w:val="clear" w:color="auto" w:fill="FFFFFF"/>
        </w:rPr>
        <w:t xml:space="preserve">Annett J. </w:t>
      </w:r>
      <w:r w:rsidRPr="00D12FDD">
        <w:rPr>
          <w:rFonts w:ascii="Arial" w:hAnsi="Arial" w:cs="Arial"/>
          <w:i/>
          <w:iCs/>
          <w:sz w:val="20"/>
          <w:szCs w:val="20"/>
          <w:shd w:val="clear" w:color="auto" w:fill="FFFFFF"/>
        </w:rPr>
        <w:t>Hierarchical task analysis</w:t>
      </w:r>
      <w:r w:rsidRPr="00D12FDD">
        <w:rPr>
          <w:rFonts w:ascii="Arial" w:hAnsi="Arial" w:cs="Arial"/>
          <w:sz w:val="20"/>
          <w:szCs w:val="20"/>
          <w:shd w:val="clear" w:color="auto" w:fill="FFFFFF"/>
        </w:rPr>
        <w:t>. Handbook of cognitive task design. 2003 Jun 1;2:17-35.</w:t>
      </w:r>
    </w:p>
    <w:p w14:paraId="420C0F42" w14:textId="5B79A1EA" w:rsidR="0080733B" w:rsidRPr="00D12FDD" w:rsidRDefault="0080733B" w:rsidP="000721AE">
      <w:pPr>
        <w:pStyle w:val="ListParagraph"/>
        <w:numPr>
          <w:ilvl w:val="0"/>
          <w:numId w:val="1"/>
        </w:numPr>
      </w:pPr>
      <w:r w:rsidRPr="00D12FDD">
        <w:rPr>
          <w:rFonts w:ascii="Arial" w:hAnsi="Arial" w:cs="Arial"/>
          <w:sz w:val="20"/>
          <w:szCs w:val="20"/>
          <w:shd w:val="clear" w:color="auto" w:fill="FFFFFF"/>
        </w:rPr>
        <w:t xml:space="preserve">Van Gelder MM, Bretveld RW, Roeleveld N. </w:t>
      </w:r>
      <w:r w:rsidRPr="00D12FDD">
        <w:rPr>
          <w:rFonts w:ascii="Arial" w:hAnsi="Arial" w:cs="Arial"/>
          <w:i/>
          <w:iCs/>
          <w:sz w:val="20"/>
          <w:szCs w:val="20"/>
          <w:shd w:val="clear" w:color="auto" w:fill="FFFFFF"/>
        </w:rPr>
        <w:t>Web-based questionnaires: the future in epidemiology?. American journal of epidemiology</w:t>
      </w:r>
      <w:r w:rsidRPr="00D12FDD">
        <w:rPr>
          <w:rFonts w:ascii="Arial" w:hAnsi="Arial" w:cs="Arial"/>
          <w:sz w:val="20"/>
          <w:szCs w:val="20"/>
          <w:shd w:val="clear" w:color="auto" w:fill="FFFFFF"/>
        </w:rPr>
        <w:t>. 2010 Dec 1;172(11):1292-8.</w:t>
      </w:r>
    </w:p>
    <w:p w14:paraId="6445843E" w14:textId="09F251BE" w:rsidR="00D67CDA" w:rsidRPr="00D12FDD" w:rsidRDefault="00D67CDA" w:rsidP="000721AE">
      <w:pPr>
        <w:pStyle w:val="ListParagraph"/>
        <w:numPr>
          <w:ilvl w:val="0"/>
          <w:numId w:val="1"/>
        </w:numPr>
      </w:pPr>
      <w:r w:rsidRPr="00D12FDD">
        <w:rPr>
          <w:rFonts w:ascii="Arial" w:hAnsi="Arial" w:cs="Arial"/>
          <w:sz w:val="20"/>
          <w:szCs w:val="20"/>
          <w:shd w:val="clear" w:color="auto" w:fill="FFFFFF"/>
        </w:rPr>
        <w:t xml:space="preserve">Whiteside J, Wixon D. </w:t>
      </w:r>
      <w:r w:rsidRPr="00D12FDD">
        <w:rPr>
          <w:rFonts w:ascii="Arial" w:hAnsi="Arial" w:cs="Arial"/>
          <w:i/>
          <w:iCs/>
          <w:sz w:val="20"/>
          <w:szCs w:val="20"/>
          <w:shd w:val="clear" w:color="auto" w:fill="FFFFFF"/>
        </w:rPr>
        <w:t>The dialectic of usability engineering</w:t>
      </w:r>
      <w:r w:rsidRPr="00D12FDD">
        <w:rPr>
          <w:rFonts w:ascii="Arial" w:hAnsi="Arial" w:cs="Arial"/>
          <w:sz w:val="20"/>
          <w:szCs w:val="20"/>
          <w:shd w:val="clear" w:color="auto" w:fill="FFFFFF"/>
        </w:rPr>
        <w:t>. Human–Computer Interaction–INTERACT'87. 1987 Jan 1:17-20.</w:t>
      </w:r>
    </w:p>
    <w:p w14:paraId="3036A3EA" w14:textId="6DCD32FF" w:rsidR="001D14D2" w:rsidRPr="00D12FDD" w:rsidRDefault="001D14D2" w:rsidP="000721AE">
      <w:pPr>
        <w:pStyle w:val="ListParagraph"/>
        <w:numPr>
          <w:ilvl w:val="0"/>
          <w:numId w:val="1"/>
        </w:numPr>
      </w:pPr>
      <w:r w:rsidRPr="00D12FDD">
        <w:rPr>
          <w:rFonts w:ascii="Arial" w:hAnsi="Arial" w:cs="Arial"/>
          <w:sz w:val="20"/>
          <w:szCs w:val="20"/>
          <w:shd w:val="clear" w:color="auto" w:fill="FFFFFF"/>
        </w:rPr>
        <w:t xml:space="preserve">Dillon A, Morris M. </w:t>
      </w:r>
      <w:r w:rsidRPr="00D12FDD">
        <w:rPr>
          <w:rFonts w:ascii="Arial" w:hAnsi="Arial" w:cs="Arial"/>
          <w:i/>
          <w:iCs/>
          <w:sz w:val="20"/>
          <w:szCs w:val="20"/>
          <w:shd w:val="clear" w:color="auto" w:fill="FFFFFF"/>
        </w:rPr>
        <w:t>Power, perception and performance: from usability engineering to technology acceptance with the P3 model of user response</w:t>
      </w:r>
      <w:r w:rsidRPr="00D12FDD">
        <w:rPr>
          <w:rFonts w:ascii="Arial" w:hAnsi="Arial" w:cs="Arial"/>
          <w:sz w:val="20"/>
          <w:szCs w:val="20"/>
          <w:shd w:val="clear" w:color="auto" w:fill="FFFFFF"/>
        </w:rPr>
        <w:t>. InProceedings of the Human Factors and Ergonomics Society Annual Meeting 1999 Sep (Vol. 43, No. 19, pp. 1017-1021). Sage CA: Los Angeles, CA: SAGE Publications.</w:t>
      </w:r>
    </w:p>
    <w:p w14:paraId="742A603D" w14:textId="279A856C" w:rsidR="00D36FE9" w:rsidRPr="00D12FDD" w:rsidRDefault="00D36FE9" w:rsidP="000721AE">
      <w:pPr>
        <w:pStyle w:val="ListParagraph"/>
        <w:numPr>
          <w:ilvl w:val="0"/>
          <w:numId w:val="1"/>
        </w:numPr>
      </w:pPr>
      <w:r w:rsidRPr="00D12FDD">
        <w:rPr>
          <w:rFonts w:ascii="Arial" w:hAnsi="Arial" w:cs="Arial"/>
          <w:sz w:val="20"/>
          <w:szCs w:val="20"/>
          <w:shd w:val="clear" w:color="auto" w:fill="FFFFFF"/>
        </w:rPr>
        <w:t xml:space="preserve">Sheridan TB, Ferrell WR. </w:t>
      </w:r>
      <w:r w:rsidRPr="00D12FDD">
        <w:rPr>
          <w:rFonts w:ascii="Arial" w:hAnsi="Arial" w:cs="Arial"/>
          <w:i/>
          <w:iCs/>
          <w:sz w:val="20"/>
          <w:szCs w:val="20"/>
          <w:shd w:val="clear" w:color="auto" w:fill="FFFFFF"/>
        </w:rPr>
        <w:t>Man-machine systems; Information, control, and decision models of human performance</w:t>
      </w:r>
      <w:r w:rsidRPr="00D12FDD">
        <w:rPr>
          <w:rFonts w:ascii="Arial" w:hAnsi="Arial" w:cs="Arial"/>
          <w:sz w:val="20"/>
          <w:szCs w:val="20"/>
          <w:shd w:val="clear" w:color="auto" w:fill="FFFFFF"/>
        </w:rPr>
        <w:t>. the MIT press; 1974.</w:t>
      </w:r>
    </w:p>
    <w:p w14:paraId="6DFD41DE" w14:textId="795C5489" w:rsidR="0007406E" w:rsidRPr="00D12FDD" w:rsidRDefault="0007406E" w:rsidP="000721AE">
      <w:pPr>
        <w:pStyle w:val="ListParagraph"/>
        <w:numPr>
          <w:ilvl w:val="0"/>
          <w:numId w:val="1"/>
        </w:numPr>
      </w:pPr>
      <w:r w:rsidRPr="00D12FDD">
        <w:rPr>
          <w:rFonts w:ascii="Arial" w:hAnsi="Arial" w:cs="Arial"/>
          <w:sz w:val="20"/>
          <w:szCs w:val="20"/>
          <w:shd w:val="clear" w:color="auto" w:fill="FFFFFF"/>
        </w:rPr>
        <w:t xml:space="preserve">Looije R, Te Brake GM, Neerincx MA. </w:t>
      </w:r>
      <w:r w:rsidRPr="00D12FDD">
        <w:rPr>
          <w:rFonts w:ascii="Arial" w:hAnsi="Arial" w:cs="Arial"/>
          <w:i/>
          <w:iCs/>
          <w:sz w:val="20"/>
          <w:szCs w:val="20"/>
          <w:shd w:val="clear" w:color="auto" w:fill="FFFFFF"/>
        </w:rPr>
        <w:t>Usability engineering for mobile maps. InProceedings of the 4th international conference on mobile technology, applications, and systems and the 1st international symposium on Computer human interaction in mobile technology</w:t>
      </w:r>
      <w:r w:rsidRPr="00D12FDD">
        <w:rPr>
          <w:rFonts w:ascii="Arial" w:hAnsi="Arial" w:cs="Arial"/>
          <w:sz w:val="20"/>
          <w:szCs w:val="20"/>
          <w:shd w:val="clear" w:color="auto" w:fill="FFFFFF"/>
        </w:rPr>
        <w:t xml:space="preserve"> 2007 Sep 10 (pp. 532-539).</w:t>
      </w:r>
    </w:p>
    <w:p w14:paraId="66240946" w14:textId="56EFEE89" w:rsidR="00750667" w:rsidRPr="00D12FDD" w:rsidRDefault="00750667" w:rsidP="000721AE">
      <w:pPr>
        <w:pStyle w:val="ListParagraph"/>
        <w:numPr>
          <w:ilvl w:val="0"/>
          <w:numId w:val="1"/>
        </w:numPr>
      </w:pPr>
      <w:r w:rsidRPr="00D12FDD">
        <w:rPr>
          <w:rFonts w:ascii="Arial" w:hAnsi="Arial" w:cs="Arial"/>
          <w:sz w:val="20"/>
          <w:szCs w:val="20"/>
          <w:shd w:val="clear" w:color="auto" w:fill="FFFFFF"/>
        </w:rPr>
        <w:t xml:space="preserve">Willey E. </w:t>
      </w:r>
      <w:r w:rsidRPr="00D12FDD">
        <w:rPr>
          <w:rFonts w:ascii="Arial" w:hAnsi="Arial" w:cs="Arial"/>
          <w:i/>
          <w:iCs/>
          <w:sz w:val="20"/>
          <w:szCs w:val="20"/>
          <w:shd w:val="clear" w:color="auto" w:fill="FFFFFF"/>
        </w:rPr>
        <w:t>Doc to PDF and HTML</w:t>
      </w:r>
      <w:r w:rsidRPr="00D12FDD">
        <w:rPr>
          <w:rFonts w:ascii="Arial" w:hAnsi="Arial" w:cs="Arial"/>
          <w:sz w:val="20"/>
          <w:szCs w:val="20"/>
          <w:shd w:val="clear" w:color="auto" w:fill="FFFFFF"/>
        </w:rPr>
        <w:t>. Practical Technology for Archives. 2014.</w:t>
      </w:r>
    </w:p>
    <w:p w14:paraId="4D9ED729" w14:textId="6FEB083A" w:rsidR="0055258D" w:rsidRPr="00D12FDD" w:rsidRDefault="0055258D" w:rsidP="000721AE">
      <w:pPr>
        <w:pStyle w:val="ListParagraph"/>
        <w:numPr>
          <w:ilvl w:val="0"/>
          <w:numId w:val="1"/>
        </w:numPr>
      </w:pPr>
      <w:r w:rsidRPr="00D12FDD">
        <w:rPr>
          <w:rFonts w:ascii="Arial" w:hAnsi="Arial" w:cs="Arial"/>
          <w:sz w:val="20"/>
          <w:szCs w:val="20"/>
          <w:shd w:val="clear" w:color="auto" w:fill="FFFFFF"/>
        </w:rPr>
        <w:t xml:space="preserve">Horbiński T. </w:t>
      </w:r>
      <w:r w:rsidRPr="00D12FDD">
        <w:rPr>
          <w:rFonts w:ascii="Arial" w:hAnsi="Arial" w:cs="Arial"/>
          <w:i/>
          <w:iCs/>
          <w:sz w:val="20"/>
          <w:szCs w:val="20"/>
          <w:shd w:val="clear" w:color="auto" w:fill="FFFFFF"/>
        </w:rPr>
        <w:t>Progressive evolution of designing internet maps on the example of Google Maps</w:t>
      </w:r>
      <w:r w:rsidRPr="00D12FDD">
        <w:rPr>
          <w:rFonts w:ascii="Arial" w:hAnsi="Arial" w:cs="Arial"/>
          <w:sz w:val="20"/>
          <w:szCs w:val="20"/>
          <w:shd w:val="clear" w:color="auto" w:fill="FFFFFF"/>
        </w:rPr>
        <w:t>. Geodesy and Cartography. 2019;68(1).</w:t>
      </w:r>
    </w:p>
    <w:p w14:paraId="26A77D07" w14:textId="7D1F49EA" w:rsidR="00485497" w:rsidRPr="00D12FDD" w:rsidRDefault="00485497" w:rsidP="000721AE">
      <w:pPr>
        <w:pStyle w:val="ListParagraph"/>
        <w:numPr>
          <w:ilvl w:val="0"/>
          <w:numId w:val="1"/>
        </w:numPr>
      </w:pPr>
      <w:r w:rsidRPr="00D12FDD">
        <w:rPr>
          <w:rFonts w:ascii="Arial" w:hAnsi="Arial" w:cs="Arial"/>
          <w:sz w:val="20"/>
          <w:szCs w:val="20"/>
          <w:shd w:val="clear" w:color="auto" w:fill="FFFFFF"/>
        </w:rPr>
        <w:t xml:space="preserve">Astani M. </w:t>
      </w:r>
      <w:r w:rsidRPr="00D12FDD">
        <w:rPr>
          <w:rFonts w:ascii="Arial" w:hAnsi="Arial" w:cs="Arial"/>
          <w:i/>
          <w:iCs/>
          <w:sz w:val="20"/>
          <w:szCs w:val="20"/>
          <w:shd w:val="clear" w:color="auto" w:fill="FFFFFF"/>
        </w:rPr>
        <w:t>A decade of changes in university website design. Issues in Information Systems.</w:t>
      </w:r>
      <w:r w:rsidRPr="00D12FDD">
        <w:rPr>
          <w:rFonts w:ascii="Arial" w:hAnsi="Arial" w:cs="Arial"/>
          <w:sz w:val="20"/>
          <w:szCs w:val="20"/>
          <w:shd w:val="clear" w:color="auto" w:fill="FFFFFF"/>
        </w:rPr>
        <w:t xml:space="preserve"> 2013;14(1):189-96.</w:t>
      </w:r>
    </w:p>
    <w:p w14:paraId="34639B15" w14:textId="55747388" w:rsidR="00B13DB8" w:rsidRPr="00D12FDD" w:rsidRDefault="00B13DB8" w:rsidP="000721AE">
      <w:pPr>
        <w:pStyle w:val="ListParagraph"/>
        <w:numPr>
          <w:ilvl w:val="0"/>
          <w:numId w:val="1"/>
        </w:numPr>
      </w:pPr>
      <w:r w:rsidRPr="00D12FDD">
        <w:rPr>
          <w:rFonts w:ascii="Arial" w:hAnsi="Arial" w:cs="Arial"/>
          <w:sz w:val="20"/>
          <w:szCs w:val="20"/>
          <w:shd w:val="clear" w:color="auto" w:fill="FFFFFF"/>
        </w:rPr>
        <w:t xml:space="preserve">Zhao W, Massey B, Murphy J, Fang L. </w:t>
      </w:r>
      <w:r w:rsidRPr="00D12FDD">
        <w:rPr>
          <w:rFonts w:ascii="Arial" w:hAnsi="Arial" w:cs="Arial"/>
          <w:i/>
          <w:iCs/>
          <w:sz w:val="20"/>
          <w:szCs w:val="20"/>
          <w:shd w:val="clear" w:color="auto" w:fill="FFFFFF"/>
        </w:rPr>
        <w:t>Cultural dimensions of website design and content. Prometheus</w:t>
      </w:r>
      <w:r w:rsidRPr="00D12FDD">
        <w:rPr>
          <w:rFonts w:ascii="Arial" w:hAnsi="Arial" w:cs="Arial"/>
          <w:sz w:val="20"/>
          <w:szCs w:val="20"/>
          <w:shd w:val="clear" w:color="auto" w:fill="FFFFFF"/>
        </w:rPr>
        <w:t>. 2003 Jan 1;21(1):74-84.</w:t>
      </w:r>
    </w:p>
    <w:p w14:paraId="6F810384" w14:textId="610B49BF" w:rsidR="006F1B2D" w:rsidRPr="00D12FDD" w:rsidRDefault="006F1B2D" w:rsidP="000721AE">
      <w:pPr>
        <w:pStyle w:val="ListParagraph"/>
        <w:numPr>
          <w:ilvl w:val="0"/>
          <w:numId w:val="1"/>
        </w:numPr>
      </w:pPr>
      <w:r w:rsidRPr="00D12FDD">
        <w:rPr>
          <w:rFonts w:ascii="Arial" w:hAnsi="Arial" w:cs="Arial"/>
          <w:sz w:val="20"/>
          <w:szCs w:val="20"/>
          <w:shd w:val="clear" w:color="auto" w:fill="FFFFFF"/>
        </w:rPr>
        <w:t>Yousif AN, Elameer AS</w:t>
      </w:r>
      <w:r w:rsidRPr="00D12FDD">
        <w:rPr>
          <w:rFonts w:ascii="Arial" w:hAnsi="Arial" w:cs="Arial"/>
          <w:i/>
          <w:iCs/>
          <w:sz w:val="20"/>
          <w:szCs w:val="20"/>
          <w:shd w:val="clear" w:color="auto" w:fill="FFFFFF"/>
        </w:rPr>
        <w:t>. An expert system for the tourism destinations in Iraq based on the google maps API</w:t>
      </w:r>
      <w:r w:rsidRPr="00D12FDD">
        <w:rPr>
          <w:rFonts w:ascii="Arial" w:hAnsi="Arial" w:cs="Arial"/>
          <w:sz w:val="20"/>
          <w:szCs w:val="20"/>
          <w:shd w:val="clear" w:color="auto" w:fill="FFFFFF"/>
        </w:rPr>
        <w:t>. In2018 1st Annual International Conference on Information and Sciences (AiCIS) 2018 Nov 20 (pp. 1-6). IEEE.</w:t>
      </w:r>
    </w:p>
    <w:p w14:paraId="091918AE" w14:textId="3D9CB884" w:rsidR="00573CF2" w:rsidRPr="00D12FDD" w:rsidRDefault="00573CF2" w:rsidP="000721AE">
      <w:pPr>
        <w:pStyle w:val="ListParagraph"/>
        <w:numPr>
          <w:ilvl w:val="0"/>
          <w:numId w:val="1"/>
        </w:numPr>
      </w:pPr>
      <w:r w:rsidRPr="00D12FDD">
        <w:rPr>
          <w:rFonts w:ascii="Arial" w:hAnsi="Arial" w:cs="Arial"/>
          <w:sz w:val="20"/>
          <w:szCs w:val="20"/>
          <w:shd w:val="clear" w:color="auto" w:fill="FFFFFF"/>
        </w:rPr>
        <w:t xml:space="preserve">Pravossoudovitch K, Cury F, Young SG, Elliot AJ. </w:t>
      </w:r>
      <w:r w:rsidRPr="00D12FDD">
        <w:rPr>
          <w:rFonts w:ascii="Arial" w:hAnsi="Arial" w:cs="Arial"/>
          <w:i/>
          <w:iCs/>
          <w:sz w:val="20"/>
          <w:szCs w:val="20"/>
          <w:shd w:val="clear" w:color="auto" w:fill="FFFFFF"/>
        </w:rPr>
        <w:t>Is red the colour of danger?</w:t>
      </w:r>
      <w:r w:rsidRPr="00D12FDD">
        <w:rPr>
          <w:rFonts w:ascii="Arial" w:hAnsi="Arial" w:cs="Arial"/>
          <w:sz w:val="20"/>
          <w:szCs w:val="20"/>
          <w:shd w:val="clear" w:color="auto" w:fill="FFFFFF"/>
        </w:rPr>
        <w:t xml:space="preserve"> Testing an implicit red–danger association. Ergonomics. 2014 Apr 3;57(4):503-10.</w:t>
      </w:r>
    </w:p>
    <w:p w14:paraId="405F73CC" w14:textId="42E1B3E2" w:rsidR="005C7697" w:rsidRPr="00D12FDD" w:rsidRDefault="005C7697" w:rsidP="000721AE">
      <w:pPr>
        <w:pStyle w:val="ListParagraph"/>
        <w:numPr>
          <w:ilvl w:val="0"/>
          <w:numId w:val="1"/>
        </w:numPr>
      </w:pPr>
      <w:r w:rsidRPr="00D12FDD">
        <w:rPr>
          <w:rFonts w:ascii="Arial" w:hAnsi="Arial" w:cs="Arial"/>
          <w:sz w:val="20"/>
          <w:szCs w:val="20"/>
          <w:shd w:val="clear" w:color="auto" w:fill="FFFFFF"/>
        </w:rPr>
        <w:t>Grainger J, Declerck M, Marzouki Y. On national flags and language tags: Effects of flag-language congruency in bilingual word recognition. Acta psychologica. 2017 Jul 1;178:12-7.</w:t>
      </w:r>
    </w:p>
    <w:p w14:paraId="67BEBE0A" w14:textId="67227BDF" w:rsidR="00FC667E" w:rsidRDefault="00FC667E" w:rsidP="000721AE">
      <w:pPr>
        <w:pStyle w:val="ListParagraph"/>
        <w:numPr>
          <w:ilvl w:val="0"/>
          <w:numId w:val="1"/>
        </w:numPr>
      </w:pPr>
      <w:r w:rsidRPr="00D12FDD">
        <w:t>Newson M, van Mulukom V, Johns SE. Future orientation is associated with less lockdown rule breaking, even during large illegal gatherings. Futures. 2022 Jan 1;135:102883.</w:t>
      </w:r>
    </w:p>
    <w:p w14:paraId="3F8A0BD1" w14:textId="77777777" w:rsidR="00D12FDD" w:rsidRDefault="00D12FDD" w:rsidP="00D12FDD">
      <w:pPr>
        <w:ind w:left="360"/>
      </w:pPr>
    </w:p>
    <w:p w14:paraId="494421B6" w14:textId="01493180" w:rsidR="00D12FDD" w:rsidRDefault="00D12FDD" w:rsidP="00D12FDD">
      <w:pPr>
        <w:ind w:left="360"/>
        <w:jc w:val="center"/>
        <w:rPr>
          <w:b/>
          <w:bCs/>
          <w:sz w:val="32"/>
          <w:szCs w:val="32"/>
          <w:u w:val="single"/>
        </w:rPr>
      </w:pPr>
      <w:r>
        <w:rPr>
          <w:b/>
          <w:bCs/>
          <w:sz w:val="32"/>
          <w:szCs w:val="32"/>
          <w:u w:val="single"/>
        </w:rPr>
        <w:t>Appendix:</w:t>
      </w:r>
    </w:p>
    <w:p w14:paraId="49CEF5A4" w14:textId="30D9B7B4" w:rsidR="00D12FDD" w:rsidRPr="007C51CD" w:rsidRDefault="00D12FDD" w:rsidP="007C51CD">
      <w:pPr>
        <w:pStyle w:val="ListParagraph"/>
        <w:numPr>
          <w:ilvl w:val="0"/>
          <w:numId w:val="6"/>
        </w:numPr>
        <w:rPr>
          <w:b/>
          <w:bCs/>
          <w:sz w:val="28"/>
          <w:szCs w:val="28"/>
          <w:u w:val="single"/>
        </w:rPr>
      </w:pPr>
      <w:r w:rsidRPr="007C51CD">
        <w:rPr>
          <w:b/>
          <w:bCs/>
          <w:sz w:val="28"/>
          <w:szCs w:val="28"/>
          <w:u w:val="single"/>
        </w:rPr>
        <w:t>Walkthrough Feedback:</w:t>
      </w:r>
    </w:p>
    <w:p w14:paraId="510A2CA8" w14:textId="55B75C23" w:rsidR="00D12FDD" w:rsidRDefault="00B432BF" w:rsidP="00CA18FA">
      <w:pPr>
        <w:ind w:left="360"/>
      </w:pPr>
      <w:r>
        <w:t>“</w:t>
      </w:r>
      <w:r w:rsidR="00CA18FA">
        <w:t>The main positive feedback that can be given about this is the usage of images to indicate when to upload or when it is needed to click such as in test results and home page it would be instinctive to press upon those options, with which pressable buttons are all clearly and correctly labelled for no confusion. In additional, details about a webpage and phone plans show thought out process and consideration of how it will work and look on other services while they detail they are using a webpage plan. The main negative feedback that was derived from this design is the lack of information tools as in the means to provide information about what is happening on screen or what to do. There would need to be a footer with additional information or an icon that press pops up an information block that says what to do or provides information about what the object is. Then another would be a back button or X to close out of the current page or return to a previous one.”</w:t>
      </w:r>
      <w:r>
        <w:t>– Nathan Pascoe.</w:t>
      </w:r>
      <w:r w:rsidR="004C648D" w:rsidRPr="004C648D">
        <w:t xml:space="preserve"> </w:t>
      </w:r>
    </w:p>
    <w:p w14:paraId="2B602FFF" w14:textId="18F677E1" w:rsidR="00ED4794" w:rsidRPr="007C51CD" w:rsidRDefault="00ED4794" w:rsidP="007C51CD">
      <w:pPr>
        <w:pStyle w:val="ListParagraph"/>
        <w:numPr>
          <w:ilvl w:val="0"/>
          <w:numId w:val="6"/>
        </w:numPr>
        <w:rPr>
          <w:b/>
          <w:bCs/>
          <w:sz w:val="28"/>
          <w:szCs w:val="28"/>
          <w:u w:val="single"/>
        </w:rPr>
      </w:pPr>
      <w:r w:rsidRPr="007C51CD">
        <w:rPr>
          <w:b/>
          <w:bCs/>
          <w:sz w:val="28"/>
          <w:szCs w:val="28"/>
          <w:u w:val="single"/>
        </w:rPr>
        <w:t>Participation of walkthrough, paper prototype:</w:t>
      </w:r>
    </w:p>
    <w:p w14:paraId="76A57ED9" w14:textId="65C88642" w:rsidR="00ED4794" w:rsidRDefault="007C51CD" w:rsidP="00D12FDD">
      <w:pPr>
        <w:ind w:left="360"/>
      </w:pPr>
      <w:r>
        <w:rPr>
          <w:noProof/>
        </w:rPr>
        <w:drawing>
          <wp:inline distT="0" distB="0" distL="0" distR="0" wp14:anchorId="7D54EAE0" wp14:editId="7E3D9F0E">
            <wp:extent cx="1947481" cy="2596929"/>
            <wp:effectExtent l="19050" t="19050" r="15240" b="1333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950346" cy="2600749"/>
                    </a:xfrm>
                    <a:prstGeom prst="rect">
                      <a:avLst/>
                    </a:prstGeom>
                    <a:noFill/>
                    <a:ln>
                      <a:solidFill>
                        <a:schemeClr val="tx1"/>
                      </a:solidFill>
                    </a:ln>
                  </pic:spPr>
                </pic:pic>
              </a:graphicData>
            </a:graphic>
          </wp:inline>
        </w:drawing>
      </w:r>
      <w:r w:rsidRPr="007C51CD">
        <w:t xml:space="preserve"> </w:t>
      </w:r>
      <w:r>
        <w:rPr>
          <w:noProof/>
        </w:rPr>
        <w:drawing>
          <wp:inline distT="0" distB="0" distL="0" distR="0" wp14:anchorId="752CC1EE" wp14:editId="4EE3AA16">
            <wp:extent cx="1956021" cy="2608317"/>
            <wp:effectExtent l="19050" t="19050" r="25400" b="20955"/>
            <wp:docPr id="25" name="Picture 25" descr="A whiteboard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whiteboard with writing on it&#10;&#10;Description automatically generated with low confidence"/>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994111" cy="2659109"/>
                    </a:xfrm>
                    <a:prstGeom prst="rect">
                      <a:avLst/>
                    </a:prstGeom>
                    <a:noFill/>
                    <a:ln>
                      <a:solidFill>
                        <a:schemeClr val="tx1"/>
                      </a:solidFill>
                    </a:ln>
                  </pic:spPr>
                </pic:pic>
              </a:graphicData>
            </a:graphic>
          </wp:inline>
        </w:drawing>
      </w:r>
      <w:r w:rsidRPr="007C51CD">
        <w:t xml:space="preserve"> </w:t>
      </w:r>
      <w:r>
        <w:rPr>
          <w:noProof/>
        </w:rPr>
        <w:drawing>
          <wp:inline distT="0" distB="0" distL="0" distR="0" wp14:anchorId="052CF940" wp14:editId="642F204C">
            <wp:extent cx="1946176" cy="2595190"/>
            <wp:effectExtent l="19050" t="19050" r="16510" b="15240"/>
            <wp:docPr id="26" name="Picture 26" descr="A close-up of some pap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some papers&#10;&#10;Description automatically generated with low confidence"/>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955285" cy="2607336"/>
                    </a:xfrm>
                    <a:prstGeom prst="rect">
                      <a:avLst/>
                    </a:prstGeom>
                    <a:noFill/>
                    <a:ln>
                      <a:solidFill>
                        <a:schemeClr val="tx1"/>
                      </a:solidFill>
                    </a:ln>
                  </pic:spPr>
                </pic:pic>
              </a:graphicData>
            </a:graphic>
          </wp:inline>
        </w:drawing>
      </w:r>
      <w:r w:rsidR="00D7412E" w:rsidRPr="00D7412E">
        <w:t xml:space="preserve"> </w:t>
      </w:r>
      <w:r w:rsidR="00D7412E">
        <w:rPr>
          <w:noProof/>
        </w:rPr>
        <w:drawing>
          <wp:inline distT="0" distB="0" distL="0" distR="0" wp14:anchorId="4E23C862" wp14:editId="05738FAF">
            <wp:extent cx="1953331" cy="2604730"/>
            <wp:effectExtent l="19050" t="19050" r="27940" b="24765"/>
            <wp:docPr id="27" name="Picture 27"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whiteboard&#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962876" cy="2617458"/>
                    </a:xfrm>
                    <a:prstGeom prst="rect">
                      <a:avLst/>
                    </a:prstGeom>
                    <a:noFill/>
                    <a:ln>
                      <a:solidFill>
                        <a:schemeClr val="tx1"/>
                      </a:solidFill>
                    </a:ln>
                  </pic:spPr>
                </pic:pic>
              </a:graphicData>
            </a:graphic>
          </wp:inline>
        </w:drawing>
      </w:r>
      <w:r w:rsidR="00D7412E" w:rsidRPr="00D7412E">
        <w:t xml:space="preserve"> </w:t>
      </w:r>
      <w:r w:rsidR="00D7412E">
        <w:rPr>
          <w:noProof/>
        </w:rPr>
        <w:drawing>
          <wp:inline distT="0" distB="0" distL="0" distR="0" wp14:anchorId="56AA4C05" wp14:editId="78C1A2C2">
            <wp:extent cx="2003729" cy="2671936"/>
            <wp:effectExtent l="19050" t="19050" r="15875" b="14605"/>
            <wp:docPr id="28" name="Picture 28" descr="A whiteboard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whiteboard with writing on it&#10;&#10;Description automatically generated with low confidence"/>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026882" cy="2702811"/>
                    </a:xfrm>
                    <a:prstGeom prst="rect">
                      <a:avLst/>
                    </a:prstGeom>
                    <a:noFill/>
                    <a:ln>
                      <a:solidFill>
                        <a:schemeClr val="tx1"/>
                      </a:solidFill>
                    </a:ln>
                  </pic:spPr>
                </pic:pic>
              </a:graphicData>
            </a:graphic>
          </wp:inline>
        </w:drawing>
      </w:r>
      <w:r w:rsidR="00F8595B" w:rsidRPr="00F8595B">
        <w:t xml:space="preserve"> </w:t>
      </w:r>
      <w:r w:rsidR="00F8595B">
        <w:rPr>
          <w:noProof/>
        </w:rPr>
        <w:drawing>
          <wp:inline distT="0" distB="0" distL="0" distR="0" wp14:anchorId="43993133" wp14:editId="5EE11847">
            <wp:extent cx="2043485" cy="2724948"/>
            <wp:effectExtent l="19050" t="19050" r="13970" b="18415"/>
            <wp:docPr id="29" name="Picture 29"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ece of paper with writing on it&#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059095" cy="2745763"/>
                    </a:xfrm>
                    <a:prstGeom prst="rect">
                      <a:avLst/>
                    </a:prstGeom>
                    <a:noFill/>
                    <a:ln>
                      <a:solidFill>
                        <a:schemeClr val="tx1"/>
                      </a:solidFill>
                    </a:ln>
                  </pic:spPr>
                </pic:pic>
              </a:graphicData>
            </a:graphic>
          </wp:inline>
        </w:drawing>
      </w:r>
    </w:p>
    <w:p w14:paraId="630FE1C1" w14:textId="7C00E01D" w:rsidR="00E55C86" w:rsidRPr="00E55C86" w:rsidRDefault="00E55C86" w:rsidP="00D12FDD">
      <w:pPr>
        <w:ind w:left="360"/>
        <w:rPr>
          <w:b/>
          <w:bCs/>
          <w:sz w:val="28"/>
          <w:szCs w:val="28"/>
          <w:u w:val="single"/>
        </w:rPr>
      </w:pPr>
      <w:r>
        <w:rPr>
          <w:b/>
          <w:bCs/>
          <w:sz w:val="28"/>
          <w:szCs w:val="28"/>
          <w:u w:val="single"/>
        </w:rPr>
        <w:t>Word Count: 2996 words</w:t>
      </w:r>
    </w:p>
    <w:sectPr w:rsidR="00E55C86" w:rsidRPr="00E55C86" w:rsidSect="002A147E">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8A6B07" w14:textId="77777777" w:rsidR="00A86A0F" w:rsidRDefault="00A86A0F" w:rsidP="000721AE">
      <w:pPr>
        <w:spacing w:after="0" w:line="240" w:lineRule="auto"/>
      </w:pPr>
      <w:r>
        <w:separator/>
      </w:r>
    </w:p>
  </w:endnote>
  <w:endnote w:type="continuationSeparator" w:id="0">
    <w:p w14:paraId="0D0E366E" w14:textId="77777777" w:rsidR="00A86A0F" w:rsidRDefault="00A86A0F" w:rsidP="000721AE">
      <w:pPr>
        <w:spacing w:after="0" w:line="240" w:lineRule="auto"/>
      </w:pPr>
      <w:r>
        <w:continuationSeparator/>
      </w:r>
    </w:p>
  </w:endnote>
  <w:endnote w:type="continuationNotice" w:id="1">
    <w:p w14:paraId="552D6B87" w14:textId="77777777" w:rsidR="00A86A0F" w:rsidRDefault="00A86A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7374601"/>
      <w:docPartObj>
        <w:docPartGallery w:val="Page Numbers (Bottom of Page)"/>
        <w:docPartUnique/>
      </w:docPartObj>
    </w:sdtPr>
    <w:sdtEndPr>
      <w:rPr>
        <w:noProof/>
      </w:rPr>
    </w:sdtEndPr>
    <w:sdtContent>
      <w:p w14:paraId="70F5561A" w14:textId="6CA7B196" w:rsidR="00A911B4" w:rsidRDefault="00A911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F12179" w14:textId="77777777" w:rsidR="00A911B4" w:rsidRDefault="00A911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047AB3" w14:textId="77777777" w:rsidR="00A86A0F" w:rsidRDefault="00A86A0F" w:rsidP="000721AE">
      <w:pPr>
        <w:spacing w:after="0" w:line="240" w:lineRule="auto"/>
      </w:pPr>
      <w:r>
        <w:separator/>
      </w:r>
    </w:p>
  </w:footnote>
  <w:footnote w:type="continuationSeparator" w:id="0">
    <w:p w14:paraId="09B2A7F7" w14:textId="77777777" w:rsidR="00A86A0F" w:rsidRDefault="00A86A0F" w:rsidP="000721AE">
      <w:pPr>
        <w:spacing w:after="0" w:line="240" w:lineRule="auto"/>
      </w:pPr>
      <w:r>
        <w:continuationSeparator/>
      </w:r>
    </w:p>
  </w:footnote>
  <w:footnote w:type="continuationNotice" w:id="1">
    <w:p w14:paraId="76E473AF" w14:textId="77777777" w:rsidR="00A86A0F" w:rsidRDefault="00A86A0F">
      <w:pPr>
        <w:spacing w:after="0" w:line="240" w:lineRule="auto"/>
      </w:pPr>
    </w:p>
  </w:footnote>
  <w:footnote w:id="2">
    <w:p w14:paraId="70AEAB63" w14:textId="35635FCE" w:rsidR="007269CB" w:rsidRDefault="007269CB">
      <w:pPr>
        <w:pStyle w:val="FootnoteText"/>
      </w:pPr>
      <w:r>
        <w:rPr>
          <w:rStyle w:val="FootnoteReference"/>
        </w:rPr>
        <w:footnoteRef/>
      </w:r>
      <w:r>
        <w:t xml:space="preserve"> See Appendix 1. </w:t>
      </w:r>
    </w:p>
  </w:footnote>
  <w:footnote w:id="3">
    <w:p w14:paraId="27243D55" w14:textId="06104D1C" w:rsidR="005E6B0D" w:rsidRDefault="005E6B0D">
      <w:pPr>
        <w:pStyle w:val="FootnoteText"/>
      </w:pPr>
      <w:r>
        <w:rPr>
          <w:rStyle w:val="FootnoteReference"/>
        </w:rPr>
        <w:footnoteRef/>
      </w:r>
      <w:r>
        <w:t xml:space="preserve"> See Appendix 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F31ED"/>
    <w:multiLevelType w:val="hybridMultilevel"/>
    <w:tmpl w:val="1890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687DB1"/>
    <w:multiLevelType w:val="hybridMultilevel"/>
    <w:tmpl w:val="40DA4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984503"/>
    <w:multiLevelType w:val="hybridMultilevel"/>
    <w:tmpl w:val="83BC67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C4667E"/>
    <w:multiLevelType w:val="hybridMultilevel"/>
    <w:tmpl w:val="5F968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6C64DC"/>
    <w:multiLevelType w:val="hybridMultilevel"/>
    <w:tmpl w:val="110E9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5E458E"/>
    <w:multiLevelType w:val="hybridMultilevel"/>
    <w:tmpl w:val="5AF86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09587E"/>
    <w:multiLevelType w:val="hybridMultilevel"/>
    <w:tmpl w:val="BD365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061D84"/>
    <w:multiLevelType w:val="hybridMultilevel"/>
    <w:tmpl w:val="122EEE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54858842">
    <w:abstractNumId w:val="6"/>
  </w:num>
  <w:num w:numId="2" w16cid:durableId="2009554516">
    <w:abstractNumId w:val="0"/>
  </w:num>
  <w:num w:numId="3" w16cid:durableId="1136220078">
    <w:abstractNumId w:val="5"/>
  </w:num>
  <w:num w:numId="4" w16cid:durableId="2002851699">
    <w:abstractNumId w:val="3"/>
  </w:num>
  <w:num w:numId="5" w16cid:durableId="1144397908">
    <w:abstractNumId w:val="7"/>
  </w:num>
  <w:num w:numId="6" w16cid:durableId="1009407485">
    <w:abstractNumId w:val="1"/>
  </w:num>
  <w:num w:numId="7" w16cid:durableId="1435244255">
    <w:abstractNumId w:val="4"/>
  </w:num>
  <w:num w:numId="8" w16cid:durableId="5331569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47E"/>
    <w:rsid w:val="00003918"/>
    <w:rsid w:val="00004683"/>
    <w:rsid w:val="00010948"/>
    <w:rsid w:val="00011E63"/>
    <w:rsid w:val="00013333"/>
    <w:rsid w:val="00020160"/>
    <w:rsid w:val="000270D0"/>
    <w:rsid w:val="0002757F"/>
    <w:rsid w:val="000303F4"/>
    <w:rsid w:val="00047FE0"/>
    <w:rsid w:val="00062A8A"/>
    <w:rsid w:val="00066C51"/>
    <w:rsid w:val="000721AE"/>
    <w:rsid w:val="0007406E"/>
    <w:rsid w:val="0008238E"/>
    <w:rsid w:val="000A1542"/>
    <w:rsid w:val="000B33B8"/>
    <w:rsid w:val="000C2D8B"/>
    <w:rsid w:val="000D30D4"/>
    <w:rsid w:val="000D3902"/>
    <w:rsid w:val="00107D16"/>
    <w:rsid w:val="00107DC7"/>
    <w:rsid w:val="00107EEC"/>
    <w:rsid w:val="00120EC0"/>
    <w:rsid w:val="00136265"/>
    <w:rsid w:val="00145F4F"/>
    <w:rsid w:val="00150CC7"/>
    <w:rsid w:val="00155DD6"/>
    <w:rsid w:val="0015768E"/>
    <w:rsid w:val="00165928"/>
    <w:rsid w:val="00167054"/>
    <w:rsid w:val="0017211C"/>
    <w:rsid w:val="001871D8"/>
    <w:rsid w:val="0019426A"/>
    <w:rsid w:val="00194CC9"/>
    <w:rsid w:val="001A0FCB"/>
    <w:rsid w:val="001A47A7"/>
    <w:rsid w:val="001A7DC4"/>
    <w:rsid w:val="001C2235"/>
    <w:rsid w:val="001D14D2"/>
    <w:rsid w:val="001D5A54"/>
    <w:rsid w:val="001E09FC"/>
    <w:rsid w:val="001F12BE"/>
    <w:rsid w:val="00214E76"/>
    <w:rsid w:val="00227D6F"/>
    <w:rsid w:val="00233790"/>
    <w:rsid w:val="00235DB9"/>
    <w:rsid w:val="002614E6"/>
    <w:rsid w:val="002631E9"/>
    <w:rsid w:val="00277667"/>
    <w:rsid w:val="00280193"/>
    <w:rsid w:val="002810D5"/>
    <w:rsid w:val="00293573"/>
    <w:rsid w:val="002A147E"/>
    <w:rsid w:val="002B317E"/>
    <w:rsid w:val="002B4EF0"/>
    <w:rsid w:val="002C385C"/>
    <w:rsid w:val="002F3512"/>
    <w:rsid w:val="002F7348"/>
    <w:rsid w:val="00301FD0"/>
    <w:rsid w:val="0030738B"/>
    <w:rsid w:val="003153A3"/>
    <w:rsid w:val="003215B1"/>
    <w:rsid w:val="00322A10"/>
    <w:rsid w:val="00323D1A"/>
    <w:rsid w:val="00324DB4"/>
    <w:rsid w:val="00335D4A"/>
    <w:rsid w:val="00344D6A"/>
    <w:rsid w:val="00362E7F"/>
    <w:rsid w:val="0036619E"/>
    <w:rsid w:val="00372938"/>
    <w:rsid w:val="00384E16"/>
    <w:rsid w:val="00395A8B"/>
    <w:rsid w:val="0039684F"/>
    <w:rsid w:val="003A1972"/>
    <w:rsid w:val="003B4073"/>
    <w:rsid w:val="003C5A6A"/>
    <w:rsid w:val="003D194A"/>
    <w:rsid w:val="003D2AC8"/>
    <w:rsid w:val="003D68A2"/>
    <w:rsid w:val="003E2D96"/>
    <w:rsid w:val="003F0490"/>
    <w:rsid w:val="00402376"/>
    <w:rsid w:val="00413CCD"/>
    <w:rsid w:val="00415113"/>
    <w:rsid w:val="0042020D"/>
    <w:rsid w:val="00424E42"/>
    <w:rsid w:val="00440848"/>
    <w:rsid w:val="00450342"/>
    <w:rsid w:val="0045036D"/>
    <w:rsid w:val="0045442D"/>
    <w:rsid w:val="00466E2F"/>
    <w:rsid w:val="0047028B"/>
    <w:rsid w:val="004727C7"/>
    <w:rsid w:val="00482B22"/>
    <w:rsid w:val="00483726"/>
    <w:rsid w:val="00485497"/>
    <w:rsid w:val="004A0A16"/>
    <w:rsid w:val="004B0F81"/>
    <w:rsid w:val="004C648D"/>
    <w:rsid w:val="004C6CDB"/>
    <w:rsid w:val="004D3BA5"/>
    <w:rsid w:val="004E4D6C"/>
    <w:rsid w:val="00501390"/>
    <w:rsid w:val="00504692"/>
    <w:rsid w:val="00504D9F"/>
    <w:rsid w:val="00516B0E"/>
    <w:rsid w:val="00517E96"/>
    <w:rsid w:val="00534AEA"/>
    <w:rsid w:val="00537FCF"/>
    <w:rsid w:val="005424FD"/>
    <w:rsid w:val="005455B7"/>
    <w:rsid w:val="0055258D"/>
    <w:rsid w:val="00553708"/>
    <w:rsid w:val="00554BE8"/>
    <w:rsid w:val="00555337"/>
    <w:rsid w:val="00570769"/>
    <w:rsid w:val="00573CF2"/>
    <w:rsid w:val="00577EA0"/>
    <w:rsid w:val="00581627"/>
    <w:rsid w:val="005A1D69"/>
    <w:rsid w:val="005A3839"/>
    <w:rsid w:val="005A7ACD"/>
    <w:rsid w:val="005B5FB6"/>
    <w:rsid w:val="005B7433"/>
    <w:rsid w:val="005C052D"/>
    <w:rsid w:val="005C7697"/>
    <w:rsid w:val="005E4B3A"/>
    <w:rsid w:val="005E6B0D"/>
    <w:rsid w:val="006017DC"/>
    <w:rsid w:val="0061322F"/>
    <w:rsid w:val="0061344D"/>
    <w:rsid w:val="00625E97"/>
    <w:rsid w:val="00630BE4"/>
    <w:rsid w:val="00637243"/>
    <w:rsid w:val="00646FE1"/>
    <w:rsid w:val="006473AB"/>
    <w:rsid w:val="006552E7"/>
    <w:rsid w:val="006621C0"/>
    <w:rsid w:val="006731D7"/>
    <w:rsid w:val="00685815"/>
    <w:rsid w:val="00692028"/>
    <w:rsid w:val="00692CAC"/>
    <w:rsid w:val="00693822"/>
    <w:rsid w:val="006A42A0"/>
    <w:rsid w:val="006B4894"/>
    <w:rsid w:val="006E0512"/>
    <w:rsid w:val="006E1678"/>
    <w:rsid w:val="006E7C8F"/>
    <w:rsid w:val="006F1B2D"/>
    <w:rsid w:val="007046AD"/>
    <w:rsid w:val="00704940"/>
    <w:rsid w:val="00704BC2"/>
    <w:rsid w:val="00704BE9"/>
    <w:rsid w:val="0070636A"/>
    <w:rsid w:val="007070ED"/>
    <w:rsid w:val="00721050"/>
    <w:rsid w:val="0072629B"/>
    <w:rsid w:val="007269CB"/>
    <w:rsid w:val="00726C33"/>
    <w:rsid w:val="00727330"/>
    <w:rsid w:val="00737C82"/>
    <w:rsid w:val="00745AC6"/>
    <w:rsid w:val="00746213"/>
    <w:rsid w:val="00750667"/>
    <w:rsid w:val="00754A20"/>
    <w:rsid w:val="007632B4"/>
    <w:rsid w:val="00771D24"/>
    <w:rsid w:val="007801F5"/>
    <w:rsid w:val="00780D3D"/>
    <w:rsid w:val="00781514"/>
    <w:rsid w:val="0078759E"/>
    <w:rsid w:val="007A6BA7"/>
    <w:rsid w:val="007B635A"/>
    <w:rsid w:val="007C4982"/>
    <w:rsid w:val="007C51CD"/>
    <w:rsid w:val="007D6183"/>
    <w:rsid w:val="007E1780"/>
    <w:rsid w:val="007E3233"/>
    <w:rsid w:val="007E3D2C"/>
    <w:rsid w:val="007F49E5"/>
    <w:rsid w:val="007F61C8"/>
    <w:rsid w:val="00803920"/>
    <w:rsid w:val="0080614A"/>
    <w:rsid w:val="0080733B"/>
    <w:rsid w:val="00811242"/>
    <w:rsid w:val="00814219"/>
    <w:rsid w:val="00816BFD"/>
    <w:rsid w:val="00834E10"/>
    <w:rsid w:val="00844401"/>
    <w:rsid w:val="00847270"/>
    <w:rsid w:val="00857104"/>
    <w:rsid w:val="0087207C"/>
    <w:rsid w:val="00873D5C"/>
    <w:rsid w:val="00874565"/>
    <w:rsid w:val="0088062D"/>
    <w:rsid w:val="008A78CE"/>
    <w:rsid w:val="008B3279"/>
    <w:rsid w:val="008B336D"/>
    <w:rsid w:val="008B71D1"/>
    <w:rsid w:val="008C2E91"/>
    <w:rsid w:val="008D25D9"/>
    <w:rsid w:val="008F3D20"/>
    <w:rsid w:val="00901E86"/>
    <w:rsid w:val="00906BDD"/>
    <w:rsid w:val="009216BD"/>
    <w:rsid w:val="00924639"/>
    <w:rsid w:val="00931692"/>
    <w:rsid w:val="00934810"/>
    <w:rsid w:val="00934DEE"/>
    <w:rsid w:val="0095555F"/>
    <w:rsid w:val="00967355"/>
    <w:rsid w:val="00967B77"/>
    <w:rsid w:val="00970760"/>
    <w:rsid w:val="0097620E"/>
    <w:rsid w:val="00976AD5"/>
    <w:rsid w:val="009800EE"/>
    <w:rsid w:val="009937CC"/>
    <w:rsid w:val="0099501C"/>
    <w:rsid w:val="009A2298"/>
    <w:rsid w:val="009A311F"/>
    <w:rsid w:val="009A6352"/>
    <w:rsid w:val="009B1BE1"/>
    <w:rsid w:val="009B1D76"/>
    <w:rsid w:val="009B2DC3"/>
    <w:rsid w:val="009B3DED"/>
    <w:rsid w:val="009D5B86"/>
    <w:rsid w:val="009E0223"/>
    <w:rsid w:val="009E4F17"/>
    <w:rsid w:val="009F15AF"/>
    <w:rsid w:val="00A06AEB"/>
    <w:rsid w:val="00A07944"/>
    <w:rsid w:val="00A20DA5"/>
    <w:rsid w:val="00A2702F"/>
    <w:rsid w:val="00A344D3"/>
    <w:rsid w:val="00A40B25"/>
    <w:rsid w:val="00A40F55"/>
    <w:rsid w:val="00A417B4"/>
    <w:rsid w:val="00A50FE8"/>
    <w:rsid w:val="00A603A4"/>
    <w:rsid w:val="00A702CF"/>
    <w:rsid w:val="00A72A0A"/>
    <w:rsid w:val="00A739C7"/>
    <w:rsid w:val="00A76F37"/>
    <w:rsid w:val="00A7754A"/>
    <w:rsid w:val="00A77561"/>
    <w:rsid w:val="00A8256D"/>
    <w:rsid w:val="00A86A0F"/>
    <w:rsid w:val="00A911B4"/>
    <w:rsid w:val="00A919C1"/>
    <w:rsid w:val="00AA0779"/>
    <w:rsid w:val="00AA4B8E"/>
    <w:rsid w:val="00AA7CCF"/>
    <w:rsid w:val="00AB2E06"/>
    <w:rsid w:val="00AB2E88"/>
    <w:rsid w:val="00AC62DC"/>
    <w:rsid w:val="00AD1753"/>
    <w:rsid w:val="00AD3831"/>
    <w:rsid w:val="00AD7191"/>
    <w:rsid w:val="00AE45A8"/>
    <w:rsid w:val="00AF4F1B"/>
    <w:rsid w:val="00B0330E"/>
    <w:rsid w:val="00B13DB8"/>
    <w:rsid w:val="00B21122"/>
    <w:rsid w:val="00B33495"/>
    <w:rsid w:val="00B402AE"/>
    <w:rsid w:val="00B41C46"/>
    <w:rsid w:val="00B432BF"/>
    <w:rsid w:val="00B52258"/>
    <w:rsid w:val="00B57150"/>
    <w:rsid w:val="00B578CE"/>
    <w:rsid w:val="00B61063"/>
    <w:rsid w:val="00B63EDC"/>
    <w:rsid w:val="00B70BE9"/>
    <w:rsid w:val="00B7124C"/>
    <w:rsid w:val="00B71B87"/>
    <w:rsid w:val="00B72B66"/>
    <w:rsid w:val="00B7524C"/>
    <w:rsid w:val="00B76F32"/>
    <w:rsid w:val="00B83958"/>
    <w:rsid w:val="00B926E3"/>
    <w:rsid w:val="00BA3EB0"/>
    <w:rsid w:val="00BB3FBD"/>
    <w:rsid w:val="00BB45F8"/>
    <w:rsid w:val="00BC58AE"/>
    <w:rsid w:val="00BC61A7"/>
    <w:rsid w:val="00BD3C2C"/>
    <w:rsid w:val="00BD6EEB"/>
    <w:rsid w:val="00BF4B3D"/>
    <w:rsid w:val="00C040EA"/>
    <w:rsid w:val="00C233D1"/>
    <w:rsid w:val="00C270E6"/>
    <w:rsid w:val="00C27AF5"/>
    <w:rsid w:val="00C56BBA"/>
    <w:rsid w:val="00C576EF"/>
    <w:rsid w:val="00C73818"/>
    <w:rsid w:val="00C80C49"/>
    <w:rsid w:val="00C853E5"/>
    <w:rsid w:val="00C93F6B"/>
    <w:rsid w:val="00CA18FA"/>
    <w:rsid w:val="00CB2689"/>
    <w:rsid w:val="00CC18EA"/>
    <w:rsid w:val="00CF4676"/>
    <w:rsid w:val="00CF55E1"/>
    <w:rsid w:val="00D03089"/>
    <w:rsid w:val="00D07BBC"/>
    <w:rsid w:val="00D12FDD"/>
    <w:rsid w:val="00D208E3"/>
    <w:rsid w:val="00D30A55"/>
    <w:rsid w:val="00D30D8A"/>
    <w:rsid w:val="00D3189B"/>
    <w:rsid w:val="00D35C7B"/>
    <w:rsid w:val="00D36F30"/>
    <w:rsid w:val="00D36FE9"/>
    <w:rsid w:val="00D407A8"/>
    <w:rsid w:val="00D41ED6"/>
    <w:rsid w:val="00D57232"/>
    <w:rsid w:val="00D67871"/>
    <w:rsid w:val="00D67CDA"/>
    <w:rsid w:val="00D739E6"/>
    <w:rsid w:val="00D7412E"/>
    <w:rsid w:val="00D90657"/>
    <w:rsid w:val="00D917B4"/>
    <w:rsid w:val="00D91E74"/>
    <w:rsid w:val="00D94903"/>
    <w:rsid w:val="00D97280"/>
    <w:rsid w:val="00D974A9"/>
    <w:rsid w:val="00DB1DDE"/>
    <w:rsid w:val="00DB4C43"/>
    <w:rsid w:val="00DC492B"/>
    <w:rsid w:val="00DC5681"/>
    <w:rsid w:val="00DC6534"/>
    <w:rsid w:val="00DD14E7"/>
    <w:rsid w:val="00DD2E03"/>
    <w:rsid w:val="00DD3EBA"/>
    <w:rsid w:val="00DD5A51"/>
    <w:rsid w:val="00DF138F"/>
    <w:rsid w:val="00DF30B2"/>
    <w:rsid w:val="00DF4AF9"/>
    <w:rsid w:val="00DF4E44"/>
    <w:rsid w:val="00E06957"/>
    <w:rsid w:val="00E116FD"/>
    <w:rsid w:val="00E12085"/>
    <w:rsid w:val="00E15B3F"/>
    <w:rsid w:val="00E15CB3"/>
    <w:rsid w:val="00E265A4"/>
    <w:rsid w:val="00E30181"/>
    <w:rsid w:val="00E332E2"/>
    <w:rsid w:val="00E455E8"/>
    <w:rsid w:val="00E51B7E"/>
    <w:rsid w:val="00E521E9"/>
    <w:rsid w:val="00E53F37"/>
    <w:rsid w:val="00E54B58"/>
    <w:rsid w:val="00E55C86"/>
    <w:rsid w:val="00E669B3"/>
    <w:rsid w:val="00E703AE"/>
    <w:rsid w:val="00E85166"/>
    <w:rsid w:val="00EA7332"/>
    <w:rsid w:val="00EB0142"/>
    <w:rsid w:val="00EB6311"/>
    <w:rsid w:val="00EC744E"/>
    <w:rsid w:val="00ED4794"/>
    <w:rsid w:val="00EF1D96"/>
    <w:rsid w:val="00EF235B"/>
    <w:rsid w:val="00EF3D15"/>
    <w:rsid w:val="00F00F2B"/>
    <w:rsid w:val="00F16FDE"/>
    <w:rsid w:val="00F17232"/>
    <w:rsid w:val="00F24CD4"/>
    <w:rsid w:val="00F50292"/>
    <w:rsid w:val="00F5600F"/>
    <w:rsid w:val="00F676FC"/>
    <w:rsid w:val="00F67C6C"/>
    <w:rsid w:val="00F700B3"/>
    <w:rsid w:val="00F71A40"/>
    <w:rsid w:val="00F8595B"/>
    <w:rsid w:val="00F86381"/>
    <w:rsid w:val="00FC1830"/>
    <w:rsid w:val="00FC667E"/>
    <w:rsid w:val="00FD4C30"/>
    <w:rsid w:val="00FE0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FD98B"/>
  <w15:chartTrackingRefBased/>
  <w15:docId w15:val="{4E46AD44-D6D2-40CE-A993-F22B9E4CFE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14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147E"/>
    <w:rPr>
      <w:rFonts w:eastAsiaTheme="minorEastAsia"/>
      <w:lang w:val="en-US"/>
    </w:rPr>
  </w:style>
  <w:style w:type="paragraph" w:styleId="FootnoteText">
    <w:name w:val="footnote text"/>
    <w:basedOn w:val="Normal"/>
    <w:link w:val="FootnoteTextChar"/>
    <w:uiPriority w:val="99"/>
    <w:semiHidden/>
    <w:unhideWhenUsed/>
    <w:rsid w:val="000721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21AE"/>
    <w:rPr>
      <w:sz w:val="20"/>
      <w:szCs w:val="20"/>
    </w:rPr>
  </w:style>
  <w:style w:type="character" w:styleId="FootnoteReference">
    <w:name w:val="footnote reference"/>
    <w:basedOn w:val="DefaultParagraphFont"/>
    <w:uiPriority w:val="99"/>
    <w:semiHidden/>
    <w:unhideWhenUsed/>
    <w:rsid w:val="000721AE"/>
    <w:rPr>
      <w:vertAlign w:val="superscript"/>
    </w:rPr>
  </w:style>
  <w:style w:type="paragraph" w:styleId="ListParagraph">
    <w:name w:val="List Paragraph"/>
    <w:basedOn w:val="Normal"/>
    <w:uiPriority w:val="34"/>
    <w:qFormat/>
    <w:rsid w:val="000721AE"/>
    <w:pPr>
      <w:ind w:left="720"/>
      <w:contextualSpacing/>
    </w:pPr>
  </w:style>
  <w:style w:type="table" w:styleId="TableGrid">
    <w:name w:val="Table Grid"/>
    <w:basedOn w:val="TableNormal"/>
    <w:uiPriority w:val="39"/>
    <w:rsid w:val="00D67C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702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2CF"/>
  </w:style>
  <w:style w:type="paragraph" w:styleId="Footer">
    <w:name w:val="footer"/>
    <w:basedOn w:val="Normal"/>
    <w:link w:val="FooterChar"/>
    <w:uiPriority w:val="99"/>
    <w:unhideWhenUsed/>
    <w:rsid w:val="00A702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2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9.jpeg"/><Relationship Id="rId3" Type="http://schemas.openxmlformats.org/officeDocument/2006/relationships/customXml" Target="../customXml/item3.xml"/><Relationship Id="rId21" Type="http://schemas.openxmlformats.org/officeDocument/2006/relationships/image" Target="media/image11.jpeg"/><Relationship Id="rId34" Type="http://schemas.openxmlformats.org/officeDocument/2006/relationships/image" Target="media/image24.png"/><Relationship Id="rId42" Type="http://schemas.openxmlformats.org/officeDocument/2006/relationships/image" Target="media/image32.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jpeg"/><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image" Target="media/image19.png"/><Relationship Id="rId41" Type="http://schemas.openxmlformats.org/officeDocument/2006/relationships/image" Target="media/image3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jpeg"/><Relationship Id="rId40" Type="http://schemas.openxmlformats.org/officeDocument/2006/relationships/image" Target="media/image30.jpeg"/><Relationship Id="rId45"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image" Target="media/image21.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773808555904DE2BB08CF9F3CF7239F"/>
        <w:category>
          <w:name w:val="General"/>
          <w:gallery w:val="placeholder"/>
        </w:category>
        <w:types>
          <w:type w:val="bbPlcHdr"/>
        </w:types>
        <w:behaviors>
          <w:behavior w:val="content"/>
        </w:behaviors>
        <w:guid w:val="{7E0283FE-A7B6-40B9-8E7A-440DE302749E}"/>
      </w:docPartPr>
      <w:docPartBody>
        <w:p w:rsidR="00250985" w:rsidRDefault="004B76CA" w:rsidP="004B76CA">
          <w:pPr>
            <w:pStyle w:val="3773808555904DE2BB08CF9F3CF7239F"/>
          </w:pPr>
          <w:r>
            <w:rPr>
              <w:rFonts w:asciiTheme="majorHAnsi" w:eastAsiaTheme="majorEastAsia" w:hAnsiTheme="majorHAnsi" w:cstheme="majorBidi"/>
              <w:caps/>
              <w:color w:val="4472C4" w:themeColor="accent1"/>
              <w:sz w:val="80"/>
              <w:szCs w:val="80"/>
            </w:rPr>
            <w:t>[Document title]</w:t>
          </w:r>
        </w:p>
      </w:docPartBody>
    </w:docPart>
    <w:docPart>
      <w:docPartPr>
        <w:name w:val="C6956E64812343669900847135CA98C9"/>
        <w:category>
          <w:name w:val="General"/>
          <w:gallery w:val="placeholder"/>
        </w:category>
        <w:types>
          <w:type w:val="bbPlcHdr"/>
        </w:types>
        <w:behaviors>
          <w:behavior w:val="content"/>
        </w:behaviors>
        <w:guid w:val="{F7775E98-54D2-4046-9660-285FB0A7F6F0}"/>
      </w:docPartPr>
      <w:docPartBody>
        <w:p w:rsidR="00250985" w:rsidRDefault="004B76CA" w:rsidP="004B76CA">
          <w:pPr>
            <w:pStyle w:val="C6956E64812343669900847135CA98C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6CA"/>
    <w:rsid w:val="00250985"/>
    <w:rsid w:val="00416DE2"/>
    <w:rsid w:val="004B76CA"/>
    <w:rsid w:val="00A363A9"/>
    <w:rsid w:val="00A70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73808555904DE2BB08CF9F3CF7239F">
    <w:name w:val="3773808555904DE2BB08CF9F3CF7239F"/>
    <w:rsid w:val="004B76CA"/>
  </w:style>
  <w:style w:type="paragraph" w:customStyle="1" w:styleId="C6956E64812343669900847135CA98C9">
    <w:name w:val="C6956E64812343669900847135CA98C9"/>
    <w:rsid w:val="004B76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E3B6B7E6C346754FBAB66207B5F141FF" ma:contentTypeVersion="12" ma:contentTypeDescription="Create a new document." ma:contentTypeScope="" ma:versionID="aa03674031d8c468f637696b94018de0">
  <xsd:schema xmlns:xsd="http://www.w3.org/2001/XMLSchema" xmlns:xs="http://www.w3.org/2001/XMLSchema" xmlns:p="http://schemas.microsoft.com/office/2006/metadata/properties" xmlns:ns3="714503e4-03a2-41ac-83c5-392215edfeeb" xmlns:ns4="6c5815ae-2837-43f2-8282-dd7b541720e6" targetNamespace="http://schemas.microsoft.com/office/2006/metadata/properties" ma:root="true" ma:fieldsID="4cea2c2e32a994dd4a90328a64943c35" ns3:_="" ns4:_="">
    <xsd:import namespace="714503e4-03a2-41ac-83c5-392215edfeeb"/>
    <xsd:import namespace="6c5815ae-2837-43f2-8282-dd7b541720e6"/>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4503e4-03a2-41ac-83c5-392215edfe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c5815ae-2837-43f2-8282-dd7b541720e6"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F3EF1E-ED7A-422C-8F75-7A39E36D864E}">
  <ds:schemaRefs>
    <ds:schemaRef ds:uri="http://schemas.microsoft.com/sharepoint/v3/contenttype/forms"/>
  </ds:schemaRefs>
</ds:datastoreItem>
</file>

<file path=customXml/itemProps2.xml><?xml version="1.0" encoding="utf-8"?>
<ds:datastoreItem xmlns:ds="http://schemas.openxmlformats.org/officeDocument/2006/customXml" ds:itemID="{506F8BAE-FA8A-4473-8FCC-9374C4BC7E32}">
  <ds:schemaRefs>
    <ds:schemaRef ds:uri="http://schemas.microsoft.com/office/2006/metadata/properties"/>
    <ds:schemaRef ds:uri="http://schemas.microsoft.com/office/2006/documentManagement/types"/>
    <ds:schemaRef ds:uri="http://schemas.microsoft.com/office/infopath/2007/PartnerControls"/>
    <ds:schemaRef ds:uri="714503e4-03a2-41ac-83c5-392215edfeeb"/>
    <ds:schemaRef ds:uri="http://purl.org/dc/elements/1.1/"/>
    <ds:schemaRef ds:uri="http://purl.org/dc/terms/"/>
    <ds:schemaRef ds:uri="http://www.w3.org/XML/1998/namespace"/>
    <ds:schemaRef ds:uri="http://purl.org/dc/dcmitype/"/>
    <ds:schemaRef ds:uri="http://schemas.openxmlformats.org/package/2006/metadata/core-properties"/>
    <ds:schemaRef ds:uri="6c5815ae-2837-43f2-8282-dd7b541720e6"/>
  </ds:schemaRefs>
</ds:datastoreItem>
</file>

<file path=customXml/itemProps3.xml><?xml version="1.0" encoding="utf-8"?>
<ds:datastoreItem xmlns:ds="http://schemas.openxmlformats.org/officeDocument/2006/customXml" ds:itemID="{D01B72BD-361D-40B6-AC93-DFF09BC3C9B2}">
  <ds:schemaRefs>
    <ds:schemaRef ds:uri="http://schemas.openxmlformats.org/officeDocument/2006/bibliography"/>
  </ds:schemaRefs>
</ds:datastoreItem>
</file>

<file path=customXml/itemProps4.xml><?xml version="1.0" encoding="utf-8"?>
<ds:datastoreItem xmlns:ds="http://schemas.openxmlformats.org/officeDocument/2006/customXml" ds:itemID="{D0AD84C3-ACE2-4DAB-BC44-0531D318E1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4503e4-03a2-41ac-83c5-392215edfeeb"/>
    <ds:schemaRef ds:uri="6c5815ae-2837-43f2-8282-dd7b541720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3922</Words>
  <Characters>22357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Usability Engineering: Assignment 1</vt:lpstr>
    </vt:vector>
  </TitlesOfParts>
  <Company>Jake Mason 256602</Company>
  <LinksUpToDate>false</LinksUpToDate>
  <CharactersWithSpaces>26227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Usability Engineering: Assignment 1</dc:title>
  <dc:subject>COVID App prototype.</dc:subject>
  <dc:creator>256602 (Jake Mason)</dc:creator>
  <cp:keywords/>
  <dc:description/>
  <cp:lastModifiedBy>Pauline Greenaway</cp:lastModifiedBy>
  <cp:revision>2</cp:revision>
  <dcterms:created xsi:type="dcterms:W3CDTF">2022-04-13T10:32:00Z</dcterms:created>
  <dcterms:modified xsi:type="dcterms:W3CDTF">2022-04-13T10:32:00Z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0x010100E3B6B7E6C346754FBAB66207B5F141FF</vt:lpwstr>
  </property>
</Properties>
</file>