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3BF99" w14:textId="77777777" w:rsidR="002450B9" w:rsidRDefault="002450B9" w:rsidP="002450B9">
      <w:r>
        <w:rPr>
          <w:noProof/>
        </w:rPr>
        <w:drawing>
          <wp:inline distT="0" distB="0" distL="0" distR="0" wp14:anchorId="2F8E7CA3" wp14:editId="0850340A">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CAA5C2D" w14:textId="77777777" w:rsidR="002450B9" w:rsidRDefault="002450B9" w:rsidP="002450B9"/>
    <w:p w14:paraId="4E9EED1C" w14:textId="77777777" w:rsidR="002450B9" w:rsidRDefault="002450B9" w:rsidP="002450B9"/>
    <w:p w14:paraId="41FB1EF1" w14:textId="77777777" w:rsidR="002450B9" w:rsidRDefault="002450B9" w:rsidP="002450B9"/>
    <w:p w14:paraId="59DEE03C" w14:textId="77777777" w:rsidR="002450B9" w:rsidRPr="008F4215" w:rsidRDefault="002450B9" w:rsidP="002450B9">
      <w:pPr>
        <w:rPr>
          <w:rFonts w:ascii="Arial" w:hAnsi="Arial" w:cs="Arial"/>
          <w:b/>
          <w:bCs/>
          <w:sz w:val="56"/>
          <w:szCs w:val="56"/>
        </w:rPr>
      </w:pPr>
      <w:r w:rsidRPr="008F4215">
        <w:rPr>
          <w:rFonts w:ascii="Arial" w:hAnsi="Arial" w:cs="Arial"/>
          <w:b/>
          <w:bCs/>
          <w:sz w:val="56"/>
          <w:szCs w:val="56"/>
        </w:rPr>
        <w:t xml:space="preserve">BA(Hons) Business Management </w:t>
      </w:r>
    </w:p>
    <w:p w14:paraId="564D5216" w14:textId="77777777" w:rsidR="002450B9" w:rsidRDefault="002450B9" w:rsidP="002450B9">
      <w:pPr>
        <w:spacing w:line="600" w:lineRule="auto"/>
        <w:rPr>
          <w:rFonts w:ascii="Arial" w:hAnsi="Arial" w:cs="Arial"/>
          <w:i/>
          <w:iCs/>
        </w:rPr>
      </w:pPr>
    </w:p>
    <w:p w14:paraId="6F52EC3B" w14:textId="19E451D5" w:rsidR="002450B9" w:rsidRPr="002450B9" w:rsidRDefault="002450B9" w:rsidP="002450B9">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proofErr w:type="spellStart"/>
      <w:r>
        <w:rPr>
          <w:rFonts w:ascii="Arial" w:hAnsi="Arial" w:cs="Arial"/>
          <w:i/>
          <w:iCs/>
        </w:rPr>
        <w:t>Szabina</w:t>
      </w:r>
      <w:proofErr w:type="spellEnd"/>
      <w:r>
        <w:rPr>
          <w:rFonts w:ascii="Arial" w:hAnsi="Arial" w:cs="Arial"/>
          <w:i/>
          <w:iCs/>
        </w:rPr>
        <w:t xml:space="preserve"> Molnar</w:t>
      </w:r>
    </w:p>
    <w:p w14:paraId="5B3D9642" w14:textId="06F3ABFE" w:rsidR="002450B9" w:rsidRPr="002450B9" w:rsidRDefault="002450B9" w:rsidP="002450B9">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64BA415C" w14:textId="4FB09D39" w:rsidR="002450B9" w:rsidRPr="00F37B62" w:rsidRDefault="002450B9" w:rsidP="002450B9">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International Financial Management</w:t>
      </w:r>
    </w:p>
    <w:p w14:paraId="586A4907" w14:textId="4324325E" w:rsidR="002450B9" w:rsidRPr="002450B9" w:rsidRDefault="002450B9" w:rsidP="002450B9">
      <w:pPr>
        <w:spacing w:line="600" w:lineRule="auto"/>
        <w:rPr>
          <w:rFonts w:ascii="Arial" w:hAnsi="Arial" w:cs="Arial"/>
          <w:i/>
          <w:iCs/>
        </w:rPr>
      </w:pPr>
      <w:r w:rsidRPr="008F4215">
        <w:rPr>
          <w:rFonts w:ascii="Arial" w:hAnsi="Arial" w:cs="Arial"/>
          <w:b/>
          <w:bCs/>
          <w:i/>
          <w:iCs/>
        </w:rPr>
        <w:t xml:space="preserve">Lecturer Name: </w:t>
      </w:r>
      <w:r w:rsidR="00F64199">
        <w:rPr>
          <w:rFonts w:ascii="Arial" w:hAnsi="Arial" w:cs="Arial"/>
          <w:i/>
          <w:iCs/>
        </w:rPr>
        <w:t>Andry Rakotovololona</w:t>
      </w:r>
    </w:p>
    <w:p w14:paraId="00806CE2" w14:textId="24E19AD9" w:rsidR="002450B9" w:rsidRDefault="002450B9" w:rsidP="002450B9">
      <w:pPr>
        <w:spacing w:line="600" w:lineRule="auto"/>
        <w:rPr>
          <w:rFonts w:ascii="Arial" w:hAnsi="Arial" w:cs="Arial"/>
          <w:b/>
          <w:bCs/>
          <w:i/>
          <w:iCs/>
        </w:rPr>
      </w:pPr>
      <w:r w:rsidRPr="008F4215">
        <w:rPr>
          <w:rFonts w:ascii="Arial" w:hAnsi="Arial" w:cs="Arial"/>
          <w:b/>
          <w:bCs/>
          <w:i/>
          <w:iCs/>
        </w:rPr>
        <w:t>Session</w:t>
      </w:r>
      <w:r w:rsidRPr="00F37B62">
        <w:rPr>
          <w:rFonts w:ascii="Arial" w:hAnsi="Arial" w:cs="Arial"/>
          <w:i/>
          <w:iCs/>
        </w:rPr>
        <w:t xml:space="preserve">: </w:t>
      </w:r>
      <w:r w:rsidRPr="002450B9">
        <w:rPr>
          <w:rFonts w:ascii="Arial" w:hAnsi="Arial" w:cs="Arial"/>
          <w:i/>
          <w:iCs/>
        </w:rPr>
        <w:t>February 2024</w:t>
      </w:r>
      <w:r w:rsidRPr="002450B9">
        <w:rPr>
          <w:rFonts w:ascii="Arial" w:hAnsi="Arial" w:cs="Arial"/>
          <w:i/>
          <w:iCs/>
        </w:rPr>
        <w:t xml:space="preserve"> Term</w:t>
      </w:r>
      <w:r w:rsidRPr="009D3D77">
        <w:rPr>
          <w:rFonts w:ascii="Arial" w:hAnsi="Arial" w:cs="Arial"/>
          <w:b/>
          <w:bCs/>
          <w:i/>
          <w:iCs/>
        </w:rPr>
        <w:t xml:space="preserve"> </w:t>
      </w:r>
    </w:p>
    <w:p w14:paraId="59DDDDB0" w14:textId="09CF9076" w:rsidR="002450B9" w:rsidRPr="002450B9" w:rsidRDefault="002450B9" w:rsidP="002450B9">
      <w:pPr>
        <w:spacing w:line="600" w:lineRule="auto"/>
        <w:rPr>
          <w:rFonts w:ascii="Arial" w:hAnsi="Arial" w:cs="Arial"/>
          <w:i/>
          <w:iCs/>
        </w:rPr>
      </w:pPr>
      <w:r w:rsidRPr="005A2DE7">
        <w:rPr>
          <w:rFonts w:ascii="Arial" w:hAnsi="Arial" w:cs="Arial"/>
          <w:b/>
          <w:bCs/>
          <w:i/>
          <w:iCs/>
        </w:rPr>
        <w:t>Assessment title:</w:t>
      </w:r>
      <w:r>
        <w:rPr>
          <w:rFonts w:ascii="Arial" w:hAnsi="Arial" w:cs="Arial"/>
          <w:b/>
          <w:bCs/>
          <w:i/>
          <w:iCs/>
        </w:rPr>
        <w:t xml:space="preserve"> </w:t>
      </w:r>
      <w:r w:rsidRPr="002450B9">
        <w:rPr>
          <w:rFonts w:ascii="Arial" w:hAnsi="Arial" w:cs="Arial"/>
          <w:i/>
          <w:iCs/>
        </w:rPr>
        <w:t>Coursework</w:t>
      </w:r>
      <w:r w:rsidRPr="002450B9">
        <w:rPr>
          <w:rFonts w:ascii="Arial" w:hAnsi="Arial" w:cs="Arial"/>
          <w:i/>
          <w:iCs/>
        </w:rPr>
        <w:t>,</w:t>
      </w:r>
      <w:r w:rsidRPr="002450B9">
        <w:rPr>
          <w:rFonts w:ascii="Arial" w:hAnsi="Arial" w:cs="Arial"/>
          <w:i/>
          <w:iCs/>
        </w:rPr>
        <w:t xml:space="preserve"> Written Report</w:t>
      </w:r>
    </w:p>
    <w:p w14:paraId="0562C027" w14:textId="77777777" w:rsidR="005953C5" w:rsidRDefault="005953C5"/>
    <w:p w14:paraId="58765176" w14:textId="77777777" w:rsidR="002450B9" w:rsidRDefault="002450B9"/>
    <w:p w14:paraId="2C1D3DE3" w14:textId="77777777" w:rsidR="002450B9" w:rsidRDefault="002450B9"/>
    <w:p w14:paraId="2B75D3FE" w14:textId="77777777" w:rsidR="002450B9" w:rsidRDefault="002450B9"/>
    <w:p w14:paraId="135F652D" w14:textId="77777777" w:rsidR="002450B9" w:rsidRDefault="002450B9"/>
    <w:p w14:paraId="55DDE344" w14:textId="77777777" w:rsidR="002450B9" w:rsidRDefault="002450B9"/>
    <w:p w14:paraId="79EF5EF4" w14:textId="77777777" w:rsidR="002450B9" w:rsidRDefault="002450B9"/>
    <w:p w14:paraId="64B159DC" w14:textId="77777777" w:rsidR="002450B9" w:rsidRDefault="002450B9" w:rsidP="002450B9">
      <w:pPr>
        <w:jc w:val="center"/>
        <w:rPr>
          <w:rFonts w:ascii="Arial" w:hAnsi="Arial" w:cs="Arial"/>
          <w:b/>
          <w:bCs/>
          <w:color w:val="0D0D0D"/>
          <w:sz w:val="28"/>
          <w:szCs w:val="28"/>
          <w:shd w:val="clear" w:color="auto" w:fill="FFFFFF"/>
        </w:rPr>
      </w:pPr>
      <w:r w:rsidRPr="002450B9">
        <w:rPr>
          <w:rFonts w:ascii="Arial" w:hAnsi="Arial" w:cs="Arial"/>
          <w:b/>
          <w:bCs/>
          <w:color w:val="0D0D0D"/>
          <w:sz w:val="28"/>
          <w:szCs w:val="28"/>
          <w:shd w:val="clear" w:color="auto" w:fill="FFFFFF"/>
        </w:rPr>
        <w:lastRenderedPageBreak/>
        <w:t>Currency Risk Management in Multinational Enterprises:</w:t>
      </w:r>
    </w:p>
    <w:p w14:paraId="6E611429" w14:textId="34DB8606" w:rsidR="002450B9" w:rsidRDefault="002450B9" w:rsidP="002450B9">
      <w:pPr>
        <w:jc w:val="center"/>
        <w:rPr>
          <w:rFonts w:ascii="Arial" w:hAnsi="Arial" w:cs="Arial"/>
          <w:b/>
          <w:bCs/>
          <w:color w:val="0D0D0D"/>
          <w:sz w:val="28"/>
          <w:szCs w:val="28"/>
          <w:shd w:val="clear" w:color="auto" w:fill="FFFFFF"/>
        </w:rPr>
      </w:pPr>
      <w:r w:rsidRPr="002450B9">
        <w:rPr>
          <w:rFonts w:ascii="Arial" w:hAnsi="Arial" w:cs="Arial"/>
          <w:b/>
          <w:bCs/>
          <w:color w:val="0D0D0D"/>
          <w:sz w:val="28"/>
          <w:szCs w:val="28"/>
          <w:shd w:val="clear" w:color="auto" w:fill="FFFFFF"/>
        </w:rPr>
        <w:t xml:space="preserve"> Strategies and Insights</w:t>
      </w:r>
    </w:p>
    <w:p w14:paraId="7C90EC85" w14:textId="77777777" w:rsidR="002450B9" w:rsidRDefault="002450B9" w:rsidP="002450B9">
      <w:pPr>
        <w:jc w:val="center"/>
        <w:rPr>
          <w:rFonts w:ascii="Arial" w:hAnsi="Arial" w:cs="Arial"/>
          <w:b/>
          <w:bCs/>
          <w:color w:val="0D0D0D"/>
          <w:sz w:val="28"/>
          <w:szCs w:val="28"/>
          <w:shd w:val="clear" w:color="auto" w:fill="FFFFFF"/>
        </w:rPr>
      </w:pPr>
    </w:p>
    <w:p w14:paraId="7C6A7F00" w14:textId="77777777" w:rsidR="00460CB8" w:rsidRDefault="00460CB8" w:rsidP="002450B9">
      <w:pPr>
        <w:jc w:val="center"/>
        <w:rPr>
          <w:rFonts w:ascii="Arial" w:hAnsi="Arial" w:cs="Arial"/>
          <w:b/>
          <w:bCs/>
          <w:color w:val="0D0D0D"/>
          <w:sz w:val="28"/>
          <w:szCs w:val="28"/>
          <w:shd w:val="clear" w:color="auto" w:fill="FFFFFF"/>
        </w:rPr>
      </w:pPr>
    </w:p>
    <w:p w14:paraId="1BE5E5CC" w14:textId="77777777" w:rsidR="00460CB8" w:rsidRDefault="00460CB8" w:rsidP="002450B9">
      <w:pPr>
        <w:jc w:val="center"/>
        <w:rPr>
          <w:rFonts w:ascii="Arial" w:hAnsi="Arial" w:cs="Arial"/>
          <w:b/>
          <w:bCs/>
          <w:color w:val="0D0D0D"/>
          <w:sz w:val="28"/>
          <w:szCs w:val="28"/>
          <w:shd w:val="clear" w:color="auto" w:fill="FFFFFF"/>
        </w:rPr>
      </w:pPr>
    </w:p>
    <w:p w14:paraId="65433AAD" w14:textId="77777777" w:rsidR="00460CB8" w:rsidRDefault="00460CB8" w:rsidP="002450B9">
      <w:pPr>
        <w:jc w:val="center"/>
        <w:rPr>
          <w:rFonts w:ascii="Arial" w:hAnsi="Arial" w:cs="Arial"/>
          <w:b/>
          <w:bCs/>
          <w:color w:val="0D0D0D"/>
          <w:sz w:val="28"/>
          <w:szCs w:val="28"/>
          <w:shd w:val="clear" w:color="auto" w:fill="FFFFFF"/>
        </w:rPr>
      </w:pPr>
    </w:p>
    <w:p w14:paraId="6ECC4103" w14:textId="73FB066A" w:rsidR="00460CB8" w:rsidRDefault="00460CB8" w:rsidP="002450B9">
      <w:pPr>
        <w:jc w:val="center"/>
        <w:rPr>
          <w:rFonts w:ascii="Arial" w:hAnsi="Arial" w:cs="Arial"/>
          <w:b/>
          <w:bCs/>
          <w:color w:val="0D0D0D"/>
          <w:sz w:val="28"/>
          <w:szCs w:val="28"/>
          <w:shd w:val="clear" w:color="auto" w:fill="FFFFFF"/>
        </w:rPr>
      </w:pPr>
      <w:r>
        <w:rPr>
          <w:rFonts w:ascii="Arial" w:hAnsi="Arial" w:cs="Arial"/>
          <w:b/>
          <w:bCs/>
          <w:color w:val="0D0D0D"/>
          <w:sz w:val="28"/>
          <w:szCs w:val="28"/>
          <w:shd w:val="clear" w:color="auto" w:fill="FFFFFF"/>
        </w:rPr>
        <w:t>Abstract</w:t>
      </w:r>
    </w:p>
    <w:p w14:paraId="781921C0" w14:textId="77777777" w:rsidR="00460CB8" w:rsidRDefault="00460CB8" w:rsidP="00460CB8">
      <w:pPr>
        <w:rPr>
          <w:rFonts w:ascii="Arial" w:hAnsi="Arial" w:cs="Arial"/>
          <w:b/>
          <w:bCs/>
          <w:color w:val="0D0D0D"/>
          <w:sz w:val="28"/>
          <w:szCs w:val="28"/>
          <w:shd w:val="clear" w:color="auto" w:fill="FFFFFF"/>
        </w:rPr>
      </w:pPr>
    </w:p>
    <w:p w14:paraId="2A76FC3C" w14:textId="7728984B" w:rsidR="002450B9" w:rsidRDefault="00460CB8" w:rsidP="00460CB8">
      <w:pPr>
        <w:jc w:val="both"/>
        <w:rPr>
          <w:rFonts w:ascii="Arial" w:hAnsi="Arial" w:cs="Arial"/>
          <w:i/>
          <w:iCs/>
          <w:sz w:val="28"/>
          <w:szCs w:val="28"/>
        </w:rPr>
      </w:pPr>
      <w:r w:rsidRPr="00460CB8">
        <w:rPr>
          <w:rFonts w:ascii="Arial" w:hAnsi="Arial" w:cs="Arial"/>
          <w:i/>
          <w:iCs/>
          <w:sz w:val="28"/>
          <w:szCs w:val="28"/>
        </w:rPr>
        <w:t xml:space="preserve">The foreign exchange rate plays a pivotal role in gauging a country's economic vitality. It serves as a cornerstone for financial stability, bolsters purchasing power, and facilitates international trade. This rate is subject to constant fluctuations driven by market dynamics, chiefly influenced by the interplay of currency supply and demand. Factors such as nominal and relative inflation, income levels, governmental policies, global events, and unforeseen circumstances like pandemics or geopolitical crises, such as the Rohingya crisis, can exert significant pressure on exchange rates. Furthermore, the intricate interplay of these factors can yield diverse outcomes, shaping market dynamics. This study </w:t>
      </w:r>
      <w:r w:rsidRPr="00460CB8">
        <w:rPr>
          <w:rFonts w:ascii="Arial" w:hAnsi="Arial" w:cs="Arial"/>
          <w:i/>
          <w:iCs/>
          <w:sz w:val="28"/>
          <w:szCs w:val="28"/>
        </w:rPr>
        <w:t>endeavours</w:t>
      </w:r>
      <w:r w:rsidRPr="00460CB8">
        <w:rPr>
          <w:rFonts w:ascii="Arial" w:hAnsi="Arial" w:cs="Arial"/>
          <w:i/>
          <w:iCs/>
          <w:sz w:val="28"/>
          <w:szCs w:val="28"/>
        </w:rPr>
        <w:t xml:space="preserve"> to elucidate these factors through pertinent examples.</w:t>
      </w:r>
    </w:p>
    <w:p w14:paraId="23838661" w14:textId="77777777" w:rsidR="00460CB8" w:rsidRDefault="00460CB8" w:rsidP="00460CB8">
      <w:pPr>
        <w:jc w:val="both"/>
        <w:rPr>
          <w:rFonts w:ascii="Arial" w:hAnsi="Arial" w:cs="Arial"/>
          <w:i/>
          <w:iCs/>
          <w:sz w:val="28"/>
          <w:szCs w:val="28"/>
        </w:rPr>
      </w:pPr>
    </w:p>
    <w:p w14:paraId="76E4CC1B" w14:textId="77777777" w:rsidR="00460CB8" w:rsidRDefault="00460CB8" w:rsidP="00460CB8">
      <w:pPr>
        <w:jc w:val="both"/>
        <w:rPr>
          <w:rFonts w:ascii="Arial" w:hAnsi="Arial" w:cs="Arial"/>
          <w:i/>
          <w:iCs/>
          <w:sz w:val="28"/>
          <w:szCs w:val="28"/>
        </w:rPr>
      </w:pPr>
    </w:p>
    <w:p w14:paraId="6C78589A" w14:textId="77777777" w:rsidR="00460CB8" w:rsidRDefault="00460CB8" w:rsidP="00460CB8">
      <w:pPr>
        <w:jc w:val="both"/>
        <w:rPr>
          <w:rFonts w:ascii="Arial" w:hAnsi="Arial" w:cs="Arial"/>
          <w:i/>
          <w:iCs/>
          <w:sz w:val="28"/>
          <w:szCs w:val="28"/>
        </w:rPr>
      </w:pPr>
    </w:p>
    <w:p w14:paraId="7A2E26EB" w14:textId="77777777" w:rsidR="00460CB8" w:rsidRDefault="00460CB8" w:rsidP="00460CB8">
      <w:pPr>
        <w:jc w:val="both"/>
        <w:rPr>
          <w:rFonts w:ascii="Arial" w:hAnsi="Arial" w:cs="Arial"/>
          <w:i/>
          <w:iCs/>
          <w:sz w:val="28"/>
          <w:szCs w:val="28"/>
        </w:rPr>
      </w:pPr>
    </w:p>
    <w:p w14:paraId="7CAD9A7F" w14:textId="77777777" w:rsidR="00460CB8" w:rsidRDefault="00460CB8" w:rsidP="00460CB8">
      <w:pPr>
        <w:jc w:val="both"/>
        <w:rPr>
          <w:rFonts w:ascii="Arial" w:hAnsi="Arial" w:cs="Arial"/>
          <w:i/>
          <w:iCs/>
          <w:sz w:val="28"/>
          <w:szCs w:val="28"/>
        </w:rPr>
      </w:pPr>
    </w:p>
    <w:p w14:paraId="29CD65B9" w14:textId="77777777" w:rsidR="00460CB8" w:rsidRDefault="00460CB8" w:rsidP="00460CB8">
      <w:pPr>
        <w:jc w:val="both"/>
        <w:rPr>
          <w:rFonts w:ascii="Arial" w:hAnsi="Arial" w:cs="Arial"/>
          <w:i/>
          <w:iCs/>
          <w:sz w:val="28"/>
          <w:szCs w:val="28"/>
        </w:rPr>
      </w:pPr>
    </w:p>
    <w:p w14:paraId="4B5FE0FA" w14:textId="77777777" w:rsidR="00460CB8" w:rsidRDefault="00460CB8" w:rsidP="00460CB8">
      <w:pPr>
        <w:jc w:val="both"/>
        <w:rPr>
          <w:rFonts w:ascii="Arial" w:hAnsi="Arial" w:cs="Arial"/>
          <w:i/>
          <w:iCs/>
          <w:sz w:val="28"/>
          <w:szCs w:val="28"/>
        </w:rPr>
      </w:pPr>
    </w:p>
    <w:p w14:paraId="0ADA363C" w14:textId="77777777" w:rsidR="00460CB8" w:rsidRDefault="00460CB8" w:rsidP="00460CB8">
      <w:pPr>
        <w:jc w:val="both"/>
        <w:rPr>
          <w:rFonts w:ascii="Arial" w:hAnsi="Arial" w:cs="Arial"/>
          <w:i/>
          <w:iCs/>
          <w:sz w:val="28"/>
          <w:szCs w:val="28"/>
        </w:rPr>
      </w:pPr>
    </w:p>
    <w:p w14:paraId="132EE514" w14:textId="77777777" w:rsidR="00460CB8" w:rsidRDefault="00460CB8" w:rsidP="00460CB8">
      <w:pPr>
        <w:jc w:val="both"/>
        <w:rPr>
          <w:rFonts w:ascii="Arial" w:hAnsi="Arial" w:cs="Arial"/>
          <w:i/>
          <w:iCs/>
          <w:sz w:val="28"/>
          <w:szCs w:val="28"/>
        </w:rPr>
      </w:pPr>
    </w:p>
    <w:p w14:paraId="50D2232C" w14:textId="77777777" w:rsidR="00460CB8" w:rsidRDefault="00460CB8" w:rsidP="00460CB8">
      <w:pPr>
        <w:jc w:val="both"/>
        <w:rPr>
          <w:rFonts w:ascii="Arial" w:hAnsi="Arial" w:cs="Arial"/>
          <w:i/>
          <w:iCs/>
          <w:sz w:val="28"/>
          <w:szCs w:val="28"/>
        </w:rPr>
      </w:pPr>
    </w:p>
    <w:p w14:paraId="0D800E2B" w14:textId="77777777" w:rsidR="00460CB8" w:rsidRDefault="00460CB8" w:rsidP="00460CB8">
      <w:pPr>
        <w:jc w:val="both"/>
        <w:rPr>
          <w:rFonts w:ascii="Arial" w:hAnsi="Arial" w:cs="Arial"/>
          <w:i/>
          <w:iCs/>
          <w:sz w:val="28"/>
          <w:szCs w:val="28"/>
        </w:rPr>
      </w:pPr>
    </w:p>
    <w:p w14:paraId="5E3601D2" w14:textId="77777777" w:rsidR="00460CB8" w:rsidRDefault="00460CB8" w:rsidP="00460CB8">
      <w:pPr>
        <w:jc w:val="both"/>
        <w:rPr>
          <w:rFonts w:ascii="Arial" w:hAnsi="Arial" w:cs="Arial"/>
          <w:i/>
          <w:iCs/>
          <w:sz w:val="28"/>
          <w:szCs w:val="28"/>
        </w:rPr>
      </w:pPr>
    </w:p>
    <w:p w14:paraId="25B0AA0E" w14:textId="77777777" w:rsidR="00460CB8" w:rsidRPr="00FB2B9D" w:rsidRDefault="00460CB8" w:rsidP="00460CB8">
      <w:pPr>
        <w:jc w:val="both"/>
        <w:rPr>
          <w:rFonts w:ascii="Arial" w:hAnsi="Arial" w:cs="Arial"/>
          <w:b/>
          <w:bCs/>
        </w:rPr>
      </w:pPr>
      <w:r w:rsidRPr="00FB2B9D">
        <w:rPr>
          <w:rFonts w:ascii="Arial" w:hAnsi="Arial" w:cs="Arial"/>
          <w:b/>
          <w:bCs/>
        </w:rPr>
        <w:lastRenderedPageBreak/>
        <w:t>Introduction</w:t>
      </w:r>
    </w:p>
    <w:p w14:paraId="0578A8A4" w14:textId="77777777" w:rsidR="00460CB8" w:rsidRPr="00E918D4" w:rsidRDefault="00460CB8" w:rsidP="00460CB8">
      <w:pPr>
        <w:jc w:val="both"/>
        <w:rPr>
          <w:rFonts w:ascii="Arial" w:hAnsi="Arial" w:cs="Arial"/>
        </w:rPr>
      </w:pPr>
      <w:r w:rsidRPr="00E918D4">
        <w:rPr>
          <w:rFonts w:ascii="Arial" w:hAnsi="Arial" w:cs="Arial"/>
        </w:rPr>
        <w:t>Foreign exchange risks</w:t>
      </w:r>
      <w:r>
        <w:rPr>
          <w:rFonts w:ascii="Arial" w:hAnsi="Arial" w:cs="Arial"/>
        </w:rPr>
        <w:t xml:space="preserve"> (forex)</w:t>
      </w:r>
      <w:r w:rsidRPr="00E918D4">
        <w:rPr>
          <w:rFonts w:ascii="Arial" w:hAnsi="Arial" w:cs="Arial"/>
        </w:rPr>
        <w:t xml:space="preserve"> pose significant challenges to multinational corporations (MNCs), stemming from the uncertainty of exchange rate fluctuations. These risks, including transaction, translation, and economic exposures, affect financial performance and competitive dynamics. Understanding the factors driving exchange rate movements</w:t>
      </w:r>
      <w:r>
        <w:rPr>
          <w:rFonts w:ascii="Arial" w:hAnsi="Arial" w:cs="Arial"/>
        </w:rPr>
        <w:t xml:space="preserve"> </w:t>
      </w:r>
      <w:r w:rsidRPr="00E918D4">
        <w:rPr>
          <w:rFonts w:ascii="Arial" w:hAnsi="Arial" w:cs="Arial"/>
        </w:rPr>
        <w:t>such as inflation differentials, interest rates, income levels, governmental policies, and market expectations</w:t>
      </w:r>
      <w:r>
        <w:rPr>
          <w:rFonts w:ascii="Arial" w:hAnsi="Arial" w:cs="Arial"/>
        </w:rPr>
        <w:t xml:space="preserve"> </w:t>
      </w:r>
      <w:r w:rsidRPr="00E918D4">
        <w:rPr>
          <w:rFonts w:ascii="Arial" w:hAnsi="Arial" w:cs="Arial"/>
        </w:rPr>
        <w:t>is essential for effective risk management.</w:t>
      </w:r>
    </w:p>
    <w:p w14:paraId="00EA4EFC" w14:textId="77777777" w:rsidR="00460CB8" w:rsidRPr="00E918D4" w:rsidRDefault="00460CB8" w:rsidP="00460CB8">
      <w:pPr>
        <w:jc w:val="both"/>
        <w:rPr>
          <w:rFonts w:ascii="Arial" w:hAnsi="Arial" w:cs="Arial"/>
        </w:rPr>
      </w:pPr>
      <w:r w:rsidRPr="00E918D4">
        <w:rPr>
          <w:rFonts w:ascii="Arial" w:hAnsi="Arial" w:cs="Arial"/>
        </w:rPr>
        <w:t>This report explores strategies MNCs employ to mitigate foreign exchange risks. These include natural hedging, financial hedging, operational strategies, and strategic financial management. By examining empirical evidence and case studies, we assess the efficacy of these strategies in enhancing corporate resilience.</w:t>
      </w:r>
    </w:p>
    <w:p w14:paraId="37E4BDE3" w14:textId="77777777" w:rsidR="00460CB8" w:rsidRPr="00E918D4" w:rsidRDefault="00460CB8" w:rsidP="00460CB8">
      <w:pPr>
        <w:jc w:val="both"/>
        <w:rPr>
          <w:rFonts w:ascii="Arial" w:hAnsi="Arial" w:cs="Arial"/>
        </w:rPr>
      </w:pPr>
      <w:r w:rsidRPr="00E918D4">
        <w:rPr>
          <w:rFonts w:ascii="Arial" w:hAnsi="Arial" w:cs="Arial"/>
        </w:rPr>
        <w:t xml:space="preserve">In </w:t>
      </w:r>
      <w:r>
        <w:rPr>
          <w:rFonts w:ascii="Arial" w:hAnsi="Arial" w:cs="Arial"/>
        </w:rPr>
        <w:t>essence</w:t>
      </w:r>
      <w:r w:rsidRPr="00E918D4">
        <w:rPr>
          <w:rFonts w:ascii="Arial" w:hAnsi="Arial" w:cs="Arial"/>
        </w:rPr>
        <w:t>, MNCs must navigate the complexities of foreign exchange risks with tailored risk management strategies. This requires a comprehensive understanding of exchange rate dynamics and adept implementation of mitigation strategies. Through strategic risk management, MNCs can safeguard their financial performance and competitiveness in the global marketplace.</w:t>
      </w:r>
    </w:p>
    <w:p w14:paraId="5D558AFA" w14:textId="77777777" w:rsidR="00460CB8" w:rsidRPr="00333B5A" w:rsidRDefault="00460CB8" w:rsidP="00460CB8">
      <w:pPr>
        <w:jc w:val="both"/>
        <w:rPr>
          <w:rFonts w:ascii="Arial" w:hAnsi="Arial" w:cs="Arial"/>
        </w:rPr>
      </w:pPr>
    </w:p>
    <w:p w14:paraId="35C17223" w14:textId="77777777" w:rsidR="00460CB8" w:rsidRDefault="00460CB8" w:rsidP="00460CB8">
      <w:pPr>
        <w:jc w:val="both"/>
        <w:rPr>
          <w:rFonts w:ascii="Arial" w:hAnsi="Arial" w:cs="Arial"/>
          <w:b/>
          <w:bCs/>
        </w:rPr>
      </w:pPr>
      <w:r w:rsidRPr="00D249FC">
        <w:rPr>
          <w:rFonts w:ascii="Arial" w:hAnsi="Arial" w:cs="Arial"/>
          <w:b/>
          <w:bCs/>
        </w:rPr>
        <w:t>Understanding foreign exchange risks</w:t>
      </w:r>
    </w:p>
    <w:p w14:paraId="59446FF8" w14:textId="77777777" w:rsidR="00460CB8" w:rsidRPr="00D249FC" w:rsidRDefault="00460CB8" w:rsidP="00460CB8">
      <w:pPr>
        <w:jc w:val="both"/>
        <w:rPr>
          <w:rFonts w:ascii="Arial" w:hAnsi="Arial" w:cs="Arial"/>
        </w:rPr>
      </w:pPr>
      <w:r w:rsidRPr="00D249FC">
        <w:rPr>
          <w:rFonts w:ascii="Arial" w:hAnsi="Arial" w:cs="Arial"/>
        </w:rPr>
        <w:t>Foreign exchange risks stem from the uncertainty surrounding exchange rate movements, which can significantly affect the financial performance and competitive dynamics of MNCs. These risks manifest in various forms, necessitating a nuanced understanding to effectively manage them. Transaction exposure, one of the primary sources of forex risks, arises from contractual obligations denominated in foreign currencies. For example, if an MNC imports raw materials from abroad or exports goods to foreign markets, fluctuations in exchange rates can lead to price volatility, impacting revenue streams and profit margins.</w:t>
      </w:r>
      <w:r>
        <w:rPr>
          <w:rFonts w:ascii="Arial" w:hAnsi="Arial" w:cs="Arial"/>
        </w:rPr>
        <w:t xml:space="preserve"> (</w:t>
      </w:r>
      <w:proofErr w:type="spellStart"/>
      <w:r w:rsidRPr="001B1F60">
        <w:rPr>
          <w:rFonts w:ascii="Arial" w:hAnsi="Arial" w:cs="Arial"/>
          <w:lang w:val="hu-HU"/>
        </w:rPr>
        <w:t>Bodie</w:t>
      </w:r>
      <w:proofErr w:type="spellEnd"/>
      <w:r w:rsidRPr="001B1F60">
        <w:rPr>
          <w:rFonts w:ascii="Arial" w:hAnsi="Arial" w:cs="Arial"/>
          <w:lang w:val="hu-HU"/>
        </w:rPr>
        <w:t xml:space="preserve"> </w:t>
      </w:r>
      <w:proofErr w:type="spellStart"/>
      <w:r w:rsidRPr="001B1F60">
        <w:rPr>
          <w:rFonts w:ascii="Arial" w:hAnsi="Arial" w:cs="Arial"/>
          <w:lang w:val="hu-HU"/>
        </w:rPr>
        <w:t>et</w:t>
      </w:r>
      <w:proofErr w:type="spellEnd"/>
      <w:r w:rsidRPr="001B1F60">
        <w:rPr>
          <w:rFonts w:ascii="Arial" w:hAnsi="Arial" w:cs="Arial"/>
          <w:lang w:val="hu-HU"/>
        </w:rPr>
        <w:t xml:space="preserve"> </w:t>
      </w:r>
      <w:proofErr w:type="spellStart"/>
      <w:r w:rsidRPr="001B1F60">
        <w:rPr>
          <w:rFonts w:ascii="Arial" w:hAnsi="Arial" w:cs="Arial"/>
          <w:lang w:val="hu-HU"/>
        </w:rPr>
        <w:t>al</w:t>
      </w:r>
      <w:proofErr w:type="spellEnd"/>
      <w:r w:rsidRPr="001B1F60">
        <w:rPr>
          <w:rFonts w:ascii="Arial" w:hAnsi="Arial" w:cs="Arial"/>
          <w:lang w:val="hu-HU"/>
        </w:rPr>
        <w:t>., 2014</w:t>
      </w:r>
      <w:r>
        <w:rPr>
          <w:rFonts w:ascii="Arial" w:hAnsi="Arial" w:cs="Arial"/>
        </w:rPr>
        <w:t>)</w:t>
      </w:r>
    </w:p>
    <w:p w14:paraId="31887355" w14:textId="77777777" w:rsidR="00460CB8" w:rsidRPr="00D249FC" w:rsidRDefault="00460CB8" w:rsidP="00460CB8">
      <w:pPr>
        <w:spacing w:after="0"/>
        <w:jc w:val="both"/>
        <w:rPr>
          <w:rFonts w:ascii="Arial" w:hAnsi="Arial" w:cs="Arial"/>
        </w:rPr>
      </w:pPr>
      <w:r w:rsidRPr="00D249FC">
        <w:rPr>
          <w:rFonts w:ascii="Arial" w:hAnsi="Arial" w:cs="Arial"/>
        </w:rPr>
        <w:t>Translation exposure, on the other hand, pertains to the conversion of financial statements from foreign subsidiaries into the reporting currency of the MNC. This exposure arises due to fluctuations in exchange rates between the subsidiary's functional currency and the reporting currency, leading to potential distortions in the MNC's financial performance metrics.</w:t>
      </w:r>
    </w:p>
    <w:p w14:paraId="5ABD4F7B" w14:textId="77777777" w:rsidR="00460CB8" w:rsidRPr="001B1F60" w:rsidRDefault="00460CB8" w:rsidP="00460CB8">
      <w:pPr>
        <w:spacing w:after="120"/>
        <w:jc w:val="both"/>
        <w:rPr>
          <w:rFonts w:ascii="Arial" w:hAnsi="Arial" w:cs="Arial"/>
          <w:lang w:val="hu-HU"/>
        </w:rPr>
      </w:pPr>
      <w:r w:rsidRPr="00D249FC">
        <w:rPr>
          <w:rFonts w:ascii="Arial" w:hAnsi="Arial" w:cs="Arial"/>
        </w:rPr>
        <w:t>Furthermore, economic exposure reflects the broader impact of exchange rate fluctuations on the competitive position and market value of MNCs. Changes in exchange rates can affect the relative competitiveness of MNCs' products and services in international markets, influencing market share, pricing strategies, and overall profitability</w:t>
      </w:r>
      <w:r>
        <w:rPr>
          <w:rFonts w:ascii="Arial" w:hAnsi="Arial" w:cs="Arial"/>
        </w:rPr>
        <w:t xml:space="preserve">. </w:t>
      </w:r>
      <w:r w:rsidRPr="001B1F60">
        <w:rPr>
          <w:rFonts w:ascii="Arial" w:eastAsiaTheme="minorHAnsi" w:hAnsi="Arial" w:cs="Arial"/>
          <w:kern w:val="2"/>
          <w:lang w:eastAsia="en-US"/>
          <w14:ligatures w14:val="standardContextual"/>
        </w:rPr>
        <w:t xml:space="preserve">(Madura, 2010) </w:t>
      </w:r>
    </w:p>
    <w:p w14:paraId="2B9F0617" w14:textId="77777777" w:rsidR="00460CB8" w:rsidRDefault="00460CB8" w:rsidP="00460CB8">
      <w:pPr>
        <w:spacing w:after="120"/>
        <w:jc w:val="both"/>
        <w:rPr>
          <w:rFonts w:ascii="Arial" w:hAnsi="Arial" w:cs="Arial"/>
        </w:rPr>
      </w:pPr>
      <w:r w:rsidRPr="00D249FC">
        <w:rPr>
          <w:rFonts w:ascii="Arial" w:hAnsi="Arial" w:cs="Arial"/>
        </w:rPr>
        <w:t>By comprehensively understanding these different dimensions of foreign exchange risks, MNCs can devise tailored risk management strategies to mitigate their exposure and enhance their resilience in the face of currency volatility.</w:t>
      </w:r>
    </w:p>
    <w:p w14:paraId="0EB9631F" w14:textId="77777777" w:rsidR="00460CB8" w:rsidRDefault="00460CB8" w:rsidP="00460CB8">
      <w:pPr>
        <w:jc w:val="both"/>
        <w:rPr>
          <w:rFonts w:ascii="Arial" w:hAnsi="Arial" w:cs="Arial"/>
        </w:rPr>
      </w:pPr>
    </w:p>
    <w:p w14:paraId="791C49AA" w14:textId="77777777" w:rsidR="00460CB8" w:rsidRPr="005236FC" w:rsidRDefault="00460CB8" w:rsidP="00460CB8">
      <w:pPr>
        <w:jc w:val="both"/>
        <w:rPr>
          <w:rFonts w:ascii="Arial" w:hAnsi="Arial" w:cs="Arial"/>
          <w:b/>
          <w:bCs/>
        </w:rPr>
      </w:pPr>
      <w:r w:rsidRPr="005236FC">
        <w:rPr>
          <w:rFonts w:ascii="Arial" w:hAnsi="Arial" w:cs="Arial"/>
          <w:b/>
          <w:bCs/>
        </w:rPr>
        <w:t>Factors influencing foreign exchange rates:</w:t>
      </w:r>
    </w:p>
    <w:p w14:paraId="4D4301CF" w14:textId="77777777" w:rsidR="00460CB8" w:rsidRDefault="00460CB8" w:rsidP="00460CB8">
      <w:pPr>
        <w:jc w:val="both"/>
        <w:rPr>
          <w:rFonts w:ascii="Arial" w:hAnsi="Arial" w:cs="Arial"/>
        </w:rPr>
      </w:pPr>
      <w:r w:rsidRPr="005236FC">
        <w:rPr>
          <w:rFonts w:ascii="Arial" w:hAnsi="Arial" w:cs="Arial"/>
        </w:rPr>
        <w:t xml:space="preserve">Foreign exchange rates are influenced by a multitude of factors that collectively shape the dynamics of currency markets. Among these factors, five key determinants play a pivotal role in driving exchange rate movements. These factors include inflation differentials, interest rate disparities, income level variations, governmental control measures, and shifts in market expectations (Madura, 2010). Inflation differentials between countries impact currency purchasing power, while interest rate discrepancies influence capital flows and currency values. Income level variations contribute to demand for currencies in international </w:t>
      </w:r>
      <w:r w:rsidRPr="005236FC">
        <w:rPr>
          <w:rFonts w:ascii="Arial" w:hAnsi="Arial" w:cs="Arial"/>
        </w:rPr>
        <w:lastRenderedPageBreak/>
        <w:t xml:space="preserve">transactions. Government policies, such as monetary and fiscal measures, can directly impact exchange rates. Additionally, market participants' expectations regarding future exchange rate movements influence short-term fluctuations in currency markets. The interplay between these factors forms a complex web of influences that collectively determine foreign exchange rate movements. </w:t>
      </w:r>
    </w:p>
    <w:p w14:paraId="1EA93034" w14:textId="77777777" w:rsidR="00460CB8" w:rsidRPr="005236FC" w:rsidRDefault="00460CB8" w:rsidP="00460CB8">
      <w:pPr>
        <w:numPr>
          <w:ilvl w:val="0"/>
          <w:numId w:val="1"/>
        </w:numPr>
        <w:spacing w:line="278" w:lineRule="auto"/>
        <w:jc w:val="both"/>
        <w:rPr>
          <w:rFonts w:ascii="Arial" w:hAnsi="Arial" w:cs="Arial"/>
        </w:rPr>
      </w:pPr>
      <w:r w:rsidRPr="005236FC">
        <w:rPr>
          <w:rFonts w:ascii="Arial" w:hAnsi="Arial" w:cs="Arial"/>
          <w:b/>
          <w:bCs/>
        </w:rPr>
        <w:t>Inflation Differentials</w:t>
      </w:r>
      <w:r>
        <w:rPr>
          <w:rFonts w:ascii="Arial" w:hAnsi="Arial" w:cs="Arial"/>
          <w:b/>
          <w:bCs/>
        </w:rPr>
        <w:t xml:space="preserve"> </w:t>
      </w:r>
      <w:r w:rsidRPr="005236FC">
        <w:rPr>
          <w:rFonts w:ascii="Arial" w:hAnsi="Arial" w:cs="Arial"/>
        </w:rPr>
        <w:t>refer to variations in the rates of inflation between countries. Higher inflation rates typically lead to depreciation in the value of a currency relative to currencies with lower inflation rates. This is because higher inflation erodes the purchasing power of a currency, making goods and services more expensive compared to those of countries with lower inflation rates. Therefore, investors tend to favour currencies from countries with lower inflation rates, leading to higher demand and appreciation in their value.</w:t>
      </w:r>
    </w:p>
    <w:p w14:paraId="5BAAF1BD" w14:textId="77777777" w:rsidR="00460CB8" w:rsidRPr="005236FC" w:rsidRDefault="00460CB8" w:rsidP="00460CB8">
      <w:pPr>
        <w:numPr>
          <w:ilvl w:val="0"/>
          <w:numId w:val="1"/>
        </w:numPr>
        <w:spacing w:line="278" w:lineRule="auto"/>
        <w:jc w:val="both"/>
        <w:rPr>
          <w:rFonts w:ascii="Arial" w:hAnsi="Arial" w:cs="Arial"/>
        </w:rPr>
      </w:pPr>
      <w:r w:rsidRPr="005236FC">
        <w:rPr>
          <w:rFonts w:ascii="Arial" w:hAnsi="Arial" w:cs="Arial"/>
          <w:b/>
          <w:bCs/>
        </w:rPr>
        <w:t>Interest Rate Disparities</w:t>
      </w:r>
      <w:r>
        <w:rPr>
          <w:rFonts w:ascii="Arial" w:hAnsi="Arial" w:cs="Arial"/>
          <w:b/>
          <w:bCs/>
        </w:rPr>
        <w:t xml:space="preserve"> </w:t>
      </w:r>
      <w:r w:rsidRPr="005236FC">
        <w:rPr>
          <w:rFonts w:ascii="Arial" w:hAnsi="Arial" w:cs="Arial"/>
        </w:rPr>
        <w:t>occur when there are differences in interest rates between countries. Generally, higher interest rates attract foreign investment as they offer the potential for higher returns. Consequently, countries with higher interest rates tend to experience increased demand for their currency, leading to appreciation. Conversely, countries with lower interest rates may see depreciation in their currency value as investors seek higher returns elsewhere.</w:t>
      </w:r>
    </w:p>
    <w:p w14:paraId="4808B800" w14:textId="77777777" w:rsidR="00460CB8" w:rsidRPr="005236FC" w:rsidRDefault="00460CB8" w:rsidP="00460CB8">
      <w:pPr>
        <w:numPr>
          <w:ilvl w:val="0"/>
          <w:numId w:val="1"/>
        </w:numPr>
        <w:spacing w:line="278" w:lineRule="auto"/>
        <w:jc w:val="both"/>
        <w:rPr>
          <w:rFonts w:ascii="Arial" w:hAnsi="Arial" w:cs="Arial"/>
        </w:rPr>
      </w:pPr>
      <w:r w:rsidRPr="005236FC">
        <w:rPr>
          <w:rFonts w:ascii="Arial" w:hAnsi="Arial" w:cs="Arial"/>
          <w:b/>
          <w:bCs/>
        </w:rPr>
        <w:t>Income Level Variations</w:t>
      </w:r>
      <w:r>
        <w:rPr>
          <w:rFonts w:ascii="Arial" w:hAnsi="Arial" w:cs="Arial"/>
        </w:rPr>
        <w:t xml:space="preserve"> </w:t>
      </w:r>
      <w:r w:rsidRPr="005236FC">
        <w:rPr>
          <w:rFonts w:ascii="Arial" w:hAnsi="Arial" w:cs="Arial"/>
        </w:rPr>
        <w:t>refer to disparities in income levels between countries. Countries with higher income levels typically have stronger currencies due to increased demand for their goods and services in international trade. As a result, currencies of higher-income countries may appreciate relative to those of lower-income countries. Additionally, higher-income countries may attract more foreign investment, further strengthening their currencies.</w:t>
      </w:r>
    </w:p>
    <w:p w14:paraId="1187B7C3" w14:textId="77777777" w:rsidR="00460CB8" w:rsidRPr="005236FC" w:rsidRDefault="00460CB8" w:rsidP="00460CB8">
      <w:pPr>
        <w:numPr>
          <w:ilvl w:val="0"/>
          <w:numId w:val="1"/>
        </w:numPr>
        <w:spacing w:line="278" w:lineRule="auto"/>
        <w:jc w:val="both"/>
        <w:rPr>
          <w:rFonts w:ascii="Arial" w:hAnsi="Arial" w:cs="Arial"/>
        </w:rPr>
      </w:pPr>
      <w:r w:rsidRPr="005236FC">
        <w:rPr>
          <w:rFonts w:ascii="Arial" w:hAnsi="Arial" w:cs="Arial"/>
          <w:b/>
          <w:bCs/>
        </w:rPr>
        <w:t>Governmental Control Measures</w:t>
      </w:r>
      <w:r>
        <w:rPr>
          <w:rFonts w:ascii="Arial" w:hAnsi="Arial" w:cs="Arial"/>
        </w:rPr>
        <w:t xml:space="preserve"> </w:t>
      </w:r>
      <w:r w:rsidRPr="005236FC">
        <w:rPr>
          <w:rFonts w:ascii="Arial" w:hAnsi="Arial" w:cs="Arial"/>
        </w:rPr>
        <w:t>encompass policies and interventions implemented by governments to manage their currency's value. These measures may include monetary policies such as interest rate adjustments, capital controls, and currency interventions by central banks. For example, central banks may intervene in the foreign exchange market to stabilize or influence the value of their currency. Governmental control measures can have a significant impact on exchange rates by altering supply and demand dynamics in the currency market.</w:t>
      </w:r>
    </w:p>
    <w:p w14:paraId="1EA16C90" w14:textId="77777777" w:rsidR="00460CB8" w:rsidRPr="005236FC" w:rsidRDefault="00460CB8" w:rsidP="00460CB8">
      <w:pPr>
        <w:numPr>
          <w:ilvl w:val="0"/>
          <w:numId w:val="1"/>
        </w:numPr>
        <w:spacing w:line="278" w:lineRule="auto"/>
        <w:jc w:val="both"/>
        <w:rPr>
          <w:rFonts w:ascii="Arial" w:hAnsi="Arial" w:cs="Arial"/>
        </w:rPr>
      </w:pPr>
      <w:r w:rsidRPr="005236FC">
        <w:rPr>
          <w:rFonts w:ascii="Arial" w:hAnsi="Arial" w:cs="Arial"/>
          <w:b/>
          <w:bCs/>
        </w:rPr>
        <w:t>Shifts in Market Expectations</w:t>
      </w:r>
      <w:r>
        <w:rPr>
          <w:rFonts w:ascii="Arial" w:hAnsi="Arial" w:cs="Arial"/>
          <w:b/>
          <w:bCs/>
        </w:rPr>
        <w:t xml:space="preserve"> </w:t>
      </w:r>
      <w:r w:rsidRPr="005236FC">
        <w:rPr>
          <w:rFonts w:ascii="Arial" w:hAnsi="Arial" w:cs="Arial"/>
        </w:rPr>
        <w:t>refer to changes in investors' perceptions and forecasts regarding future exchange rate movements. These expectations can be influenced by various factors, including economic indicators, geopolitical events, and changes in monetary policy. Positive expectations about a country's economic prospects or policy changes may lead to increased demand for its currency, causing appreciation. Conversely, negative expectations or uncertainty may lead to depreciation as investors seek safer assets or currencies.</w:t>
      </w:r>
    </w:p>
    <w:p w14:paraId="31CE970C" w14:textId="77777777" w:rsidR="00460CB8" w:rsidRPr="005236FC" w:rsidRDefault="00460CB8" w:rsidP="00460CB8">
      <w:pPr>
        <w:jc w:val="both"/>
        <w:rPr>
          <w:rFonts w:ascii="Arial" w:hAnsi="Arial" w:cs="Arial"/>
        </w:rPr>
      </w:pPr>
      <w:r w:rsidRPr="005236FC">
        <w:rPr>
          <w:rFonts w:ascii="Arial" w:hAnsi="Arial" w:cs="Arial"/>
        </w:rPr>
        <w:t>Understanding these five factors is crucial for investors, businesses, and policymakers as they navigate currency markets and make informed decisions regarding foreign exchange transactions, investments, and policy formulation.</w:t>
      </w:r>
    </w:p>
    <w:p w14:paraId="5D856CD1" w14:textId="77777777" w:rsidR="00460CB8" w:rsidRPr="005236FC" w:rsidRDefault="00460CB8" w:rsidP="00460CB8">
      <w:pPr>
        <w:jc w:val="both"/>
        <w:rPr>
          <w:rFonts w:ascii="Arial" w:hAnsi="Arial" w:cs="Arial"/>
          <w:vanish/>
        </w:rPr>
      </w:pPr>
      <w:r w:rsidRPr="005236FC">
        <w:rPr>
          <w:rFonts w:ascii="Arial" w:hAnsi="Arial" w:cs="Arial"/>
          <w:vanish/>
        </w:rPr>
        <w:t>Top of Form</w:t>
      </w:r>
    </w:p>
    <w:p w14:paraId="62AC7660" w14:textId="77777777" w:rsidR="00460CB8" w:rsidRPr="005236FC" w:rsidRDefault="00460CB8" w:rsidP="00460CB8">
      <w:pPr>
        <w:jc w:val="both"/>
        <w:rPr>
          <w:rFonts w:ascii="Arial" w:hAnsi="Arial" w:cs="Arial"/>
          <w:vanish/>
        </w:rPr>
      </w:pPr>
      <w:r w:rsidRPr="005236FC">
        <w:rPr>
          <w:rFonts w:ascii="Arial" w:hAnsi="Arial" w:cs="Arial"/>
          <w:vanish/>
        </w:rPr>
        <w:t>Bottom of Form</w:t>
      </w:r>
    </w:p>
    <w:p w14:paraId="0D4622A9" w14:textId="77777777" w:rsidR="00460CB8" w:rsidRPr="005236FC" w:rsidRDefault="00460CB8" w:rsidP="00460CB8">
      <w:pPr>
        <w:jc w:val="both"/>
        <w:rPr>
          <w:rFonts w:ascii="Arial" w:hAnsi="Arial" w:cs="Arial"/>
          <w:vanish/>
        </w:rPr>
      </w:pPr>
      <w:r w:rsidRPr="005236FC">
        <w:rPr>
          <w:rFonts w:ascii="Arial" w:hAnsi="Arial" w:cs="Arial"/>
          <w:vanish/>
        </w:rPr>
        <w:t>Top of Form</w:t>
      </w:r>
    </w:p>
    <w:p w14:paraId="56AC6271" w14:textId="77777777" w:rsidR="00460CB8" w:rsidRPr="005236FC" w:rsidRDefault="00460CB8" w:rsidP="00460CB8">
      <w:pPr>
        <w:jc w:val="both"/>
        <w:rPr>
          <w:rFonts w:ascii="Arial" w:hAnsi="Arial" w:cs="Arial"/>
          <w:vanish/>
        </w:rPr>
      </w:pPr>
      <w:r w:rsidRPr="005236FC">
        <w:rPr>
          <w:rFonts w:ascii="Arial" w:hAnsi="Arial" w:cs="Arial"/>
          <w:vanish/>
        </w:rPr>
        <w:t>Bottom of Form</w:t>
      </w:r>
    </w:p>
    <w:p w14:paraId="2E4979F8" w14:textId="77777777" w:rsidR="00460CB8" w:rsidRDefault="00460CB8" w:rsidP="00460CB8">
      <w:pPr>
        <w:jc w:val="both"/>
        <w:rPr>
          <w:rFonts w:ascii="Arial" w:hAnsi="Arial" w:cs="Arial"/>
        </w:rPr>
      </w:pPr>
    </w:p>
    <w:p w14:paraId="369200C3" w14:textId="77777777" w:rsidR="002037B6" w:rsidRDefault="002037B6" w:rsidP="00460CB8">
      <w:pPr>
        <w:jc w:val="both"/>
        <w:rPr>
          <w:rFonts w:ascii="Arial" w:hAnsi="Arial" w:cs="Arial"/>
          <w:b/>
          <w:bCs/>
        </w:rPr>
      </w:pPr>
    </w:p>
    <w:p w14:paraId="53D8EEAB" w14:textId="732D93F5" w:rsidR="00460CB8" w:rsidRDefault="00460CB8" w:rsidP="00460CB8">
      <w:pPr>
        <w:jc w:val="both"/>
        <w:rPr>
          <w:rFonts w:ascii="Arial" w:hAnsi="Arial" w:cs="Arial"/>
          <w:b/>
          <w:bCs/>
        </w:rPr>
      </w:pPr>
      <w:r w:rsidRPr="0068028D">
        <w:rPr>
          <w:rFonts w:ascii="Arial" w:hAnsi="Arial" w:cs="Arial"/>
          <w:b/>
          <w:bCs/>
        </w:rPr>
        <w:lastRenderedPageBreak/>
        <w:t>Strategics for managing foreign exchange risks</w:t>
      </w:r>
      <w:r>
        <w:rPr>
          <w:rFonts w:ascii="Arial" w:hAnsi="Arial" w:cs="Arial"/>
          <w:b/>
          <w:bCs/>
        </w:rPr>
        <w:t>:</w:t>
      </w:r>
    </w:p>
    <w:p w14:paraId="4448EC37" w14:textId="77777777" w:rsidR="00460CB8" w:rsidRPr="0068028D" w:rsidRDefault="00460CB8" w:rsidP="00460CB8">
      <w:pPr>
        <w:jc w:val="both"/>
        <w:rPr>
          <w:rFonts w:ascii="Arial" w:hAnsi="Arial" w:cs="Arial"/>
          <w:color w:val="0F9ED5" w:themeColor="accent4"/>
        </w:rPr>
      </w:pPr>
      <w:r w:rsidRPr="0068028D">
        <w:rPr>
          <w:rFonts w:ascii="Arial" w:hAnsi="Arial" w:cs="Arial"/>
          <w:color w:val="0F9ED5" w:themeColor="accent4"/>
        </w:rPr>
        <w:t>Natural Hedging:</w:t>
      </w:r>
    </w:p>
    <w:p w14:paraId="3C9AC881" w14:textId="77777777" w:rsidR="00460CB8" w:rsidRPr="0068028D" w:rsidRDefault="00460CB8" w:rsidP="00460CB8">
      <w:pPr>
        <w:jc w:val="both"/>
        <w:rPr>
          <w:rFonts w:ascii="Arial" w:hAnsi="Arial" w:cs="Arial"/>
        </w:rPr>
      </w:pPr>
      <w:r w:rsidRPr="0068028D">
        <w:rPr>
          <w:rFonts w:ascii="Arial" w:hAnsi="Arial" w:cs="Arial"/>
        </w:rPr>
        <w:t>Natural hedging is a foundational approach for MNCs to mitigate forex risks by aligning their assets and liabilities in different currencies. This strategy leverages the intrinsic diversification within the MNC's operations. For instance, if an MNC earns revenues in a particular currency while also incurring expenses in the same currency, it naturally hedges its exposure to exchange rate fluctuations. This method is often considered passive risk management, relying on the inherent structure of the MNC's business activities rather than actively engaging in financial contracts.</w:t>
      </w:r>
      <w:r>
        <w:rPr>
          <w:rFonts w:ascii="Arial" w:hAnsi="Arial" w:cs="Arial"/>
        </w:rPr>
        <w:t xml:space="preserve"> (</w:t>
      </w:r>
      <w:proofErr w:type="spellStart"/>
      <w:r w:rsidRPr="00B8795A">
        <w:rPr>
          <w:rFonts w:ascii="Arial" w:hAnsi="Arial" w:cs="Arial"/>
          <w:lang w:val="hu-HU"/>
        </w:rPr>
        <w:t>Eun</w:t>
      </w:r>
      <w:proofErr w:type="spellEnd"/>
      <w:r w:rsidRPr="00B8795A">
        <w:rPr>
          <w:rFonts w:ascii="Arial" w:hAnsi="Arial" w:cs="Arial"/>
          <w:lang w:val="hu-HU"/>
        </w:rPr>
        <w:t xml:space="preserve">, C. S., &amp; </w:t>
      </w:r>
      <w:proofErr w:type="spellStart"/>
      <w:r w:rsidRPr="00B8795A">
        <w:rPr>
          <w:rFonts w:ascii="Arial" w:hAnsi="Arial" w:cs="Arial"/>
          <w:lang w:val="hu-HU"/>
        </w:rPr>
        <w:t>Resnick</w:t>
      </w:r>
      <w:proofErr w:type="spellEnd"/>
      <w:r w:rsidRPr="00B8795A">
        <w:rPr>
          <w:rFonts w:ascii="Arial" w:hAnsi="Arial" w:cs="Arial"/>
          <w:lang w:val="hu-HU"/>
        </w:rPr>
        <w:t>, B. G</w:t>
      </w:r>
      <w:r>
        <w:rPr>
          <w:rFonts w:ascii="Arial" w:hAnsi="Arial" w:cs="Arial"/>
        </w:rPr>
        <w:t xml:space="preserve">; </w:t>
      </w:r>
      <w:r w:rsidRPr="00B8795A">
        <w:rPr>
          <w:rFonts w:ascii="Arial" w:hAnsi="Arial" w:cs="Arial"/>
          <w:lang w:val="hu-HU"/>
        </w:rPr>
        <w:t>2018</w:t>
      </w:r>
      <w:r>
        <w:rPr>
          <w:rFonts w:ascii="Arial" w:hAnsi="Arial" w:cs="Arial"/>
        </w:rPr>
        <w:t>)</w:t>
      </w:r>
    </w:p>
    <w:p w14:paraId="190AE47E" w14:textId="77777777" w:rsidR="00460CB8" w:rsidRDefault="00460CB8" w:rsidP="00460CB8">
      <w:pPr>
        <w:jc w:val="both"/>
        <w:rPr>
          <w:rFonts w:ascii="Arial" w:hAnsi="Arial" w:cs="Arial"/>
        </w:rPr>
      </w:pPr>
      <w:r w:rsidRPr="0068028D">
        <w:rPr>
          <w:rFonts w:ascii="Arial" w:hAnsi="Arial" w:cs="Arial"/>
          <w:u w:val="single"/>
        </w:rPr>
        <w:t>Evaluation:</w:t>
      </w:r>
      <w:r w:rsidRPr="0068028D">
        <w:rPr>
          <w:rFonts w:ascii="Arial" w:hAnsi="Arial" w:cs="Arial"/>
        </w:rPr>
        <w:t xml:space="preserve"> </w:t>
      </w:r>
    </w:p>
    <w:p w14:paraId="51EC7144" w14:textId="77777777" w:rsidR="00460CB8" w:rsidRPr="0068028D" w:rsidRDefault="00460CB8" w:rsidP="00460CB8">
      <w:pPr>
        <w:jc w:val="both"/>
        <w:rPr>
          <w:rFonts w:ascii="Arial" w:hAnsi="Arial" w:cs="Arial"/>
        </w:rPr>
      </w:pPr>
      <w:r w:rsidRPr="0068028D">
        <w:rPr>
          <w:rFonts w:ascii="Arial" w:hAnsi="Arial" w:cs="Arial"/>
        </w:rPr>
        <w:t>While natural hedging simplifies the reduction of transaction exposure, it may not entirely eliminate forex risks, especially if revenue and expense streams are not perfectly matched. Additionally, achieving natural hedging demands meticulous planning and may not always be feasible due to operational constraints. For instance, the nature of the MNC's business or prevailing market conditions may hinder the effective alignment of currency inflows and outflows.</w:t>
      </w:r>
    </w:p>
    <w:p w14:paraId="76C22015" w14:textId="77777777" w:rsidR="00460CB8" w:rsidRPr="0068028D" w:rsidRDefault="00460CB8" w:rsidP="00460CB8">
      <w:pPr>
        <w:jc w:val="both"/>
        <w:rPr>
          <w:rFonts w:ascii="Arial" w:hAnsi="Arial" w:cs="Arial"/>
          <w:color w:val="0F9ED5" w:themeColor="accent4"/>
        </w:rPr>
      </w:pPr>
      <w:r w:rsidRPr="0068028D">
        <w:rPr>
          <w:rFonts w:ascii="Arial" w:hAnsi="Arial" w:cs="Arial"/>
          <w:color w:val="0F9ED5" w:themeColor="accent4"/>
        </w:rPr>
        <w:t>Financial Hedging:</w:t>
      </w:r>
    </w:p>
    <w:p w14:paraId="1055B26E" w14:textId="77777777" w:rsidR="00460CB8" w:rsidRPr="0068028D" w:rsidRDefault="00460CB8" w:rsidP="00460CB8">
      <w:pPr>
        <w:jc w:val="both"/>
        <w:rPr>
          <w:rFonts w:ascii="Arial" w:hAnsi="Arial" w:cs="Arial"/>
        </w:rPr>
      </w:pPr>
      <w:r w:rsidRPr="0068028D">
        <w:rPr>
          <w:rFonts w:ascii="Arial" w:hAnsi="Arial" w:cs="Arial"/>
        </w:rPr>
        <w:t>Financial hedging entails the utilization of derivative instruments like forward contracts, futures, options, and swaps to manage forex risks. These instruments empower MNCs to lock in exchange rates for future transactions, thereby mitigating uncertainty associated with currency fluctuations. Financial hedging furnishes MNCs with flexibility and customization in managing forex risks, allowing them to tailor strategies based on specific risk exposures and market conditions.</w:t>
      </w:r>
      <w:r>
        <w:rPr>
          <w:rFonts w:ascii="Arial" w:hAnsi="Arial" w:cs="Arial"/>
        </w:rPr>
        <w:t xml:space="preserve"> </w:t>
      </w:r>
      <w:r w:rsidRPr="00B8795A">
        <w:rPr>
          <w:rFonts w:ascii="Arial" w:hAnsi="Arial" w:cs="Arial"/>
        </w:rPr>
        <w:t>(</w:t>
      </w:r>
      <w:proofErr w:type="spellStart"/>
      <w:r w:rsidRPr="00B8795A">
        <w:rPr>
          <w:rFonts w:ascii="Arial" w:hAnsi="Arial" w:cs="Arial"/>
          <w:lang w:val="hu-HU"/>
        </w:rPr>
        <w:t>Eun</w:t>
      </w:r>
      <w:proofErr w:type="spellEnd"/>
      <w:r w:rsidRPr="00B8795A">
        <w:rPr>
          <w:rFonts w:ascii="Arial" w:hAnsi="Arial" w:cs="Arial"/>
          <w:lang w:val="hu-HU"/>
        </w:rPr>
        <w:t xml:space="preserve">, C. S., &amp; </w:t>
      </w:r>
      <w:proofErr w:type="spellStart"/>
      <w:r w:rsidRPr="00B8795A">
        <w:rPr>
          <w:rFonts w:ascii="Arial" w:hAnsi="Arial" w:cs="Arial"/>
          <w:lang w:val="hu-HU"/>
        </w:rPr>
        <w:t>Resnick</w:t>
      </w:r>
      <w:proofErr w:type="spellEnd"/>
      <w:r w:rsidRPr="00B8795A">
        <w:rPr>
          <w:rFonts w:ascii="Arial" w:hAnsi="Arial" w:cs="Arial"/>
          <w:lang w:val="hu-HU"/>
        </w:rPr>
        <w:t>, B. G; 2018)</w:t>
      </w:r>
    </w:p>
    <w:p w14:paraId="42AACF8C" w14:textId="77777777" w:rsidR="00460CB8" w:rsidRDefault="00460CB8" w:rsidP="00460CB8">
      <w:pPr>
        <w:jc w:val="both"/>
        <w:rPr>
          <w:rFonts w:ascii="Arial" w:hAnsi="Arial" w:cs="Arial"/>
        </w:rPr>
      </w:pPr>
      <w:r w:rsidRPr="0068028D">
        <w:rPr>
          <w:rFonts w:ascii="Arial" w:hAnsi="Arial" w:cs="Arial"/>
          <w:u w:val="single"/>
        </w:rPr>
        <w:t>Evaluation:</w:t>
      </w:r>
      <w:r w:rsidRPr="0068028D">
        <w:rPr>
          <w:rFonts w:ascii="Arial" w:hAnsi="Arial" w:cs="Arial"/>
        </w:rPr>
        <w:t xml:space="preserve"> </w:t>
      </w:r>
    </w:p>
    <w:p w14:paraId="2DE9006F" w14:textId="77777777" w:rsidR="00460CB8" w:rsidRPr="0068028D" w:rsidRDefault="00460CB8" w:rsidP="00460CB8">
      <w:pPr>
        <w:jc w:val="both"/>
        <w:rPr>
          <w:rFonts w:ascii="Arial" w:hAnsi="Arial" w:cs="Arial"/>
        </w:rPr>
      </w:pPr>
      <w:r w:rsidRPr="0068028D">
        <w:rPr>
          <w:rFonts w:ascii="Arial" w:hAnsi="Arial" w:cs="Arial"/>
        </w:rPr>
        <w:t>While financial hedging offers advantages in terms of risk management flexibility, it also entails costs and complexities. MNCs may incur expenses such as premiums for options or bid-ask spreads for forward contracts when implementing hedging strategies. Moreover, financial hedging does not entirely eliminate exposure to forex risks and necessitates expertise in financial markets to execute transactions effectively. Furthermore, there exists a risk of over-hedging or under-hedging, potentially impacting the MNC's financial performance.</w:t>
      </w:r>
    </w:p>
    <w:p w14:paraId="5EC25C3E" w14:textId="77777777" w:rsidR="00460CB8" w:rsidRPr="0068028D" w:rsidRDefault="00460CB8" w:rsidP="00460CB8">
      <w:pPr>
        <w:jc w:val="both"/>
        <w:rPr>
          <w:rFonts w:ascii="Arial" w:hAnsi="Arial" w:cs="Arial"/>
          <w:color w:val="0F9ED5" w:themeColor="accent4"/>
        </w:rPr>
      </w:pPr>
      <w:r w:rsidRPr="0068028D">
        <w:rPr>
          <w:rFonts w:ascii="Arial" w:hAnsi="Arial" w:cs="Arial"/>
          <w:color w:val="0F9ED5" w:themeColor="accent4"/>
        </w:rPr>
        <w:t>Operational Strategies:</w:t>
      </w:r>
    </w:p>
    <w:p w14:paraId="6159A005" w14:textId="77777777" w:rsidR="00460CB8" w:rsidRPr="0068028D" w:rsidRDefault="00460CB8" w:rsidP="00460CB8">
      <w:pPr>
        <w:jc w:val="both"/>
        <w:rPr>
          <w:rFonts w:ascii="Arial" w:hAnsi="Arial" w:cs="Arial"/>
        </w:rPr>
      </w:pPr>
      <w:r w:rsidRPr="0068028D">
        <w:rPr>
          <w:rFonts w:ascii="Arial" w:hAnsi="Arial" w:cs="Arial"/>
        </w:rPr>
        <w:t>Operational strategies encompass diversification of production and sourcing, flexible pricing policies, and strategic location of production facilities to mitigate forex risks. By dispersing operations across different countries, MNCs can diminish their exposure to adverse exchange rate movements. For instance, a diversified sourcing strategy enables MNCs to procure raw materials or components from multiple countries, reducing dependency on any single currency.</w:t>
      </w:r>
      <w:r>
        <w:rPr>
          <w:rFonts w:ascii="Arial" w:hAnsi="Arial" w:cs="Arial"/>
        </w:rPr>
        <w:t xml:space="preserve"> </w:t>
      </w:r>
      <w:r w:rsidRPr="00B8795A">
        <w:rPr>
          <w:rFonts w:ascii="Arial" w:hAnsi="Arial" w:cs="Arial"/>
        </w:rPr>
        <w:t>(</w:t>
      </w:r>
      <w:proofErr w:type="spellStart"/>
      <w:r w:rsidRPr="00B8795A">
        <w:rPr>
          <w:rFonts w:ascii="Arial" w:hAnsi="Arial" w:cs="Arial"/>
          <w:lang w:val="hu-HU"/>
        </w:rPr>
        <w:t>Eun</w:t>
      </w:r>
      <w:proofErr w:type="spellEnd"/>
      <w:r w:rsidRPr="00B8795A">
        <w:rPr>
          <w:rFonts w:ascii="Arial" w:hAnsi="Arial" w:cs="Arial"/>
          <w:lang w:val="hu-HU"/>
        </w:rPr>
        <w:t xml:space="preserve">, C. S., &amp; </w:t>
      </w:r>
      <w:proofErr w:type="spellStart"/>
      <w:r w:rsidRPr="00B8795A">
        <w:rPr>
          <w:rFonts w:ascii="Arial" w:hAnsi="Arial" w:cs="Arial"/>
          <w:lang w:val="hu-HU"/>
        </w:rPr>
        <w:t>Resnick</w:t>
      </w:r>
      <w:proofErr w:type="spellEnd"/>
      <w:r w:rsidRPr="00B8795A">
        <w:rPr>
          <w:rFonts w:ascii="Arial" w:hAnsi="Arial" w:cs="Arial"/>
          <w:lang w:val="hu-HU"/>
        </w:rPr>
        <w:t>, B. G; 2018)</w:t>
      </w:r>
    </w:p>
    <w:p w14:paraId="465CD66E" w14:textId="77777777" w:rsidR="00460CB8" w:rsidRDefault="00460CB8" w:rsidP="00460CB8">
      <w:pPr>
        <w:jc w:val="both"/>
        <w:rPr>
          <w:rFonts w:ascii="Arial" w:hAnsi="Arial" w:cs="Arial"/>
        </w:rPr>
      </w:pPr>
      <w:r w:rsidRPr="0068028D">
        <w:rPr>
          <w:rFonts w:ascii="Arial" w:hAnsi="Arial" w:cs="Arial"/>
          <w:u w:val="single"/>
        </w:rPr>
        <w:t>Evaluation:</w:t>
      </w:r>
      <w:r w:rsidRPr="0068028D">
        <w:rPr>
          <w:rFonts w:ascii="Arial" w:hAnsi="Arial" w:cs="Arial"/>
        </w:rPr>
        <w:t xml:space="preserve"> </w:t>
      </w:r>
    </w:p>
    <w:p w14:paraId="729B020A" w14:textId="77777777" w:rsidR="00460CB8" w:rsidRPr="0068028D" w:rsidRDefault="00460CB8" w:rsidP="00460CB8">
      <w:pPr>
        <w:jc w:val="both"/>
        <w:rPr>
          <w:rFonts w:ascii="Arial" w:hAnsi="Arial" w:cs="Arial"/>
        </w:rPr>
      </w:pPr>
      <w:r w:rsidRPr="0068028D">
        <w:rPr>
          <w:rFonts w:ascii="Arial" w:hAnsi="Arial" w:cs="Arial"/>
        </w:rPr>
        <w:t>Operational strategies offer a holistic approach to managing forex risks by addressing not only transaction exposure but also translation and economic exposures. Nonetheless, implementing operational strategies requires substantial investments in infrastructure and may augment supply chain complexity. Additionally, MNCs must strike a careful balance between the benefits of operational diversification and the potential costs and risks associated with managing a geographically dispersed network of operations.</w:t>
      </w:r>
    </w:p>
    <w:p w14:paraId="3FAA2FCC" w14:textId="77777777" w:rsidR="00460CB8" w:rsidRPr="0068028D" w:rsidRDefault="00460CB8" w:rsidP="00460CB8">
      <w:pPr>
        <w:jc w:val="both"/>
        <w:rPr>
          <w:rFonts w:ascii="Arial" w:hAnsi="Arial" w:cs="Arial"/>
          <w:color w:val="0F9ED5" w:themeColor="accent4"/>
        </w:rPr>
      </w:pPr>
      <w:r w:rsidRPr="0068028D">
        <w:rPr>
          <w:rFonts w:ascii="Arial" w:hAnsi="Arial" w:cs="Arial"/>
          <w:color w:val="0F9ED5" w:themeColor="accent4"/>
        </w:rPr>
        <w:lastRenderedPageBreak/>
        <w:t>Strategic Management of Financial Structure:</w:t>
      </w:r>
    </w:p>
    <w:p w14:paraId="7EF869D1" w14:textId="77777777" w:rsidR="00460CB8" w:rsidRPr="0068028D" w:rsidRDefault="00460CB8" w:rsidP="00460CB8">
      <w:pPr>
        <w:jc w:val="both"/>
        <w:rPr>
          <w:rFonts w:ascii="Arial" w:hAnsi="Arial" w:cs="Arial"/>
        </w:rPr>
      </w:pPr>
      <w:r w:rsidRPr="0068028D">
        <w:rPr>
          <w:rFonts w:ascii="Arial" w:hAnsi="Arial" w:cs="Arial"/>
        </w:rPr>
        <w:t>Strategic management of financial structure involves optimizing the mix of debt and equity denominated in different currencies to minimize forex risks. By aligning currency denominations of assets and liabilities, MNCs can diminish their vulnerability to exchange rate fluctuations. This approach mandates a profound understanding of capital markets and regulatory environments across different countries to effectively manage currency exposure.</w:t>
      </w:r>
      <w:r>
        <w:rPr>
          <w:rFonts w:ascii="Arial" w:hAnsi="Arial" w:cs="Arial"/>
        </w:rPr>
        <w:t xml:space="preserve"> </w:t>
      </w:r>
      <w:r w:rsidRPr="00B8795A">
        <w:rPr>
          <w:rFonts w:ascii="Arial" w:hAnsi="Arial" w:cs="Arial"/>
        </w:rPr>
        <w:t>(</w:t>
      </w:r>
      <w:proofErr w:type="spellStart"/>
      <w:r w:rsidRPr="00B8795A">
        <w:rPr>
          <w:rFonts w:ascii="Arial" w:hAnsi="Arial" w:cs="Arial"/>
          <w:lang w:val="hu-HU"/>
        </w:rPr>
        <w:t>Eun</w:t>
      </w:r>
      <w:proofErr w:type="spellEnd"/>
      <w:r w:rsidRPr="00B8795A">
        <w:rPr>
          <w:rFonts w:ascii="Arial" w:hAnsi="Arial" w:cs="Arial"/>
          <w:lang w:val="hu-HU"/>
        </w:rPr>
        <w:t xml:space="preserve">, C. S., &amp; </w:t>
      </w:r>
      <w:proofErr w:type="spellStart"/>
      <w:r w:rsidRPr="00B8795A">
        <w:rPr>
          <w:rFonts w:ascii="Arial" w:hAnsi="Arial" w:cs="Arial"/>
          <w:lang w:val="hu-HU"/>
        </w:rPr>
        <w:t>Resnick</w:t>
      </w:r>
      <w:proofErr w:type="spellEnd"/>
      <w:r w:rsidRPr="00B8795A">
        <w:rPr>
          <w:rFonts w:ascii="Arial" w:hAnsi="Arial" w:cs="Arial"/>
          <w:lang w:val="hu-HU"/>
        </w:rPr>
        <w:t>, B. G; 2018)</w:t>
      </w:r>
    </w:p>
    <w:p w14:paraId="1B00666C" w14:textId="77777777" w:rsidR="00460CB8" w:rsidRDefault="00460CB8" w:rsidP="00460CB8">
      <w:pPr>
        <w:jc w:val="both"/>
        <w:rPr>
          <w:rFonts w:ascii="Arial" w:hAnsi="Arial" w:cs="Arial"/>
        </w:rPr>
      </w:pPr>
      <w:r w:rsidRPr="0068028D">
        <w:rPr>
          <w:rFonts w:ascii="Arial" w:hAnsi="Arial" w:cs="Arial"/>
          <w:u w:val="single"/>
        </w:rPr>
        <w:t>Evaluation:</w:t>
      </w:r>
      <w:r w:rsidRPr="0068028D">
        <w:rPr>
          <w:rFonts w:ascii="Arial" w:hAnsi="Arial" w:cs="Arial"/>
        </w:rPr>
        <w:t xml:space="preserve"> </w:t>
      </w:r>
    </w:p>
    <w:p w14:paraId="7965FB7F" w14:textId="77777777" w:rsidR="00460CB8" w:rsidRDefault="00460CB8" w:rsidP="00460CB8">
      <w:pPr>
        <w:jc w:val="both"/>
        <w:rPr>
          <w:rFonts w:ascii="Arial" w:hAnsi="Arial" w:cs="Arial"/>
        </w:rPr>
      </w:pPr>
      <w:r w:rsidRPr="0068028D">
        <w:rPr>
          <w:rFonts w:ascii="Arial" w:hAnsi="Arial" w:cs="Arial"/>
        </w:rPr>
        <w:t>While strategic management of financial structure yields benefits in minimizing forex risks, it also exposes MNCs to other risks such as interest rate fluctuations and sovereign risk. Additionally, maintaining an optimal financial structure demands ongoing monitoring and adjustments to adapt to evolving market conditions. Moreover, MNCs must consider the trade-offs between various financing options and their impact on overall financial performance and risk profile.</w:t>
      </w:r>
    </w:p>
    <w:p w14:paraId="586E352A" w14:textId="77777777" w:rsidR="00460CB8" w:rsidRPr="0068028D" w:rsidRDefault="00460CB8" w:rsidP="00460CB8">
      <w:pPr>
        <w:jc w:val="both"/>
        <w:rPr>
          <w:rFonts w:ascii="Arial" w:hAnsi="Arial" w:cs="Arial"/>
        </w:rPr>
      </w:pPr>
    </w:p>
    <w:p w14:paraId="16FA7A08" w14:textId="77777777" w:rsidR="00460CB8" w:rsidRDefault="00460CB8" w:rsidP="00460CB8">
      <w:pPr>
        <w:jc w:val="both"/>
        <w:rPr>
          <w:rFonts w:ascii="Arial" w:hAnsi="Arial" w:cs="Arial"/>
        </w:rPr>
      </w:pPr>
      <w:r w:rsidRPr="0068028D">
        <w:rPr>
          <w:rFonts w:ascii="Arial" w:hAnsi="Arial" w:cs="Arial"/>
        </w:rPr>
        <w:t>In summary, MNCs adopt diverse strategies to manage their exposure to forex risks, each with its own set of advantages and limitations. While natural hedging and financial hedging offer different approaches to risk management, operational strategies and strategic financial management provide comprehensive frameworks for addressing forex risks. The choice of strategy depends on factors such as the MNC's risk appetite, market dynamics, and regulatory environment, emphasizing the need for a multifaceted approach to forex risk management.</w:t>
      </w:r>
    </w:p>
    <w:p w14:paraId="22283C5B" w14:textId="77777777" w:rsidR="00460CB8" w:rsidRDefault="00460CB8" w:rsidP="00460CB8">
      <w:pPr>
        <w:jc w:val="both"/>
        <w:rPr>
          <w:rFonts w:ascii="Arial" w:hAnsi="Arial" w:cs="Arial"/>
        </w:rPr>
      </w:pPr>
    </w:p>
    <w:p w14:paraId="7CA0326A" w14:textId="77777777" w:rsidR="00460CB8" w:rsidRPr="0068028D" w:rsidRDefault="00460CB8" w:rsidP="00460CB8">
      <w:pPr>
        <w:jc w:val="both"/>
        <w:rPr>
          <w:rFonts w:ascii="Arial" w:hAnsi="Arial" w:cs="Arial"/>
          <w:b/>
          <w:bCs/>
        </w:rPr>
      </w:pPr>
      <w:r w:rsidRPr="0068028D">
        <w:rPr>
          <w:rFonts w:ascii="Arial" w:hAnsi="Arial" w:cs="Arial"/>
          <w:b/>
          <w:bCs/>
        </w:rPr>
        <w:t>Empirical Evidence and Case Studies</w:t>
      </w:r>
    </w:p>
    <w:p w14:paraId="28BB1807" w14:textId="77777777" w:rsidR="00460CB8" w:rsidRPr="0068028D" w:rsidRDefault="00460CB8" w:rsidP="00460CB8">
      <w:pPr>
        <w:jc w:val="both"/>
        <w:rPr>
          <w:rFonts w:ascii="Arial" w:hAnsi="Arial" w:cs="Arial"/>
        </w:rPr>
      </w:pPr>
      <w:r w:rsidRPr="0068028D">
        <w:rPr>
          <w:rFonts w:ascii="Arial" w:hAnsi="Arial" w:cs="Arial"/>
        </w:rPr>
        <w:t xml:space="preserve">Several empirical studies support the effectiveness of various forex risk management strategies. For instance, a study by </w:t>
      </w:r>
      <w:proofErr w:type="spellStart"/>
      <w:r w:rsidRPr="0068028D">
        <w:rPr>
          <w:rFonts w:ascii="Arial" w:hAnsi="Arial" w:cs="Arial"/>
        </w:rPr>
        <w:t>Allayannis</w:t>
      </w:r>
      <w:proofErr w:type="spellEnd"/>
      <w:r w:rsidRPr="0068028D">
        <w:rPr>
          <w:rFonts w:ascii="Arial" w:hAnsi="Arial" w:cs="Arial"/>
        </w:rPr>
        <w:t xml:space="preserve"> and </w:t>
      </w:r>
      <w:proofErr w:type="spellStart"/>
      <w:r w:rsidRPr="0068028D">
        <w:rPr>
          <w:rFonts w:ascii="Arial" w:hAnsi="Arial" w:cs="Arial"/>
        </w:rPr>
        <w:t>Ofek</w:t>
      </w:r>
      <w:proofErr w:type="spellEnd"/>
      <w:r w:rsidRPr="0068028D">
        <w:rPr>
          <w:rFonts w:ascii="Arial" w:hAnsi="Arial" w:cs="Arial"/>
        </w:rPr>
        <w:t xml:space="preserve"> (2001) found that MNCs actively using derivatives experienced lower stock price volatility compared to those not using derivatives. Similarly, research by Bodnar and Wong (2003) demonstrated the benefits of natural hedging in reducing transaction exposure.</w:t>
      </w:r>
    </w:p>
    <w:p w14:paraId="37C7F9C6" w14:textId="5EAD1FD5" w:rsidR="00460CB8" w:rsidRDefault="00460CB8" w:rsidP="00460CB8">
      <w:pPr>
        <w:jc w:val="both"/>
        <w:rPr>
          <w:rFonts w:ascii="Arial" w:hAnsi="Arial" w:cs="Arial"/>
        </w:rPr>
      </w:pPr>
      <w:r w:rsidRPr="0068028D">
        <w:rPr>
          <w:rFonts w:ascii="Arial" w:hAnsi="Arial" w:cs="Arial"/>
        </w:rPr>
        <w:t>Case studies of companies like Toyota, Nestle, and Coca-Cola provide insights into how MNCs implement forex risk management strategies in practice. For example, Toyota strategically hedges its currency exposure through a combination of natural hedging and financial hedging techniques, thereby minimizing the impact of exchange rate fluctuations on its profits.</w:t>
      </w:r>
    </w:p>
    <w:p w14:paraId="662500FD" w14:textId="77777777" w:rsidR="00F64199" w:rsidRDefault="00F64199" w:rsidP="00460CB8">
      <w:pPr>
        <w:jc w:val="both"/>
        <w:rPr>
          <w:rFonts w:ascii="Arial" w:hAnsi="Arial" w:cs="Arial"/>
        </w:rPr>
      </w:pPr>
    </w:p>
    <w:p w14:paraId="0C3CF009" w14:textId="77777777" w:rsidR="00F64199" w:rsidRPr="00F64199" w:rsidRDefault="00F64199" w:rsidP="00460CB8">
      <w:pPr>
        <w:jc w:val="both"/>
        <w:rPr>
          <w:rFonts w:ascii="Arial" w:hAnsi="Arial" w:cs="Arial"/>
        </w:rPr>
      </w:pPr>
    </w:p>
    <w:p w14:paraId="0DC5F215" w14:textId="77777777" w:rsidR="00460CB8" w:rsidRPr="00E918D4" w:rsidRDefault="00460CB8" w:rsidP="00460CB8">
      <w:pPr>
        <w:jc w:val="both"/>
        <w:rPr>
          <w:rFonts w:ascii="Arial" w:hAnsi="Arial" w:cs="Arial"/>
          <w:b/>
          <w:bCs/>
        </w:rPr>
      </w:pPr>
      <w:r w:rsidRPr="00403413">
        <w:rPr>
          <w:rFonts w:ascii="Arial" w:hAnsi="Arial" w:cs="Arial"/>
          <w:b/>
          <w:bCs/>
        </w:rPr>
        <w:t>Conclusion</w:t>
      </w:r>
    </w:p>
    <w:p w14:paraId="7DE4B83D" w14:textId="77777777" w:rsidR="00460CB8" w:rsidRPr="00E918D4" w:rsidRDefault="00460CB8" w:rsidP="00460CB8">
      <w:pPr>
        <w:jc w:val="both"/>
        <w:rPr>
          <w:rFonts w:ascii="Arial" w:hAnsi="Arial" w:cs="Arial"/>
        </w:rPr>
      </w:pPr>
      <w:r w:rsidRPr="00E918D4">
        <w:rPr>
          <w:rFonts w:ascii="Arial" w:hAnsi="Arial" w:cs="Arial"/>
        </w:rPr>
        <w:t>In summary, foreign exchange risks pose significant challenges to multinational corporations, impacting financial performance and competitive dynamics. Strategies such as natural hedging, financial hedging, operational diversification, and strategic financial management offer avenues to mitigate these risks. Each strategy has its own benefits and drawbacks, requiring careful consideration based on risk appetite and market conditions.</w:t>
      </w:r>
    </w:p>
    <w:p w14:paraId="4A7CE73B" w14:textId="77777777" w:rsidR="00460CB8" w:rsidRPr="00E918D4" w:rsidRDefault="00460CB8" w:rsidP="00460CB8">
      <w:pPr>
        <w:jc w:val="both"/>
        <w:rPr>
          <w:rFonts w:ascii="Arial" w:hAnsi="Arial" w:cs="Arial"/>
        </w:rPr>
      </w:pPr>
      <w:r w:rsidRPr="00E918D4">
        <w:rPr>
          <w:rFonts w:ascii="Arial" w:hAnsi="Arial" w:cs="Arial"/>
        </w:rPr>
        <w:lastRenderedPageBreak/>
        <w:t>Empirical evidence and case studies highlight the effectiveness of various risk management strategies, with derivatives and natural hedging proven to reduce volatility and transaction exposure. Leading MNCs like Toyota exemplify successful implementation of hedging techniques to minimize the impact of exchange rate fluctuations on profits.</w:t>
      </w:r>
    </w:p>
    <w:p w14:paraId="34BFB201" w14:textId="77777777" w:rsidR="00460CB8" w:rsidRDefault="00460CB8" w:rsidP="00460CB8">
      <w:pPr>
        <w:jc w:val="both"/>
        <w:rPr>
          <w:rFonts w:ascii="Arial" w:hAnsi="Arial" w:cs="Arial"/>
        </w:rPr>
      </w:pPr>
      <w:r w:rsidRPr="00E918D4">
        <w:rPr>
          <w:rFonts w:ascii="Arial" w:hAnsi="Arial" w:cs="Arial"/>
        </w:rPr>
        <w:t>In conclusion, a nuanced understanding of foreign exchange risks and the adoption of tailored risk management strategies are essential for MNCs to enhance resilience and competitiveness in the face of currency volatility in global markets.</w:t>
      </w:r>
    </w:p>
    <w:p w14:paraId="574DD675" w14:textId="77777777" w:rsidR="002037B6" w:rsidRDefault="002037B6" w:rsidP="00460CB8">
      <w:pPr>
        <w:jc w:val="both"/>
        <w:rPr>
          <w:rFonts w:ascii="Arial" w:hAnsi="Arial" w:cs="Arial"/>
        </w:rPr>
      </w:pPr>
    </w:p>
    <w:p w14:paraId="23FBAAF4" w14:textId="2DE4EB6A" w:rsidR="002037B6" w:rsidRDefault="002037B6" w:rsidP="00460CB8">
      <w:pPr>
        <w:jc w:val="both"/>
        <w:rPr>
          <w:rFonts w:ascii="Arial" w:hAnsi="Arial" w:cs="Arial"/>
          <w:b/>
          <w:bCs/>
        </w:rPr>
      </w:pPr>
      <w:r w:rsidRPr="002037B6">
        <w:rPr>
          <w:rFonts w:ascii="Arial" w:hAnsi="Arial" w:cs="Arial"/>
          <w:b/>
          <w:bCs/>
        </w:rPr>
        <w:t>References:</w:t>
      </w:r>
    </w:p>
    <w:p w14:paraId="50999405" w14:textId="77777777" w:rsidR="002037B6" w:rsidRPr="002037B6" w:rsidRDefault="002037B6" w:rsidP="002037B6">
      <w:pPr>
        <w:rPr>
          <w:rFonts w:ascii="Arial" w:hAnsi="Arial" w:cs="Arial"/>
        </w:rPr>
      </w:pPr>
      <w:proofErr w:type="spellStart"/>
      <w:r w:rsidRPr="002037B6">
        <w:rPr>
          <w:rFonts w:ascii="Arial" w:hAnsi="Arial" w:cs="Arial"/>
        </w:rPr>
        <w:t>Allayannis</w:t>
      </w:r>
      <w:proofErr w:type="spellEnd"/>
      <w:r w:rsidRPr="002037B6">
        <w:rPr>
          <w:rFonts w:ascii="Arial" w:hAnsi="Arial" w:cs="Arial"/>
        </w:rPr>
        <w:t xml:space="preserve">, G., &amp; </w:t>
      </w:r>
      <w:proofErr w:type="spellStart"/>
      <w:r w:rsidRPr="002037B6">
        <w:rPr>
          <w:rFonts w:ascii="Arial" w:hAnsi="Arial" w:cs="Arial"/>
        </w:rPr>
        <w:t>Ofek</w:t>
      </w:r>
      <w:proofErr w:type="spellEnd"/>
      <w:r w:rsidRPr="002037B6">
        <w:rPr>
          <w:rFonts w:ascii="Arial" w:hAnsi="Arial" w:cs="Arial"/>
        </w:rPr>
        <w:t>, E. (2001). Exchange Rate Exposure, Hedging, and the Use of Foreign Currency Derivatives. Journal of International Money and Finance, 20(2), 273-296.</w:t>
      </w:r>
    </w:p>
    <w:p w14:paraId="2ED054BE" w14:textId="77777777" w:rsidR="002037B6" w:rsidRPr="002037B6" w:rsidRDefault="002037B6" w:rsidP="002037B6">
      <w:pPr>
        <w:rPr>
          <w:rFonts w:ascii="Arial" w:hAnsi="Arial" w:cs="Arial"/>
        </w:rPr>
      </w:pPr>
      <w:proofErr w:type="spellStart"/>
      <w:r w:rsidRPr="002037B6">
        <w:rPr>
          <w:rFonts w:ascii="Arial" w:hAnsi="Arial" w:cs="Arial"/>
        </w:rPr>
        <w:t>Atrill</w:t>
      </w:r>
      <w:proofErr w:type="spellEnd"/>
      <w:r w:rsidRPr="002037B6">
        <w:rPr>
          <w:rFonts w:ascii="Arial" w:hAnsi="Arial" w:cs="Arial"/>
        </w:rPr>
        <w:t>, P. (2012). Financial Management for Decision Makers (6th ed.). Harlow: Financial Times Prentice Hall.</w:t>
      </w:r>
    </w:p>
    <w:p w14:paraId="094FB719" w14:textId="77777777" w:rsidR="002037B6" w:rsidRPr="002037B6" w:rsidRDefault="002037B6" w:rsidP="002037B6">
      <w:pPr>
        <w:rPr>
          <w:rFonts w:ascii="Arial" w:hAnsi="Arial" w:cs="Arial"/>
        </w:rPr>
      </w:pPr>
      <w:r w:rsidRPr="002037B6">
        <w:rPr>
          <w:rFonts w:ascii="Arial" w:hAnsi="Arial" w:cs="Arial"/>
        </w:rPr>
        <w:t xml:space="preserve">Bekaert, G., &amp; </w:t>
      </w:r>
      <w:proofErr w:type="spellStart"/>
      <w:r w:rsidRPr="002037B6">
        <w:rPr>
          <w:rFonts w:ascii="Arial" w:hAnsi="Arial" w:cs="Arial"/>
        </w:rPr>
        <w:t>Hodrick</w:t>
      </w:r>
      <w:proofErr w:type="spellEnd"/>
      <w:r w:rsidRPr="002037B6">
        <w:rPr>
          <w:rFonts w:ascii="Arial" w:hAnsi="Arial" w:cs="Arial"/>
        </w:rPr>
        <w:t xml:space="preserve">, R. (2013). International Financial Management (2nd ed., </w:t>
      </w:r>
      <w:proofErr w:type="gramStart"/>
      <w:r w:rsidRPr="002037B6">
        <w:rPr>
          <w:rFonts w:ascii="Arial" w:hAnsi="Arial" w:cs="Arial"/>
        </w:rPr>
        <w:t>International</w:t>
      </w:r>
      <w:proofErr w:type="gramEnd"/>
      <w:r w:rsidRPr="002037B6">
        <w:rPr>
          <w:rFonts w:ascii="Arial" w:hAnsi="Arial" w:cs="Arial"/>
        </w:rPr>
        <w:t xml:space="preserve"> ed.). Harlow: Pearson.</w:t>
      </w:r>
    </w:p>
    <w:p w14:paraId="522FE4CA" w14:textId="77777777" w:rsidR="002037B6" w:rsidRPr="002037B6" w:rsidRDefault="002037B6" w:rsidP="002037B6">
      <w:pPr>
        <w:rPr>
          <w:rFonts w:ascii="Arial" w:hAnsi="Arial" w:cs="Arial"/>
        </w:rPr>
      </w:pPr>
      <w:r w:rsidRPr="002037B6">
        <w:rPr>
          <w:rFonts w:ascii="Arial" w:hAnsi="Arial" w:cs="Arial"/>
        </w:rPr>
        <w:t>Bodie, Z., Kane, A., &amp; Marcus, A. J. (2014). Investments (10th ed.). McGraw-Hill Education.</w:t>
      </w:r>
    </w:p>
    <w:p w14:paraId="126907C1" w14:textId="77777777" w:rsidR="002037B6" w:rsidRPr="002037B6" w:rsidRDefault="002037B6" w:rsidP="002037B6">
      <w:pPr>
        <w:rPr>
          <w:rFonts w:ascii="Arial" w:hAnsi="Arial" w:cs="Arial"/>
        </w:rPr>
      </w:pPr>
      <w:r w:rsidRPr="002037B6">
        <w:rPr>
          <w:rFonts w:ascii="Arial" w:hAnsi="Arial" w:cs="Arial"/>
        </w:rPr>
        <w:t>Bodnar, G. M., &amp; Wong, M. H. F. (2003). Estimating Exchange Rate Exposures: Some "Weighty" Issues. Journal of Financial Economics, 67(1), 3-39.</w:t>
      </w:r>
    </w:p>
    <w:p w14:paraId="625B3FF1" w14:textId="77777777" w:rsidR="002037B6" w:rsidRPr="002037B6" w:rsidRDefault="002037B6" w:rsidP="002037B6">
      <w:pPr>
        <w:rPr>
          <w:rFonts w:ascii="Arial" w:hAnsi="Arial" w:cs="Arial"/>
        </w:rPr>
      </w:pPr>
      <w:proofErr w:type="spellStart"/>
      <w:r w:rsidRPr="002037B6">
        <w:rPr>
          <w:rFonts w:ascii="Arial" w:hAnsi="Arial" w:cs="Arial"/>
        </w:rPr>
        <w:t>Eun</w:t>
      </w:r>
      <w:proofErr w:type="spellEnd"/>
      <w:r w:rsidRPr="002037B6">
        <w:rPr>
          <w:rFonts w:ascii="Arial" w:hAnsi="Arial" w:cs="Arial"/>
        </w:rPr>
        <w:t>, C. S., &amp; Resnick, B. G. (2018). International Financial Management (8th ed.). McGraw-Hill Education.</w:t>
      </w:r>
    </w:p>
    <w:p w14:paraId="61B0EFAB" w14:textId="4F6BEE78" w:rsidR="002037B6" w:rsidRPr="002037B6" w:rsidRDefault="002037B6" w:rsidP="002037B6">
      <w:pPr>
        <w:rPr>
          <w:rFonts w:ascii="Arial" w:hAnsi="Arial" w:cs="Arial"/>
        </w:rPr>
      </w:pPr>
      <w:r w:rsidRPr="002037B6">
        <w:rPr>
          <w:rFonts w:ascii="Arial" w:hAnsi="Arial" w:cs="Arial"/>
        </w:rPr>
        <w:t xml:space="preserve">European Parliament. (2023), "EU Foreign Exchange Risk Management: Challenges and Policy Implications, Available at: </w:t>
      </w:r>
      <w:hyperlink r:id="rId6" w:tgtFrame="_new" w:history="1">
        <w:r w:rsidRPr="002037B6">
          <w:rPr>
            <w:rStyle w:val="Hyperlink"/>
            <w:rFonts w:ascii="Arial" w:hAnsi="Arial" w:cs="Arial"/>
          </w:rPr>
          <w:t>https://www.europarl.europa.eu/RegData/etudes/STUD/2023/751428/EPRS_STU(2023)751428_EN.pdf</w:t>
        </w:r>
      </w:hyperlink>
      <w:r>
        <w:rPr>
          <w:rFonts w:ascii="Arial" w:hAnsi="Arial" w:cs="Arial"/>
        </w:rPr>
        <w:t xml:space="preserve"> Accessed: 20</w:t>
      </w:r>
      <w:r w:rsidRPr="002037B6">
        <w:rPr>
          <w:rFonts w:ascii="Arial" w:hAnsi="Arial" w:cs="Arial"/>
          <w:vertAlign w:val="superscript"/>
        </w:rPr>
        <w:t>th</w:t>
      </w:r>
      <w:r>
        <w:rPr>
          <w:rFonts w:ascii="Arial" w:hAnsi="Arial" w:cs="Arial"/>
        </w:rPr>
        <w:t xml:space="preserve"> March</w:t>
      </w:r>
    </w:p>
    <w:p w14:paraId="5BE75B45" w14:textId="77777777" w:rsidR="002037B6" w:rsidRPr="002037B6" w:rsidRDefault="002037B6" w:rsidP="002037B6">
      <w:pPr>
        <w:rPr>
          <w:rFonts w:ascii="Arial" w:hAnsi="Arial" w:cs="Arial"/>
        </w:rPr>
      </w:pPr>
      <w:r w:rsidRPr="002037B6">
        <w:rPr>
          <w:rFonts w:ascii="Arial" w:hAnsi="Arial" w:cs="Arial"/>
        </w:rPr>
        <w:t>Madura, J. (2010). International Financial Management (8th Edition ed.). Thomson, South-Western.</w:t>
      </w:r>
    </w:p>
    <w:p w14:paraId="55A55256" w14:textId="77777777" w:rsidR="002037B6" w:rsidRPr="002037B6" w:rsidRDefault="002037B6" w:rsidP="002037B6">
      <w:pPr>
        <w:rPr>
          <w:rFonts w:ascii="Arial" w:hAnsi="Arial" w:cs="Arial"/>
        </w:rPr>
      </w:pPr>
      <w:r w:rsidRPr="002037B6">
        <w:rPr>
          <w:rFonts w:ascii="Arial" w:hAnsi="Arial" w:cs="Arial"/>
        </w:rPr>
        <w:t>McLaney, E. J. (2011). Business Finance: Theory and Practice (9th ed.). Harlow: Financial Times Prentice Hall.</w:t>
      </w:r>
    </w:p>
    <w:p w14:paraId="42549924" w14:textId="4CE3EA4B" w:rsidR="002037B6" w:rsidRPr="002037B6" w:rsidRDefault="002037B6" w:rsidP="002037B6">
      <w:pPr>
        <w:rPr>
          <w:rFonts w:ascii="Arial" w:hAnsi="Arial" w:cs="Arial"/>
        </w:rPr>
      </w:pPr>
      <w:r w:rsidRPr="002037B6">
        <w:rPr>
          <w:rFonts w:ascii="Arial" w:hAnsi="Arial" w:cs="Arial"/>
        </w:rPr>
        <w:t xml:space="preserve">Nestle (2023), Available at: </w:t>
      </w:r>
      <w:hyperlink r:id="rId7" w:tgtFrame="_new" w:history="1">
        <w:r w:rsidRPr="002037B6">
          <w:rPr>
            <w:rStyle w:val="Hyperlink"/>
            <w:rFonts w:ascii="Arial" w:hAnsi="Arial" w:cs="Arial"/>
          </w:rPr>
          <w:t>https://www.nestle.com/investors/publications</w:t>
        </w:r>
      </w:hyperlink>
      <w:r w:rsidRPr="002037B6">
        <w:rPr>
          <w:rFonts w:ascii="Arial" w:hAnsi="Arial" w:cs="Arial"/>
        </w:rPr>
        <w:t xml:space="preserve"> Accessed:</w:t>
      </w:r>
      <w:r>
        <w:rPr>
          <w:rFonts w:ascii="Arial" w:hAnsi="Arial" w:cs="Arial"/>
        </w:rPr>
        <w:t xml:space="preserve"> 28</w:t>
      </w:r>
      <w:proofErr w:type="gramStart"/>
      <w:r w:rsidRPr="002037B6">
        <w:rPr>
          <w:rFonts w:ascii="Arial" w:hAnsi="Arial" w:cs="Arial"/>
          <w:vertAlign w:val="superscript"/>
        </w:rPr>
        <w:t>th</w:t>
      </w:r>
      <w:r>
        <w:rPr>
          <w:rFonts w:ascii="Arial" w:hAnsi="Arial" w:cs="Arial"/>
        </w:rPr>
        <w:t xml:space="preserve"> </w:t>
      </w:r>
      <w:r w:rsidRPr="002037B6">
        <w:rPr>
          <w:rFonts w:ascii="Arial" w:hAnsi="Arial" w:cs="Arial"/>
        </w:rPr>
        <w:t xml:space="preserve"> March</w:t>
      </w:r>
      <w:proofErr w:type="gramEnd"/>
    </w:p>
    <w:p w14:paraId="4283C322" w14:textId="3955E8A6" w:rsidR="002037B6" w:rsidRPr="002037B6" w:rsidRDefault="002037B6" w:rsidP="002037B6">
      <w:pPr>
        <w:rPr>
          <w:rFonts w:ascii="Arial" w:hAnsi="Arial" w:cs="Arial"/>
        </w:rPr>
      </w:pPr>
      <w:r w:rsidRPr="002037B6">
        <w:rPr>
          <w:rFonts w:ascii="Arial" w:hAnsi="Arial" w:cs="Arial"/>
        </w:rPr>
        <w:t xml:space="preserve">Nestle Annual review (2023), Available at: </w:t>
      </w:r>
      <w:hyperlink r:id="rId8" w:tgtFrame="_new" w:history="1">
        <w:r w:rsidRPr="002037B6">
          <w:rPr>
            <w:rStyle w:val="Hyperlink"/>
            <w:rFonts w:ascii="Arial" w:hAnsi="Arial" w:cs="Arial"/>
          </w:rPr>
          <w:t>https://www.nestle.com/sites/default/files/2024-02/2023-annual-review-en.pdf</w:t>
        </w:r>
      </w:hyperlink>
      <w:r w:rsidRPr="002037B6">
        <w:rPr>
          <w:rFonts w:ascii="Arial" w:hAnsi="Arial" w:cs="Arial"/>
        </w:rPr>
        <w:t xml:space="preserve"> Accessed: </w:t>
      </w:r>
      <w:r>
        <w:rPr>
          <w:rFonts w:ascii="Arial" w:hAnsi="Arial" w:cs="Arial"/>
        </w:rPr>
        <w:t>30</w:t>
      </w:r>
      <w:r w:rsidRPr="002037B6">
        <w:rPr>
          <w:rFonts w:ascii="Arial" w:hAnsi="Arial" w:cs="Arial"/>
          <w:vertAlign w:val="superscript"/>
        </w:rPr>
        <w:t>th</w:t>
      </w:r>
      <w:r>
        <w:rPr>
          <w:rFonts w:ascii="Arial" w:hAnsi="Arial" w:cs="Arial"/>
        </w:rPr>
        <w:t xml:space="preserve"> </w:t>
      </w:r>
      <w:r w:rsidRPr="002037B6">
        <w:rPr>
          <w:rFonts w:ascii="Arial" w:hAnsi="Arial" w:cs="Arial"/>
        </w:rPr>
        <w:t xml:space="preserve"> March</w:t>
      </w:r>
    </w:p>
    <w:p w14:paraId="53E1CD03" w14:textId="71A04B1D" w:rsidR="002037B6" w:rsidRPr="002037B6" w:rsidRDefault="002037B6" w:rsidP="002037B6">
      <w:pPr>
        <w:rPr>
          <w:rFonts w:ascii="Arial" w:hAnsi="Arial" w:cs="Arial"/>
        </w:rPr>
      </w:pPr>
      <w:r w:rsidRPr="002037B6">
        <w:rPr>
          <w:rFonts w:ascii="Arial" w:hAnsi="Arial" w:cs="Arial"/>
        </w:rPr>
        <w:t xml:space="preserve">NCBI (2022), Available at: </w:t>
      </w:r>
      <w:hyperlink r:id="rId9" w:tgtFrame="_new" w:history="1">
        <w:r w:rsidRPr="002037B6">
          <w:rPr>
            <w:rStyle w:val="Hyperlink"/>
            <w:rFonts w:ascii="Arial" w:hAnsi="Arial" w:cs="Arial"/>
          </w:rPr>
          <w:t>https://www.ncbi.nlm.nih.gov/pmc/articles/PMC9878000/</w:t>
        </w:r>
      </w:hyperlink>
      <w:r w:rsidRPr="002037B6">
        <w:rPr>
          <w:rFonts w:ascii="Arial" w:hAnsi="Arial" w:cs="Arial"/>
        </w:rPr>
        <w:t xml:space="preserve"> Accessed: </w:t>
      </w:r>
      <w:r>
        <w:rPr>
          <w:rFonts w:ascii="Arial" w:hAnsi="Arial" w:cs="Arial"/>
        </w:rPr>
        <w:t>19</w:t>
      </w:r>
      <w:proofErr w:type="gramStart"/>
      <w:r w:rsidRPr="002037B6">
        <w:rPr>
          <w:rFonts w:ascii="Arial" w:hAnsi="Arial" w:cs="Arial"/>
          <w:vertAlign w:val="superscript"/>
        </w:rPr>
        <w:t>th</w:t>
      </w:r>
      <w:r>
        <w:rPr>
          <w:rFonts w:ascii="Arial" w:hAnsi="Arial" w:cs="Arial"/>
        </w:rPr>
        <w:t xml:space="preserve"> </w:t>
      </w:r>
      <w:r w:rsidRPr="002037B6">
        <w:rPr>
          <w:rFonts w:ascii="Arial" w:hAnsi="Arial" w:cs="Arial"/>
        </w:rPr>
        <w:t xml:space="preserve"> March</w:t>
      </w:r>
      <w:proofErr w:type="gramEnd"/>
    </w:p>
    <w:p w14:paraId="1882C7E1" w14:textId="20D7EE67" w:rsidR="002037B6" w:rsidRPr="002037B6" w:rsidRDefault="002037B6" w:rsidP="002037B6">
      <w:pPr>
        <w:rPr>
          <w:rFonts w:ascii="Arial" w:hAnsi="Arial" w:cs="Arial"/>
        </w:rPr>
      </w:pPr>
      <w:proofErr w:type="spellStart"/>
      <w:r w:rsidRPr="002037B6">
        <w:rPr>
          <w:rFonts w:ascii="Arial" w:hAnsi="Arial" w:cs="Arial"/>
        </w:rPr>
        <w:t>Researchgate</w:t>
      </w:r>
      <w:proofErr w:type="spellEnd"/>
      <w:r w:rsidRPr="002037B6">
        <w:rPr>
          <w:rFonts w:ascii="Arial" w:hAnsi="Arial" w:cs="Arial"/>
        </w:rPr>
        <w:t xml:space="preserve"> (2023), Available at: </w:t>
      </w:r>
      <w:hyperlink r:id="rId10" w:tgtFrame="_new" w:history="1">
        <w:r w:rsidRPr="002037B6">
          <w:rPr>
            <w:rStyle w:val="Hyperlink"/>
            <w:rFonts w:ascii="Arial" w:hAnsi="Arial" w:cs="Arial"/>
          </w:rPr>
          <w:t>https://www.researchgate.net/publication/369691120_Strategy_and_Financial_Statement_Analysis_of_the_Coca-Cola_Company</w:t>
        </w:r>
      </w:hyperlink>
      <w:r w:rsidRPr="002037B6">
        <w:rPr>
          <w:rFonts w:ascii="Arial" w:hAnsi="Arial" w:cs="Arial"/>
        </w:rPr>
        <w:t xml:space="preserve"> Accessed:</w:t>
      </w:r>
      <w:r>
        <w:rPr>
          <w:rFonts w:ascii="Arial" w:hAnsi="Arial" w:cs="Arial"/>
        </w:rPr>
        <w:t xml:space="preserve"> 1</w:t>
      </w:r>
      <w:r w:rsidRPr="002037B6">
        <w:rPr>
          <w:rFonts w:ascii="Arial" w:hAnsi="Arial" w:cs="Arial"/>
          <w:vertAlign w:val="superscript"/>
        </w:rPr>
        <w:t>st</w:t>
      </w:r>
      <w:r>
        <w:rPr>
          <w:rFonts w:ascii="Arial" w:hAnsi="Arial" w:cs="Arial"/>
        </w:rPr>
        <w:t xml:space="preserve"> </w:t>
      </w:r>
      <w:r w:rsidRPr="002037B6">
        <w:rPr>
          <w:rFonts w:ascii="Arial" w:hAnsi="Arial" w:cs="Arial"/>
        </w:rPr>
        <w:t xml:space="preserve"> April</w:t>
      </w:r>
    </w:p>
    <w:p w14:paraId="6C3AC9C5" w14:textId="7E50E98A" w:rsidR="002037B6" w:rsidRPr="002037B6" w:rsidRDefault="002037B6" w:rsidP="002037B6">
      <w:pPr>
        <w:rPr>
          <w:rFonts w:ascii="Arial" w:hAnsi="Arial" w:cs="Arial"/>
        </w:rPr>
      </w:pPr>
      <w:proofErr w:type="spellStart"/>
      <w:r w:rsidRPr="002037B6">
        <w:rPr>
          <w:rFonts w:ascii="Arial" w:hAnsi="Arial" w:cs="Arial"/>
        </w:rPr>
        <w:t>Researchgate</w:t>
      </w:r>
      <w:proofErr w:type="spellEnd"/>
      <w:r w:rsidRPr="002037B6">
        <w:rPr>
          <w:rFonts w:ascii="Arial" w:hAnsi="Arial" w:cs="Arial"/>
        </w:rPr>
        <w:t xml:space="preserve"> (2023), Available at: </w:t>
      </w:r>
      <w:hyperlink r:id="rId11" w:tgtFrame="_new" w:history="1">
        <w:r w:rsidRPr="002037B6">
          <w:rPr>
            <w:rStyle w:val="Hyperlink"/>
            <w:rFonts w:ascii="Arial" w:hAnsi="Arial" w:cs="Arial"/>
          </w:rPr>
          <w:t>https://www.researchgate.net/publication/375551589_Financial_Analysis_and_Strategic_Forecast_of_Toyota</w:t>
        </w:r>
      </w:hyperlink>
      <w:r w:rsidRPr="002037B6">
        <w:rPr>
          <w:rFonts w:ascii="Arial" w:hAnsi="Arial" w:cs="Arial"/>
        </w:rPr>
        <w:t xml:space="preserve"> Accessed: </w:t>
      </w:r>
      <w:r>
        <w:rPr>
          <w:rFonts w:ascii="Arial" w:hAnsi="Arial" w:cs="Arial"/>
        </w:rPr>
        <w:t>27</w:t>
      </w:r>
      <w:r w:rsidRPr="002037B6">
        <w:rPr>
          <w:rFonts w:ascii="Arial" w:hAnsi="Arial" w:cs="Arial"/>
          <w:vertAlign w:val="superscript"/>
        </w:rPr>
        <w:t>th</w:t>
      </w:r>
      <w:r>
        <w:rPr>
          <w:rFonts w:ascii="Arial" w:hAnsi="Arial" w:cs="Arial"/>
        </w:rPr>
        <w:t xml:space="preserve"> </w:t>
      </w:r>
      <w:r w:rsidRPr="002037B6">
        <w:rPr>
          <w:rFonts w:ascii="Arial" w:hAnsi="Arial" w:cs="Arial"/>
        </w:rPr>
        <w:t xml:space="preserve"> March</w:t>
      </w:r>
    </w:p>
    <w:p w14:paraId="265B6BE6" w14:textId="77777777" w:rsidR="002037B6" w:rsidRPr="002037B6" w:rsidRDefault="002037B6" w:rsidP="002037B6">
      <w:pPr>
        <w:rPr>
          <w:rFonts w:ascii="Arial" w:hAnsi="Arial" w:cs="Arial"/>
        </w:rPr>
      </w:pPr>
      <w:r w:rsidRPr="002037B6">
        <w:rPr>
          <w:rFonts w:ascii="Arial" w:hAnsi="Arial" w:cs="Arial"/>
        </w:rPr>
        <w:lastRenderedPageBreak/>
        <w:t>Shapiro, A. C. (2019). Multinational Financial Management (10th ed.). Wiley.</w:t>
      </w:r>
    </w:p>
    <w:p w14:paraId="1C472E99" w14:textId="501644C7" w:rsidR="002037B6" w:rsidRPr="002037B6" w:rsidRDefault="002037B6" w:rsidP="002037B6">
      <w:pPr>
        <w:rPr>
          <w:rFonts w:ascii="Arial" w:hAnsi="Arial" w:cs="Arial"/>
        </w:rPr>
      </w:pPr>
      <w:proofErr w:type="spellStart"/>
      <w:r w:rsidRPr="002037B6">
        <w:rPr>
          <w:rFonts w:ascii="Arial" w:hAnsi="Arial" w:cs="Arial"/>
        </w:rPr>
        <w:t>Unicef</w:t>
      </w:r>
      <w:proofErr w:type="spellEnd"/>
      <w:r w:rsidRPr="002037B6">
        <w:rPr>
          <w:rFonts w:ascii="Arial" w:hAnsi="Arial" w:cs="Arial"/>
        </w:rPr>
        <w:t xml:space="preserve"> (ND), Available at: </w:t>
      </w:r>
      <w:hyperlink r:id="rId12" w:tgtFrame="_new" w:history="1">
        <w:r w:rsidRPr="002037B6">
          <w:rPr>
            <w:rStyle w:val="Hyperlink"/>
            <w:rFonts w:ascii="Arial" w:hAnsi="Arial" w:cs="Arial"/>
          </w:rPr>
          <w:t>https://www.unicef.org/emergencies/rohingya-crisis</w:t>
        </w:r>
      </w:hyperlink>
      <w:r w:rsidRPr="002037B6">
        <w:rPr>
          <w:rFonts w:ascii="Arial" w:hAnsi="Arial" w:cs="Arial"/>
        </w:rPr>
        <w:t xml:space="preserve"> Accessed: </w:t>
      </w:r>
      <w:r>
        <w:rPr>
          <w:rFonts w:ascii="Arial" w:hAnsi="Arial" w:cs="Arial"/>
        </w:rPr>
        <w:t>19</w:t>
      </w:r>
      <w:proofErr w:type="gramStart"/>
      <w:r w:rsidRPr="002037B6">
        <w:rPr>
          <w:rFonts w:ascii="Arial" w:hAnsi="Arial" w:cs="Arial"/>
          <w:vertAlign w:val="superscript"/>
        </w:rPr>
        <w:t>th</w:t>
      </w:r>
      <w:r>
        <w:rPr>
          <w:rFonts w:ascii="Arial" w:hAnsi="Arial" w:cs="Arial"/>
        </w:rPr>
        <w:t xml:space="preserve"> </w:t>
      </w:r>
      <w:r w:rsidRPr="002037B6">
        <w:rPr>
          <w:rFonts w:ascii="Arial" w:hAnsi="Arial" w:cs="Arial"/>
        </w:rPr>
        <w:t xml:space="preserve"> March</w:t>
      </w:r>
      <w:proofErr w:type="gramEnd"/>
    </w:p>
    <w:p w14:paraId="71D36777" w14:textId="77777777" w:rsidR="002037B6" w:rsidRPr="002037B6" w:rsidRDefault="002037B6" w:rsidP="002037B6">
      <w:pPr>
        <w:jc w:val="both"/>
        <w:rPr>
          <w:rFonts w:ascii="Arial" w:hAnsi="Arial" w:cs="Arial"/>
        </w:rPr>
      </w:pPr>
    </w:p>
    <w:p w14:paraId="170A1E61" w14:textId="77777777" w:rsidR="002037B6" w:rsidRPr="002037B6" w:rsidRDefault="002037B6" w:rsidP="00460CB8">
      <w:pPr>
        <w:jc w:val="both"/>
        <w:rPr>
          <w:rFonts w:ascii="Arial" w:hAnsi="Arial" w:cs="Arial"/>
        </w:rPr>
      </w:pPr>
    </w:p>
    <w:p w14:paraId="391C9599" w14:textId="77777777" w:rsidR="00460CB8" w:rsidRPr="00E918D4" w:rsidRDefault="00460CB8" w:rsidP="00460CB8">
      <w:pPr>
        <w:jc w:val="both"/>
        <w:rPr>
          <w:rFonts w:ascii="Arial" w:hAnsi="Arial" w:cs="Arial"/>
          <w:vanish/>
        </w:rPr>
      </w:pPr>
      <w:r w:rsidRPr="00E918D4">
        <w:rPr>
          <w:rFonts w:ascii="Arial" w:hAnsi="Arial" w:cs="Arial"/>
          <w:vanish/>
        </w:rPr>
        <w:t>Top of Form</w:t>
      </w:r>
    </w:p>
    <w:p w14:paraId="18A3E221" w14:textId="77777777" w:rsidR="00460CB8" w:rsidRPr="00E918D4" w:rsidRDefault="00460CB8" w:rsidP="00460CB8">
      <w:pPr>
        <w:jc w:val="both"/>
        <w:rPr>
          <w:rFonts w:ascii="Arial" w:hAnsi="Arial" w:cs="Arial"/>
        </w:rPr>
      </w:pPr>
    </w:p>
    <w:p w14:paraId="6226D3C5" w14:textId="77777777" w:rsidR="00460CB8" w:rsidRPr="00E918D4" w:rsidRDefault="00460CB8" w:rsidP="00460CB8">
      <w:pPr>
        <w:jc w:val="both"/>
        <w:rPr>
          <w:rFonts w:ascii="Arial" w:hAnsi="Arial" w:cs="Arial"/>
          <w:vanish/>
        </w:rPr>
      </w:pPr>
      <w:r w:rsidRPr="00E918D4">
        <w:rPr>
          <w:rFonts w:ascii="Arial" w:hAnsi="Arial" w:cs="Arial"/>
          <w:vanish/>
        </w:rPr>
        <w:t>Bottom of Form</w:t>
      </w:r>
    </w:p>
    <w:p w14:paraId="069706DC" w14:textId="77777777" w:rsidR="00460CB8" w:rsidRDefault="00460CB8" w:rsidP="00460CB8">
      <w:pPr>
        <w:jc w:val="both"/>
        <w:rPr>
          <w:rFonts w:ascii="Arial" w:hAnsi="Arial" w:cs="Arial"/>
        </w:rPr>
      </w:pPr>
    </w:p>
    <w:p w14:paraId="6AEED4AD" w14:textId="77777777" w:rsidR="00460CB8" w:rsidRDefault="00460CB8" w:rsidP="00460CB8">
      <w:pPr>
        <w:jc w:val="both"/>
        <w:rPr>
          <w:rFonts w:ascii="Arial" w:hAnsi="Arial" w:cs="Arial"/>
        </w:rPr>
      </w:pPr>
    </w:p>
    <w:p w14:paraId="6761D7DF" w14:textId="77777777" w:rsidR="00460CB8" w:rsidRPr="00403413" w:rsidRDefault="00460CB8" w:rsidP="00460CB8">
      <w:pPr>
        <w:jc w:val="both"/>
        <w:rPr>
          <w:rFonts w:ascii="Arial" w:hAnsi="Arial" w:cs="Arial"/>
        </w:rPr>
      </w:pPr>
    </w:p>
    <w:p w14:paraId="2FA37CED" w14:textId="77777777" w:rsidR="00460CB8" w:rsidRPr="0068028D" w:rsidRDefault="00460CB8" w:rsidP="00460CB8">
      <w:pPr>
        <w:jc w:val="both"/>
        <w:rPr>
          <w:rFonts w:ascii="Arial" w:hAnsi="Arial" w:cs="Arial"/>
        </w:rPr>
      </w:pPr>
    </w:p>
    <w:p w14:paraId="2DFC4DB1" w14:textId="77777777" w:rsidR="00460CB8" w:rsidRPr="0068028D" w:rsidRDefault="00460CB8" w:rsidP="00460CB8">
      <w:pPr>
        <w:jc w:val="both"/>
        <w:rPr>
          <w:rFonts w:ascii="Arial" w:hAnsi="Arial" w:cs="Arial"/>
        </w:rPr>
      </w:pPr>
    </w:p>
    <w:p w14:paraId="433D3E9E" w14:textId="77777777" w:rsidR="00460CB8" w:rsidRDefault="00460CB8" w:rsidP="00460CB8">
      <w:pPr>
        <w:jc w:val="both"/>
        <w:rPr>
          <w:rFonts w:ascii="Arial" w:hAnsi="Arial" w:cs="Arial"/>
        </w:rPr>
      </w:pPr>
    </w:p>
    <w:p w14:paraId="288BE7D9" w14:textId="77777777" w:rsidR="00460CB8" w:rsidRPr="00460CB8" w:rsidRDefault="00460CB8" w:rsidP="00460CB8">
      <w:pPr>
        <w:jc w:val="both"/>
        <w:rPr>
          <w:rFonts w:ascii="Arial" w:hAnsi="Arial" w:cs="Arial"/>
        </w:rPr>
      </w:pPr>
    </w:p>
    <w:sectPr w:rsidR="00460CB8" w:rsidRPr="00460CB8" w:rsidSect="00602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42530"/>
    <w:multiLevelType w:val="multilevel"/>
    <w:tmpl w:val="DD8E1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7D75D0"/>
    <w:multiLevelType w:val="multilevel"/>
    <w:tmpl w:val="0C047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7954108">
    <w:abstractNumId w:val="0"/>
  </w:num>
  <w:num w:numId="2" w16cid:durableId="71003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0B9"/>
    <w:rsid w:val="002037B6"/>
    <w:rsid w:val="002450B9"/>
    <w:rsid w:val="00261BE2"/>
    <w:rsid w:val="00460CB8"/>
    <w:rsid w:val="005953C5"/>
    <w:rsid w:val="006029BB"/>
    <w:rsid w:val="0076347A"/>
    <w:rsid w:val="00F64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00711"/>
  <w15:chartTrackingRefBased/>
  <w15:docId w15:val="{B52F169C-2CDE-2541-BEE1-552ACC566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0B9"/>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2450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0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0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0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0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0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0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0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0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0B9"/>
    <w:rPr>
      <w:rFonts w:asciiTheme="majorHAnsi" w:eastAsiaTheme="majorEastAsia" w:hAnsiTheme="majorHAnsi" w:cstheme="majorBidi"/>
      <w:color w:val="0F4761" w:themeColor="accent1" w:themeShade="BF"/>
      <w:sz w:val="40"/>
      <w:szCs w:val="40"/>
      <w:lang w:val="hu-HU"/>
    </w:rPr>
  </w:style>
  <w:style w:type="character" w:customStyle="1" w:styleId="Heading2Char">
    <w:name w:val="Heading 2 Char"/>
    <w:basedOn w:val="DefaultParagraphFont"/>
    <w:link w:val="Heading2"/>
    <w:uiPriority w:val="9"/>
    <w:semiHidden/>
    <w:rsid w:val="002450B9"/>
    <w:rPr>
      <w:rFonts w:asciiTheme="majorHAnsi" w:eastAsiaTheme="majorEastAsia" w:hAnsiTheme="majorHAnsi" w:cstheme="majorBidi"/>
      <w:color w:val="0F4761" w:themeColor="accent1" w:themeShade="BF"/>
      <w:sz w:val="32"/>
      <w:szCs w:val="32"/>
      <w:lang w:val="hu-HU"/>
    </w:rPr>
  </w:style>
  <w:style w:type="character" w:customStyle="1" w:styleId="Heading3Char">
    <w:name w:val="Heading 3 Char"/>
    <w:basedOn w:val="DefaultParagraphFont"/>
    <w:link w:val="Heading3"/>
    <w:uiPriority w:val="9"/>
    <w:semiHidden/>
    <w:rsid w:val="002450B9"/>
    <w:rPr>
      <w:rFonts w:eastAsiaTheme="majorEastAsia" w:cstheme="majorBidi"/>
      <w:color w:val="0F4761" w:themeColor="accent1" w:themeShade="BF"/>
      <w:sz w:val="28"/>
      <w:szCs w:val="28"/>
      <w:lang w:val="hu-HU"/>
    </w:rPr>
  </w:style>
  <w:style w:type="character" w:customStyle="1" w:styleId="Heading4Char">
    <w:name w:val="Heading 4 Char"/>
    <w:basedOn w:val="DefaultParagraphFont"/>
    <w:link w:val="Heading4"/>
    <w:uiPriority w:val="9"/>
    <w:semiHidden/>
    <w:rsid w:val="002450B9"/>
    <w:rPr>
      <w:rFonts w:eastAsiaTheme="majorEastAsia" w:cstheme="majorBidi"/>
      <w:i/>
      <w:iCs/>
      <w:color w:val="0F4761" w:themeColor="accent1" w:themeShade="BF"/>
      <w:lang w:val="hu-HU"/>
    </w:rPr>
  </w:style>
  <w:style w:type="character" w:customStyle="1" w:styleId="Heading5Char">
    <w:name w:val="Heading 5 Char"/>
    <w:basedOn w:val="DefaultParagraphFont"/>
    <w:link w:val="Heading5"/>
    <w:uiPriority w:val="9"/>
    <w:semiHidden/>
    <w:rsid w:val="002450B9"/>
    <w:rPr>
      <w:rFonts w:eastAsiaTheme="majorEastAsia" w:cstheme="majorBidi"/>
      <w:color w:val="0F4761" w:themeColor="accent1" w:themeShade="BF"/>
      <w:lang w:val="hu-HU"/>
    </w:rPr>
  </w:style>
  <w:style w:type="character" w:customStyle="1" w:styleId="Heading6Char">
    <w:name w:val="Heading 6 Char"/>
    <w:basedOn w:val="DefaultParagraphFont"/>
    <w:link w:val="Heading6"/>
    <w:uiPriority w:val="9"/>
    <w:semiHidden/>
    <w:rsid w:val="002450B9"/>
    <w:rPr>
      <w:rFonts w:eastAsiaTheme="majorEastAsia" w:cstheme="majorBidi"/>
      <w:i/>
      <w:iCs/>
      <w:color w:val="595959" w:themeColor="text1" w:themeTint="A6"/>
      <w:lang w:val="hu-HU"/>
    </w:rPr>
  </w:style>
  <w:style w:type="character" w:customStyle="1" w:styleId="Heading7Char">
    <w:name w:val="Heading 7 Char"/>
    <w:basedOn w:val="DefaultParagraphFont"/>
    <w:link w:val="Heading7"/>
    <w:uiPriority w:val="9"/>
    <w:semiHidden/>
    <w:rsid w:val="002450B9"/>
    <w:rPr>
      <w:rFonts w:eastAsiaTheme="majorEastAsia" w:cstheme="majorBidi"/>
      <w:color w:val="595959" w:themeColor="text1" w:themeTint="A6"/>
      <w:lang w:val="hu-HU"/>
    </w:rPr>
  </w:style>
  <w:style w:type="character" w:customStyle="1" w:styleId="Heading8Char">
    <w:name w:val="Heading 8 Char"/>
    <w:basedOn w:val="DefaultParagraphFont"/>
    <w:link w:val="Heading8"/>
    <w:uiPriority w:val="9"/>
    <w:semiHidden/>
    <w:rsid w:val="002450B9"/>
    <w:rPr>
      <w:rFonts w:eastAsiaTheme="majorEastAsia" w:cstheme="majorBidi"/>
      <w:i/>
      <w:iCs/>
      <w:color w:val="272727" w:themeColor="text1" w:themeTint="D8"/>
      <w:lang w:val="hu-HU"/>
    </w:rPr>
  </w:style>
  <w:style w:type="character" w:customStyle="1" w:styleId="Heading9Char">
    <w:name w:val="Heading 9 Char"/>
    <w:basedOn w:val="DefaultParagraphFont"/>
    <w:link w:val="Heading9"/>
    <w:uiPriority w:val="9"/>
    <w:semiHidden/>
    <w:rsid w:val="002450B9"/>
    <w:rPr>
      <w:rFonts w:eastAsiaTheme="majorEastAsia" w:cstheme="majorBidi"/>
      <w:color w:val="272727" w:themeColor="text1" w:themeTint="D8"/>
      <w:lang w:val="hu-HU"/>
    </w:rPr>
  </w:style>
  <w:style w:type="paragraph" w:styleId="Title">
    <w:name w:val="Title"/>
    <w:basedOn w:val="Normal"/>
    <w:next w:val="Normal"/>
    <w:link w:val="TitleChar"/>
    <w:uiPriority w:val="10"/>
    <w:qFormat/>
    <w:rsid w:val="00245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0B9"/>
    <w:rPr>
      <w:rFonts w:asciiTheme="majorHAnsi" w:eastAsiaTheme="majorEastAsia" w:hAnsiTheme="majorHAnsi" w:cstheme="majorBidi"/>
      <w:spacing w:val="-10"/>
      <w:kern w:val="28"/>
      <w:sz w:val="56"/>
      <w:szCs w:val="56"/>
      <w:lang w:val="hu-HU"/>
    </w:rPr>
  </w:style>
  <w:style w:type="paragraph" w:styleId="Subtitle">
    <w:name w:val="Subtitle"/>
    <w:basedOn w:val="Normal"/>
    <w:next w:val="Normal"/>
    <w:link w:val="SubtitleChar"/>
    <w:uiPriority w:val="11"/>
    <w:qFormat/>
    <w:rsid w:val="002450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0B9"/>
    <w:rPr>
      <w:rFonts w:eastAsiaTheme="majorEastAsia" w:cstheme="majorBidi"/>
      <w:color w:val="595959" w:themeColor="text1" w:themeTint="A6"/>
      <w:spacing w:val="15"/>
      <w:sz w:val="28"/>
      <w:szCs w:val="28"/>
      <w:lang w:val="hu-HU"/>
    </w:rPr>
  </w:style>
  <w:style w:type="paragraph" w:styleId="Quote">
    <w:name w:val="Quote"/>
    <w:basedOn w:val="Normal"/>
    <w:next w:val="Normal"/>
    <w:link w:val="QuoteChar"/>
    <w:uiPriority w:val="29"/>
    <w:qFormat/>
    <w:rsid w:val="002450B9"/>
    <w:pPr>
      <w:spacing w:before="160"/>
      <w:jc w:val="center"/>
    </w:pPr>
    <w:rPr>
      <w:i/>
      <w:iCs/>
      <w:color w:val="404040" w:themeColor="text1" w:themeTint="BF"/>
    </w:rPr>
  </w:style>
  <w:style w:type="character" w:customStyle="1" w:styleId="QuoteChar">
    <w:name w:val="Quote Char"/>
    <w:basedOn w:val="DefaultParagraphFont"/>
    <w:link w:val="Quote"/>
    <w:uiPriority w:val="29"/>
    <w:rsid w:val="002450B9"/>
    <w:rPr>
      <w:i/>
      <w:iCs/>
      <w:color w:val="404040" w:themeColor="text1" w:themeTint="BF"/>
      <w:lang w:val="hu-HU"/>
    </w:rPr>
  </w:style>
  <w:style w:type="paragraph" w:styleId="ListParagraph">
    <w:name w:val="List Paragraph"/>
    <w:basedOn w:val="Normal"/>
    <w:uiPriority w:val="34"/>
    <w:qFormat/>
    <w:rsid w:val="002450B9"/>
    <w:pPr>
      <w:ind w:left="720"/>
      <w:contextualSpacing/>
    </w:pPr>
  </w:style>
  <w:style w:type="character" w:styleId="IntenseEmphasis">
    <w:name w:val="Intense Emphasis"/>
    <w:basedOn w:val="DefaultParagraphFont"/>
    <w:uiPriority w:val="21"/>
    <w:qFormat/>
    <w:rsid w:val="002450B9"/>
    <w:rPr>
      <w:i/>
      <w:iCs/>
      <w:color w:val="0F4761" w:themeColor="accent1" w:themeShade="BF"/>
    </w:rPr>
  </w:style>
  <w:style w:type="paragraph" w:styleId="IntenseQuote">
    <w:name w:val="Intense Quote"/>
    <w:basedOn w:val="Normal"/>
    <w:next w:val="Normal"/>
    <w:link w:val="IntenseQuoteChar"/>
    <w:uiPriority w:val="30"/>
    <w:qFormat/>
    <w:rsid w:val="002450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0B9"/>
    <w:rPr>
      <w:i/>
      <w:iCs/>
      <w:color w:val="0F4761" w:themeColor="accent1" w:themeShade="BF"/>
      <w:lang w:val="hu-HU"/>
    </w:rPr>
  </w:style>
  <w:style w:type="character" w:styleId="IntenseReference">
    <w:name w:val="Intense Reference"/>
    <w:basedOn w:val="DefaultParagraphFont"/>
    <w:uiPriority w:val="32"/>
    <w:qFormat/>
    <w:rsid w:val="002450B9"/>
    <w:rPr>
      <w:b/>
      <w:bCs/>
      <w:smallCaps/>
      <w:color w:val="0F4761" w:themeColor="accent1" w:themeShade="BF"/>
      <w:spacing w:val="5"/>
    </w:rPr>
  </w:style>
  <w:style w:type="character" w:styleId="Hyperlink">
    <w:name w:val="Hyperlink"/>
    <w:basedOn w:val="DefaultParagraphFont"/>
    <w:uiPriority w:val="99"/>
    <w:unhideWhenUsed/>
    <w:rsid w:val="002037B6"/>
    <w:rPr>
      <w:color w:val="467886" w:themeColor="hyperlink"/>
      <w:u w:val="single"/>
    </w:rPr>
  </w:style>
  <w:style w:type="character" w:styleId="UnresolvedMention">
    <w:name w:val="Unresolved Mention"/>
    <w:basedOn w:val="DefaultParagraphFont"/>
    <w:uiPriority w:val="99"/>
    <w:semiHidden/>
    <w:unhideWhenUsed/>
    <w:rsid w:val="002037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891213">
      <w:bodyDiv w:val="1"/>
      <w:marLeft w:val="0"/>
      <w:marRight w:val="0"/>
      <w:marTop w:val="0"/>
      <w:marBottom w:val="0"/>
      <w:divBdr>
        <w:top w:val="none" w:sz="0" w:space="0" w:color="auto"/>
        <w:left w:val="none" w:sz="0" w:space="0" w:color="auto"/>
        <w:bottom w:val="none" w:sz="0" w:space="0" w:color="auto"/>
        <w:right w:val="none" w:sz="0" w:space="0" w:color="auto"/>
      </w:divBdr>
    </w:div>
    <w:div w:id="701784096">
      <w:bodyDiv w:val="1"/>
      <w:marLeft w:val="0"/>
      <w:marRight w:val="0"/>
      <w:marTop w:val="0"/>
      <w:marBottom w:val="0"/>
      <w:divBdr>
        <w:top w:val="none" w:sz="0" w:space="0" w:color="auto"/>
        <w:left w:val="none" w:sz="0" w:space="0" w:color="auto"/>
        <w:bottom w:val="none" w:sz="0" w:space="0" w:color="auto"/>
        <w:right w:val="none" w:sz="0" w:space="0" w:color="auto"/>
      </w:divBdr>
    </w:div>
    <w:div w:id="958876116">
      <w:bodyDiv w:val="1"/>
      <w:marLeft w:val="0"/>
      <w:marRight w:val="0"/>
      <w:marTop w:val="0"/>
      <w:marBottom w:val="0"/>
      <w:divBdr>
        <w:top w:val="none" w:sz="0" w:space="0" w:color="auto"/>
        <w:left w:val="none" w:sz="0" w:space="0" w:color="auto"/>
        <w:bottom w:val="none" w:sz="0" w:space="0" w:color="auto"/>
        <w:right w:val="none" w:sz="0" w:space="0" w:color="auto"/>
      </w:divBdr>
    </w:div>
    <w:div w:id="2028749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stle.com/sites/default/files/2024-02/2023-annual-review-e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estle.com/investors/publications" TargetMode="External"/><Relationship Id="rId12" Type="http://schemas.openxmlformats.org/officeDocument/2006/relationships/hyperlink" Target="https://www.unicef.org/emergencies/rohingya-cri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uroparl.europa.eu/RegData/etudes/STUD/2023/751428/EPRS_STU(2023)751428_EN.pdf" TargetMode="External"/><Relationship Id="rId11" Type="http://schemas.openxmlformats.org/officeDocument/2006/relationships/hyperlink" Target="https://www.researchgate.net/publication/375551589_Financial_Analysis_and_Strategic_Forecast_of_Toyota" TargetMode="External"/><Relationship Id="rId5" Type="http://schemas.openxmlformats.org/officeDocument/2006/relationships/image" Target="media/image1.png"/><Relationship Id="rId10" Type="http://schemas.openxmlformats.org/officeDocument/2006/relationships/hyperlink" Target="https://www.researchgate.net/publication/369691120_Strategy_and_Financial_Statement_Analysis_of_the_Coca-Cola_Company" TargetMode="External"/><Relationship Id="rId4" Type="http://schemas.openxmlformats.org/officeDocument/2006/relationships/webSettings" Target="webSettings.xml"/><Relationship Id="rId9" Type="http://schemas.openxmlformats.org/officeDocument/2006/relationships/hyperlink" Target="https://www.ncbi.nlm.nih.gov/pmc/articles/PMC987800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8</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Szabina Molnar (2121168)</dc:creator>
  <cp:keywords/>
  <dc:description/>
  <cp:lastModifiedBy>Szabina Molnar (2121168)</cp:lastModifiedBy>
  <cp:revision>1</cp:revision>
  <dcterms:created xsi:type="dcterms:W3CDTF">2024-04-02T09:34:00Z</dcterms:created>
  <dcterms:modified xsi:type="dcterms:W3CDTF">2024-04-02T10:15:00Z</dcterms:modified>
</cp:coreProperties>
</file>