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DDCC9" w14:textId="71C8CA32" w:rsidR="00CE6073" w:rsidRDefault="007E2014">
      <w:pPr>
        <w:rPr>
          <w:b/>
          <w:bCs/>
          <w:u w:val="single"/>
        </w:rPr>
      </w:pPr>
      <w:r w:rsidRPr="007E2014">
        <w:rPr>
          <w:b/>
          <w:bCs/>
          <w:u w:val="single"/>
        </w:rPr>
        <w:t>Chapter 2 – Literature revie</w:t>
      </w:r>
      <w:r w:rsidR="005C78DA">
        <w:rPr>
          <w:b/>
          <w:bCs/>
          <w:u w:val="single"/>
        </w:rPr>
        <w:t>w</w:t>
      </w:r>
    </w:p>
    <w:p w14:paraId="43C4A205" w14:textId="77777777" w:rsidR="005C78DA" w:rsidRPr="005C78DA" w:rsidRDefault="005C78DA">
      <w:pPr>
        <w:rPr>
          <w:b/>
          <w:bCs/>
          <w:u w:val="single"/>
        </w:rPr>
      </w:pPr>
    </w:p>
    <w:p w14:paraId="5D4EE92D" w14:textId="2AF59EC7" w:rsidR="00CE6073" w:rsidRDefault="00250758" w:rsidP="00CE6073">
      <w:pPr>
        <w:rPr>
          <w:b/>
          <w:bCs/>
        </w:rPr>
      </w:pPr>
      <w:r>
        <w:rPr>
          <w:b/>
          <w:bCs/>
        </w:rPr>
        <w:t>2.</w:t>
      </w:r>
      <w:r w:rsidR="00CE6073" w:rsidRPr="00CE6073">
        <w:rPr>
          <w:b/>
          <w:bCs/>
        </w:rPr>
        <w:t xml:space="preserve">1 Introduction </w:t>
      </w:r>
      <w:r w:rsidR="00483A9D">
        <w:rPr>
          <w:b/>
          <w:bCs/>
        </w:rPr>
        <w:t>(</w:t>
      </w:r>
      <w:r w:rsidR="009A20B5">
        <w:rPr>
          <w:b/>
          <w:bCs/>
        </w:rPr>
        <w:t>1</w:t>
      </w:r>
      <w:r w:rsidR="00483A9D">
        <w:rPr>
          <w:b/>
          <w:bCs/>
        </w:rPr>
        <w:t>50)</w:t>
      </w:r>
    </w:p>
    <w:p w14:paraId="41D3784D" w14:textId="77777777" w:rsidR="00CE6073" w:rsidRDefault="00CE6073" w:rsidP="00CE6073">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0A47128" w14:textId="0A66E39A" w:rsidR="00CE6073" w:rsidRDefault="00853702" w:rsidP="004456B1">
      <w:pPr>
        <w:pStyle w:val="NormalWeb"/>
        <w:spacing w:before="0" w:beforeAutospacing="0" w:after="0" w:afterAutospacing="0"/>
        <w:rPr>
          <w:rFonts w:ascii="Calibri" w:hAnsi="Calibri" w:cs="Calibri"/>
          <w:sz w:val="22"/>
          <w:szCs w:val="22"/>
        </w:rPr>
      </w:pPr>
      <w:r>
        <w:rPr>
          <w:rFonts w:ascii="Calibri" w:hAnsi="Calibri" w:cs="Calibri"/>
          <w:sz w:val="22"/>
          <w:szCs w:val="22"/>
        </w:rPr>
        <w:t>The purpose of this chapter is</w:t>
      </w:r>
      <w:r w:rsidR="00CE6073">
        <w:rPr>
          <w:rFonts w:ascii="Calibri" w:hAnsi="Calibri" w:cs="Calibri"/>
          <w:sz w:val="22"/>
          <w:szCs w:val="22"/>
        </w:rPr>
        <w:t xml:space="preserve"> to review</w:t>
      </w:r>
      <w:r w:rsidR="009C534A">
        <w:rPr>
          <w:rFonts w:ascii="Calibri" w:hAnsi="Calibri" w:cs="Calibri"/>
          <w:sz w:val="22"/>
          <w:szCs w:val="22"/>
        </w:rPr>
        <w:t xml:space="preserve"> existing</w:t>
      </w:r>
      <w:r w:rsidR="00CE6073">
        <w:rPr>
          <w:rFonts w:ascii="Calibri" w:hAnsi="Calibri" w:cs="Calibri"/>
          <w:sz w:val="22"/>
          <w:szCs w:val="22"/>
        </w:rPr>
        <w:t xml:space="preserve"> literature in relation</w:t>
      </w:r>
      <w:r w:rsidR="009C534A">
        <w:rPr>
          <w:rFonts w:ascii="Calibri" w:hAnsi="Calibri" w:cs="Calibri"/>
          <w:sz w:val="22"/>
          <w:szCs w:val="22"/>
        </w:rPr>
        <w:t xml:space="preserve"> </w:t>
      </w:r>
      <w:r w:rsidR="00CE6073">
        <w:rPr>
          <w:rFonts w:ascii="Calibri" w:hAnsi="Calibri" w:cs="Calibri"/>
          <w:sz w:val="22"/>
          <w:szCs w:val="22"/>
        </w:rPr>
        <w:t>to</w:t>
      </w:r>
      <w:r w:rsidR="009C534A">
        <w:rPr>
          <w:rFonts w:ascii="Calibri" w:hAnsi="Calibri" w:cs="Calibri"/>
          <w:sz w:val="22"/>
          <w:szCs w:val="22"/>
        </w:rPr>
        <w:t xml:space="preserve"> this specific topic. The researcher will provide an</w:t>
      </w:r>
      <w:r>
        <w:rPr>
          <w:rFonts w:ascii="Calibri" w:hAnsi="Calibri" w:cs="Calibri"/>
          <w:sz w:val="22"/>
          <w:szCs w:val="22"/>
        </w:rPr>
        <w:t xml:space="preserve"> </w:t>
      </w:r>
      <w:r w:rsidR="009C534A">
        <w:rPr>
          <w:rFonts w:ascii="Calibri" w:hAnsi="Calibri" w:cs="Calibri"/>
          <w:sz w:val="22"/>
          <w:szCs w:val="22"/>
        </w:rPr>
        <w:t xml:space="preserve">overview of the </w:t>
      </w:r>
      <w:r>
        <w:rPr>
          <w:rFonts w:ascii="Calibri" w:hAnsi="Calibri" w:cs="Calibri"/>
          <w:sz w:val="22"/>
          <w:szCs w:val="22"/>
        </w:rPr>
        <w:t>Count Lines model, public protection, and the police response.</w:t>
      </w:r>
      <w:r w:rsidR="009C534A">
        <w:rPr>
          <w:rFonts w:ascii="Calibri" w:hAnsi="Calibri" w:cs="Calibri"/>
          <w:sz w:val="22"/>
          <w:szCs w:val="22"/>
        </w:rPr>
        <w:t xml:space="preserve"> </w:t>
      </w:r>
      <w:r w:rsidR="00E71F56">
        <w:rPr>
          <w:rFonts w:ascii="Calibri" w:hAnsi="Calibri" w:cs="Calibri"/>
          <w:sz w:val="22"/>
          <w:szCs w:val="22"/>
        </w:rPr>
        <w:t xml:space="preserve">This will allow the researcher to identify vulnerable victims and outline the police practices in place to safeguard and support such persons. The intention is to establish any gaps in knowledge regarding the police response. This will allow the researcher to continue their study into the police perceptions of their role in public protection and training received to effectively deal with </w:t>
      </w:r>
      <w:r w:rsidR="006C356C">
        <w:rPr>
          <w:rFonts w:ascii="Calibri" w:hAnsi="Calibri" w:cs="Calibri"/>
          <w:sz w:val="22"/>
          <w:szCs w:val="22"/>
        </w:rPr>
        <w:t xml:space="preserve">victims. </w:t>
      </w:r>
      <w:r w:rsidR="00E71F56">
        <w:rPr>
          <w:rFonts w:ascii="Calibri" w:hAnsi="Calibri" w:cs="Calibri"/>
          <w:sz w:val="22"/>
          <w:szCs w:val="22"/>
        </w:rPr>
        <w:t>The following objectives will be considered throughout:</w:t>
      </w:r>
    </w:p>
    <w:p w14:paraId="17F88962" w14:textId="77777777" w:rsidR="004456B1" w:rsidRPr="004456B1" w:rsidRDefault="004456B1" w:rsidP="004456B1">
      <w:pPr>
        <w:pStyle w:val="NormalWeb"/>
        <w:spacing w:before="0" w:beforeAutospacing="0" w:after="0" w:afterAutospacing="0"/>
        <w:rPr>
          <w:rFonts w:ascii="Calibri" w:hAnsi="Calibri" w:cs="Calibri"/>
          <w:sz w:val="22"/>
          <w:szCs w:val="22"/>
        </w:rPr>
      </w:pPr>
    </w:p>
    <w:p w14:paraId="4118CB01" w14:textId="19F572EE" w:rsidR="00B17CF1" w:rsidRPr="00DA73BE" w:rsidRDefault="00D2358A" w:rsidP="00E71F56">
      <w:pPr>
        <w:numPr>
          <w:ilvl w:val="0"/>
          <w:numId w:val="2"/>
        </w:numPr>
        <w:spacing w:after="0" w:line="240" w:lineRule="auto"/>
        <w:textAlignment w:val="center"/>
        <w:rPr>
          <w:rFonts w:ascii="Calibri" w:eastAsia="Times New Roman" w:hAnsi="Calibri" w:cs="Calibri"/>
          <w:kern w:val="0"/>
          <w:lang w:eastAsia="en-GB"/>
          <w14:ligatures w14:val="none"/>
        </w:rPr>
      </w:pPr>
      <w:r w:rsidRPr="00DA73BE">
        <w:rPr>
          <w:rFonts w:ascii="Calibri" w:eastAsia="Times New Roman" w:hAnsi="Calibri" w:cs="Calibri"/>
          <w:kern w:val="0"/>
          <w:lang w:eastAsia="en-GB"/>
          <w14:ligatures w14:val="none"/>
        </w:rPr>
        <w:t xml:space="preserve">Provide an overview of county lines </w:t>
      </w:r>
      <w:r w:rsidR="00E71F56" w:rsidRPr="00DA73BE">
        <w:rPr>
          <w:rFonts w:ascii="Calibri" w:eastAsia="Times New Roman" w:hAnsi="Calibri" w:cs="Calibri"/>
          <w:kern w:val="0"/>
          <w:lang w:eastAsia="en-GB"/>
          <w14:ligatures w14:val="none"/>
        </w:rPr>
        <w:t>and i</w:t>
      </w:r>
      <w:r w:rsidR="00B17CF1" w:rsidRPr="00DA73BE">
        <w:rPr>
          <w:rFonts w:ascii="Calibri" w:eastAsia="Times New Roman" w:hAnsi="Calibri" w:cs="Calibri"/>
          <w:kern w:val="0"/>
          <w:lang w:eastAsia="en-GB"/>
          <w14:ligatures w14:val="none"/>
        </w:rPr>
        <w:t>dentify</w:t>
      </w:r>
      <w:r w:rsidR="00E71F56" w:rsidRPr="00DA73BE">
        <w:rPr>
          <w:rFonts w:ascii="Calibri" w:eastAsia="Times New Roman" w:hAnsi="Calibri" w:cs="Calibri"/>
          <w:kern w:val="0"/>
          <w:lang w:eastAsia="en-GB"/>
          <w14:ligatures w14:val="none"/>
        </w:rPr>
        <w:t xml:space="preserve"> the potential vulnerable victims</w:t>
      </w:r>
      <w:r w:rsidR="00B17CF1" w:rsidRPr="00DA73BE">
        <w:rPr>
          <w:rFonts w:ascii="Calibri" w:eastAsia="Times New Roman" w:hAnsi="Calibri" w:cs="Calibri"/>
          <w:kern w:val="0"/>
          <w:lang w:eastAsia="en-GB"/>
          <w14:ligatures w14:val="none"/>
        </w:rPr>
        <w:t>.</w:t>
      </w:r>
    </w:p>
    <w:p w14:paraId="76B8E17B" w14:textId="233CC01B" w:rsidR="00D2358A" w:rsidRPr="00D2358A" w:rsidRDefault="00B17CF1" w:rsidP="00B17CF1">
      <w:pPr>
        <w:numPr>
          <w:ilvl w:val="0"/>
          <w:numId w:val="2"/>
        </w:numPr>
        <w:spacing w:after="0" w:line="240" w:lineRule="auto"/>
        <w:textAlignment w:val="center"/>
        <w:rPr>
          <w:rFonts w:ascii="Calibri" w:eastAsia="Times New Roman" w:hAnsi="Calibri" w:cs="Calibri"/>
          <w:kern w:val="0"/>
          <w:lang w:eastAsia="en-GB"/>
          <w14:ligatures w14:val="none"/>
        </w:rPr>
      </w:pPr>
      <w:r w:rsidRPr="00DA73BE">
        <w:rPr>
          <w:rFonts w:ascii="Calibri" w:eastAsia="Times New Roman" w:hAnsi="Calibri" w:cs="Calibri"/>
          <w:kern w:val="0"/>
          <w:lang w:eastAsia="en-GB"/>
          <w14:ligatures w14:val="none"/>
        </w:rPr>
        <w:t>Outline current police practice when responding to</w:t>
      </w:r>
      <w:r w:rsidR="00E71F56" w:rsidRPr="00DA73BE">
        <w:rPr>
          <w:rFonts w:ascii="Calibri" w:eastAsia="Times New Roman" w:hAnsi="Calibri" w:cs="Calibri"/>
          <w:kern w:val="0"/>
          <w:lang w:eastAsia="en-GB"/>
          <w14:ligatures w14:val="none"/>
        </w:rPr>
        <w:t xml:space="preserve"> county lines</w:t>
      </w:r>
      <w:r w:rsidRPr="00DA73BE">
        <w:rPr>
          <w:rFonts w:ascii="Calibri" w:eastAsia="Times New Roman" w:hAnsi="Calibri" w:cs="Calibri"/>
          <w:kern w:val="0"/>
          <w:lang w:eastAsia="en-GB"/>
          <w14:ligatures w14:val="none"/>
        </w:rPr>
        <w:t xml:space="preserve"> </w:t>
      </w:r>
      <w:r w:rsidR="00DA73BE" w:rsidRPr="00DA73BE">
        <w:rPr>
          <w:rFonts w:ascii="Calibri" w:eastAsia="Times New Roman" w:hAnsi="Calibri" w:cs="Calibri"/>
          <w:kern w:val="0"/>
          <w:lang w:eastAsia="en-GB"/>
          <w14:ligatures w14:val="none"/>
        </w:rPr>
        <w:t>victims.</w:t>
      </w:r>
    </w:p>
    <w:p w14:paraId="5BFB446E" w14:textId="34891C32" w:rsidR="00E71F56" w:rsidRPr="00E71F56" w:rsidRDefault="00873EB4" w:rsidP="00E71F56">
      <w:pPr>
        <w:numPr>
          <w:ilvl w:val="0"/>
          <w:numId w:val="2"/>
        </w:numPr>
        <w:spacing w:after="0" w:line="240" w:lineRule="auto"/>
        <w:textAlignment w:val="center"/>
        <w:rPr>
          <w:rFonts w:ascii="Calibri" w:eastAsia="Times New Roman" w:hAnsi="Calibri" w:cs="Calibri"/>
          <w:kern w:val="0"/>
          <w:lang w:eastAsia="en-GB"/>
          <w14:ligatures w14:val="none"/>
        </w:rPr>
      </w:pPr>
      <w:r w:rsidRPr="00DA73BE">
        <w:rPr>
          <w:rFonts w:ascii="Calibri" w:eastAsia="Times New Roman" w:hAnsi="Calibri" w:cs="Calibri"/>
          <w:kern w:val="0"/>
          <w:lang w:eastAsia="en-GB"/>
          <w14:ligatures w14:val="none"/>
        </w:rPr>
        <w:t xml:space="preserve">Outline police training on </w:t>
      </w:r>
      <w:r w:rsidR="00E71F56" w:rsidRPr="00DA73BE">
        <w:rPr>
          <w:rFonts w:ascii="Calibri" w:eastAsia="Times New Roman" w:hAnsi="Calibri" w:cs="Calibri"/>
          <w:kern w:val="0"/>
          <w:lang w:eastAsia="en-GB"/>
          <w14:ligatures w14:val="none"/>
        </w:rPr>
        <w:t>public protection and victim support</w:t>
      </w:r>
      <w:r w:rsidR="00DA73BE">
        <w:rPr>
          <w:rFonts w:ascii="Calibri" w:eastAsia="Times New Roman" w:hAnsi="Calibri" w:cs="Calibri"/>
          <w:kern w:val="0"/>
          <w:lang w:eastAsia="en-GB"/>
          <w14:ligatures w14:val="none"/>
        </w:rPr>
        <w:t>.</w:t>
      </w:r>
    </w:p>
    <w:p w14:paraId="6090AA02" w14:textId="77777777" w:rsidR="001E2FE2" w:rsidRPr="00DA73BE" w:rsidRDefault="001E2FE2" w:rsidP="001E2FE2">
      <w:pPr>
        <w:spacing w:after="0" w:line="240" w:lineRule="auto"/>
        <w:textAlignment w:val="center"/>
        <w:rPr>
          <w:rFonts w:ascii="Calibri" w:eastAsia="Times New Roman" w:hAnsi="Calibri" w:cs="Calibri"/>
          <w:kern w:val="0"/>
          <w:lang w:eastAsia="en-GB"/>
          <w14:ligatures w14:val="none"/>
        </w:rPr>
      </w:pPr>
    </w:p>
    <w:p w14:paraId="38D8213D" w14:textId="6AF2AED9" w:rsidR="00D2358A" w:rsidRPr="00E71F56" w:rsidRDefault="00E71F56" w:rsidP="00DA73BE">
      <w:pPr>
        <w:spacing w:after="0" w:line="240" w:lineRule="auto"/>
        <w:textAlignment w:val="cente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t xml:space="preserve">The reason for this review is to </w:t>
      </w:r>
      <w:r w:rsidRPr="00DA73BE">
        <w:rPr>
          <w:rFonts w:ascii="Calibri" w:eastAsia="Times New Roman" w:hAnsi="Calibri" w:cs="Calibri"/>
          <w:kern w:val="0"/>
          <w:lang w:eastAsia="en-GB"/>
          <w14:ligatures w14:val="none"/>
        </w:rPr>
        <w:t>e</w:t>
      </w:r>
      <w:r w:rsidR="00D2358A" w:rsidRPr="00DA73BE">
        <w:rPr>
          <w:rFonts w:ascii="Calibri" w:eastAsia="Times New Roman" w:hAnsi="Calibri" w:cs="Calibri"/>
          <w:kern w:val="0"/>
          <w:lang w:eastAsia="en-GB"/>
          <w14:ligatures w14:val="none"/>
        </w:rPr>
        <w:t>stablish</w:t>
      </w:r>
      <w:r w:rsidRPr="00DA73BE">
        <w:rPr>
          <w:rFonts w:ascii="Calibri" w:eastAsia="Times New Roman" w:hAnsi="Calibri" w:cs="Calibri"/>
          <w:kern w:val="0"/>
          <w:lang w:eastAsia="en-GB"/>
          <w14:ligatures w14:val="none"/>
        </w:rPr>
        <w:t xml:space="preserve"> what literature, if any</w:t>
      </w:r>
      <w:r w:rsidR="00D2358A" w:rsidRPr="00DA73BE">
        <w:rPr>
          <w:rFonts w:ascii="Calibri" w:eastAsia="Times New Roman" w:hAnsi="Calibri" w:cs="Calibri"/>
          <w:kern w:val="0"/>
          <w:lang w:eastAsia="en-GB"/>
          <w14:ligatures w14:val="none"/>
        </w:rPr>
        <w:t xml:space="preserve"> </w:t>
      </w:r>
      <w:r w:rsidRPr="00DA73BE">
        <w:rPr>
          <w:rFonts w:ascii="Calibri" w:eastAsia="Times New Roman" w:hAnsi="Calibri" w:cs="Calibri"/>
          <w:kern w:val="0"/>
          <w:lang w:eastAsia="en-GB"/>
          <w14:ligatures w14:val="none"/>
        </w:rPr>
        <w:t>suggests</w:t>
      </w:r>
      <w:r w:rsidR="00D2358A" w:rsidRPr="00DA73BE">
        <w:rPr>
          <w:rFonts w:ascii="Calibri" w:eastAsia="Times New Roman" w:hAnsi="Calibri" w:cs="Calibri"/>
          <w:kern w:val="0"/>
          <w:lang w:eastAsia="en-GB"/>
          <w14:ligatures w14:val="none"/>
        </w:rPr>
        <w:t xml:space="preserve"> </w:t>
      </w:r>
      <w:r w:rsidRPr="00DA73BE">
        <w:rPr>
          <w:rFonts w:ascii="Calibri" w:eastAsia="Times New Roman" w:hAnsi="Calibri" w:cs="Calibri"/>
          <w:kern w:val="0"/>
          <w:lang w:eastAsia="en-GB"/>
          <w14:ligatures w14:val="none"/>
        </w:rPr>
        <w:t xml:space="preserve">about police officer perceptions </w:t>
      </w:r>
      <w:r w:rsidR="00D2358A" w:rsidRPr="00DA73BE">
        <w:rPr>
          <w:rFonts w:ascii="Calibri" w:eastAsia="Times New Roman" w:hAnsi="Calibri" w:cs="Calibri"/>
          <w:kern w:val="0"/>
          <w:lang w:eastAsia="en-GB"/>
          <w14:ligatures w14:val="none"/>
        </w:rPr>
        <w:t>of</w:t>
      </w:r>
      <w:r w:rsidR="001E2FE2" w:rsidRPr="00DA73BE">
        <w:rPr>
          <w:rFonts w:ascii="Calibri" w:eastAsia="Times New Roman" w:hAnsi="Calibri" w:cs="Calibri"/>
          <w:kern w:val="0"/>
          <w:lang w:eastAsia="en-GB"/>
          <w14:ligatures w14:val="none"/>
        </w:rPr>
        <w:t xml:space="preserve"> victim support and training.</w:t>
      </w:r>
      <w:r w:rsidRPr="00DA73BE">
        <w:rPr>
          <w:rFonts w:ascii="Calibri" w:eastAsia="Times New Roman" w:hAnsi="Calibri" w:cs="Calibri"/>
          <w:kern w:val="0"/>
          <w:lang w:eastAsia="en-GB"/>
          <w14:ligatures w14:val="none"/>
        </w:rPr>
        <w:t xml:space="preserve"> </w:t>
      </w:r>
      <w:r w:rsidR="006F0F34">
        <w:rPr>
          <w:rFonts w:ascii="Calibri" w:eastAsia="Times New Roman" w:hAnsi="Calibri" w:cs="Calibri"/>
          <w:kern w:val="0"/>
          <w:lang w:eastAsia="en-GB"/>
          <w14:ligatures w14:val="none"/>
        </w:rPr>
        <w:t xml:space="preserve">The overall aim is to bridge the gap of knowledge around this specific topic. </w:t>
      </w:r>
    </w:p>
    <w:p w14:paraId="79BB0931" w14:textId="77777777" w:rsidR="001E2FE2" w:rsidRPr="00D2358A" w:rsidRDefault="001E2FE2" w:rsidP="001E2FE2">
      <w:pPr>
        <w:spacing w:after="0" w:line="240" w:lineRule="auto"/>
        <w:ind w:left="720"/>
        <w:textAlignment w:val="center"/>
        <w:rPr>
          <w:rFonts w:ascii="Calibri" w:eastAsia="Times New Roman" w:hAnsi="Calibri" w:cs="Calibri"/>
          <w:kern w:val="0"/>
          <w:lang w:eastAsia="en-GB"/>
          <w14:ligatures w14:val="none"/>
        </w:rPr>
      </w:pPr>
    </w:p>
    <w:p w14:paraId="1F537795" w14:textId="77777777" w:rsidR="00B17CF1" w:rsidRPr="00CE6073" w:rsidRDefault="00B17CF1" w:rsidP="00CE6073">
      <w:pPr>
        <w:rPr>
          <w:b/>
          <w:bCs/>
        </w:rPr>
      </w:pPr>
    </w:p>
    <w:p w14:paraId="18BD116B" w14:textId="5078531A" w:rsidR="00CE6073" w:rsidRDefault="00575A7B" w:rsidP="00CE6073">
      <w:pPr>
        <w:rPr>
          <w:b/>
          <w:bCs/>
        </w:rPr>
      </w:pPr>
      <w:r>
        <w:rPr>
          <w:b/>
          <w:bCs/>
        </w:rPr>
        <w:t>2.</w:t>
      </w:r>
      <w:r w:rsidR="00250758">
        <w:rPr>
          <w:b/>
          <w:bCs/>
        </w:rPr>
        <w:t>2</w:t>
      </w:r>
      <w:r>
        <w:rPr>
          <w:b/>
          <w:bCs/>
        </w:rPr>
        <w:t xml:space="preserve"> Overview of the County lines model</w:t>
      </w:r>
      <w:r w:rsidR="0054036E">
        <w:rPr>
          <w:b/>
          <w:bCs/>
        </w:rPr>
        <w:t xml:space="preserve"> </w:t>
      </w:r>
      <w:r w:rsidR="00906121">
        <w:rPr>
          <w:b/>
          <w:bCs/>
        </w:rPr>
        <w:t>(</w:t>
      </w:r>
      <w:r w:rsidR="009A20B5">
        <w:rPr>
          <w:b/>
          <w:bCs/>
        </w:rPr>
        <w:t>300</w:t>
      </w:r>
      <w:r w:rsidR="00906121">
        <w:rPr>
          <w:b/>
          <w:bCs/>
        </w:rPr>
        <w:t>)</w:t>
      </w:r>
    </w:p>
    <w:p w14:paraId="1159206E" w14:textId="29EC9879" w:rsidR="000731AF" w:rsidRDefault="00694389" w:rsidP="007826AC">
      <w:pPr>
        <w:spacing w:before="240"/>
        <w:jc w:val="both"/>
      </w:pPr>
      <w:r w:rsidRPr="00694389">
        <w:rPr>
          <w:color w:val="FF0000"/>
        </w:rPr>
        <w:t>Robinson, McLean and Densley (2018</w:t>
      </w:r>
      <w:r>
        <w:rPr>
          <w:color w:val="FF0000"/>
        </w:rPr>
        <w:t>)</w:t>
      </w:r>
      <w:r w:rsidRPr="00694389">
        <w:t xml:space="preserve"> describes</w:t>
      </w:r>
      <w:r>
        <w:t xml:space="preserve"> </w:t>
      </w:r>
      <w:r w:rsidR="00577DB3" w:rsidRPr="00250758">
        <w:t xml:space="preserve">‘County lines’ </w:t>
      </w:r>
      <w:r>
        <w:t>as</w:t>
      </w:r>
      <w:r w:rsidR="00577DB3" w:rsidRPr="00250758">
        <w:t xml:space="preserve"> the</w:t>
      </w:r>
      <w:r>
        <w:t xml:space="preserve"> policing and Government</w:t>
      </w:r>
      <w:r w:rsidR="00577DB3" w:rsidRPr="00250758">
        <w:t xml:space="preserve"> term for </w:t>
      </w:r>
      <w:r w:rsidR="0080640D">
        <w:t>o</w:t>
      </w:r>
      <w:r w:rsidR="00577DB3" w:rsidRPr="00250758">
        <w:t xml:space="preserve">rganised </w:t>
      </w:r>
      <w:r w:rsidR="0080640D">
        <w:t>c</w:t>
      </w:r>
      <w:r w:rsidR="00577DB3" w:rsidRPr="00250758">
        <w:t xml:space="preserve">rime </w:t>
      </w:r>
      <w:r w:rsidR="0080640D">
        <w:t>g</w:t>
      </w:r>
      <w:r w:rsidR="00577DB3" w:rsidRPr="00250758">
        <w:t>roups</w:t>
      </w:r>
      <w:r w:rsidR="0080640D">
        <w:t xml:space="preserve"> (OCG’s)</w:t>
      </w:r>
      <w:r w:rsidR="00577DB3" w:rsidRPr="00250758">
        <w:t xml:space="preserve"> and the high-profile drug supply marke</w:t>
      </w:r>
      <w:r w:rsidR="007D65DE" w:rsidRPr="00250758">
        <w:t>t</w:t>
      </w:r>
      <w:r>
        <w:t xml:space="preserve"> in the UK.</w:t>
      </w:r>
      <w:r w:rsidR="0063093D">
        <w:t xml:space="preserve"> </w:t>
      </w:r>
      <w:r w:rsidR="001978E1">
        <w:t>T</w:t>
      </w:r>
      <w:r w:rsidR="001978E1" w:rsidRPr="0063093D">
        <w:t>he county lines model sees urban gang members commuting across police boarders from ‘hub’ cities into towns and rural areas to transport, store and sell drugs</w:t>
      </w:r>
      <w:r w:rsidR="001978E1">
        <w:t xml:space="preserve">. </w:t>
      </w:r>
    </w:p>
    <w:p w14:paraId="7D0601A5" w14:textId="60A804E8" w:rsidR="009519CB" w:rsidRDefault="009519CB" w:rsidP="007826AC">
      <w:pPr>
        <w:spacing w:before="240"/>
        <w:jc w:val="both"/>
      </w:pPr>
      <w:r>
        <w:t>The NPCC definition of County Lines is as follows:</w:t>
      </w:r>
    </w:p>
    <w:p w14:paraId="546820D9" w14:textId="689A9DE5" w:rsidR="009519CB" w:rsidRPr="009519CB" w:rsidRDefault="009519CB" w:rsidP="007826AC">
      <w:pPr>
        <w:ind w:left="720"/>
        <w:jc w:val="both"/>
      </w:pPr>
      <w:r>
        <w:t>“</w:t>
      </w:r>
      <w:r w:rsidR="003F566A" w:rsidRPr="009519CB">
        <w:t>County Line 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w:t>
      </w:r>
      <w:r>
        <w:t>”</w:t>
      </w:r>
    </w:p>
    <w:p w14:paraId="2057496D" w14:textId="12E043BD" w:rsidR="009519CB" w:rsidRPr="0083314A" w:rsidRDefault="009519CB" w:rsidP="007826AC">
      <w:pPr>
        <w:ind w:left="7920"/>
        <w:jc w:val="both"/>
        <w:rPr>
          <w:color w:val="FF0000"/>
        </w:rPr>
      </w:pPr>
      <w:r w:rsidRPr="0083314A">
        <w:rPr>
          <w:color w:val="FF0000"/>
        </w:rPr>
        <w:t>(NCA, 2018)</w:t>
      </w:r>
    </w:p>
    <w:p w14:paraId="7A6B90B8" w14:textId="3953F82C" w:rsidR="00577DB3" w:rsidRDefault="00B17CF1" w:rsidP="007826AC">
      <w:pPr>
        <w:pStyle w:val="NormalWeb"/>
        <w:spacing w:before="0" w:beforeAutospacing="0" w:after="0" w:afterAutospacing="0"/>
        <w:jc w:val="both"/>
        <w:rPr>
          <w:rFonts w:ascii="Calibri" w:hAnsi="Calibri" w:cs="Calibri"/>
          <w:color w:val="FA0000"/>
          <w:sz w:val="22"/>
          <w:szCs w:val="22"/>
        </w:rPr>
      </w:pPr>
      <w:r>
        <w:rPr>
          <w:rFonts w:ascii="Calibri" w:hAnsi="Calibri" w:cs="Calibri"/>
          <w:sz w:val="22"/>
          <w:szCs w:val="22"/>
        </w:rPr>
        <w:t xml:space="preserve">According to </w:t>
      </w:r>
      <w:r w:rsidRPr="00B17CF1">
        <w:rPr>
          <w:rFonts w:ascii="Calibri" w:hAnsi="Calibri" w:cs="Calibri"/>
          <w:color w:val="FF0000"/>
          <w:sz w:val="22"/>
          <w:szCs w:val="22"/>
        </w:rPr>
        <w:t xml:space="preserve">Moyle (2019), </w:t>
      </w:r>
      <w:r w:rsidR="008A37A6">
        <w:rPr>
          <w:rFonts w:ascii="Calibri" w:hAnsi="Calibri" w:cs="Calibri"/>
          <w:sz w:val="22"/>
          <w:szCs w:val="22"/>
        </w:rPr>
        <w:t>t</w:t>
      </w:r>
      <w:r w:rsidR="00575A7B" w:rsidRPr="00575A7B">
        <w:rPr>
          <w:rFonts w:ascii="Calibri" w:hAnsi="Calibri" w:cs="Calibri"/>
          <w:sz w:val="22"/>
          <w:szCs w:val="22"/>
        </w:rPr>
        <w:t xml:space="preserve">he criminal phenomenon that is 'county lines' has become more </w:t>
      </w:r>
      <w:r w:rsidR="009519CB">
        <w:rPr>
          <w:rFonts w:ascii="Calibri" w:hAnsi="Calibri" w:cs="Calibri"/>
          <w:sz w:val="22"/>
          <w:szCs w:val="22"/>
        </w:rPr>
        <w:t xml:space="preserve">distinguished </w:t>
      </w:r>
      <w:r w:rsidR="00575A7B" w:rsidRPr="00575A7B">
        <w:rPr>
          <w:rFonts w:ascii="Calibri" w:hAnsi="Calibri" w:cs="Calibri"/>
          <w:sz w:val="22"/>
          <w:szCs w:val="22"/>
        </w:rPr>
        <w:t xml:space="preserve">than ever in the UK and is taking over the traditional UK drug supply market. </w:t>
      </w:r>
      <w:r w:rsidR="00225ECD" w:rsidRPr="00225ECD">
        <w:rPr>
          <w:rFonts w:ascii="Calibri" w:hAnsi="Calibri" w:cs="Calibri"/>
          <w:color w:val="FF0000"/>
          <w:sz w:val="22"/>
          <w:szCs w:val="22"/>
        </w:rPr>
        <w:t>Spicer (2021)</w:t>
      </w:r>
      <w:r w:rsidR="00225ECD" w:rsidRPr="00225ECD">
        <w:rPr>
          <w:color w:val="FF0000"/>
        </w:rPr>
        <w:t xml:space="preserve"> </w:t>
      </w:r>
      <w:r w:rsidR="00225ECD">
        <w:t>s</w:t>
      </w:r>
      <w:r>
        <w:rPr>
          <w:rFonts w:ascii="Calibri" w:hAnsi="Calibri" w:cs="Calibri"/>
          <w:sz w:val="22"/>
          <w:szCs w:val="22"/>
        </w:rPr>
        <w:t>upport</w:t>
      </w:r>
      <w:r w:rsidR="008A37A6">
        <w:rPr>
          <w:rFonts w:ascii="Calibri" w:hAnsi="Calibri" w:cs="Calibri"/>
          <w:sz w:val="22"/>
          <w:szCs w:val="22"/>
        </w:rPr>
        <w:t>s</w:t>
      </w:r>
      <w:r>
        <w:rPr>
          <w:rFonts w:ascii="Calibri" w:hAnsi="Calibri" w:cs="Calibri"/>
          <w:sz w:val="22"/>
          <w:szCs w:val="22"/>
        </w:rPr>
        <w:t xml:space="preserve"> this</w:t>
      </w:r>
      <w:r w:rsidR="008A37A6">
        <w:rPr>
          <w:rFonts w:ascii="Calibri" w:hAnsi="Calibri" w:cs="Calibri"/>
          <w:sz w:val="22"/>
          <w:szCs w:val="22"/>
        </w:rPr>
        <w:t>, whereby they refer to</w:t>
      </w:r>
      <w:r w:rsidRPr="00575A7B">
        <w:rPr>
          <w:rFonts w:ascii="Calibri" w:hAnsi="Calibri" w:cs="Calibri"/>
          <w:sz w:val="22"/>
          <w:szCs w:val="22"/>
        </w:rPr>
        <w:t xml:space="preserve"> county lines as</w:t>
      </w:r>
      <w:r w:rsidRPr="00575A7B">
        <w:rPr>
          <w:rFonts w:ascii="Calibri" w:hAnsi="Calibri" w:cs="Calibri"/>
          <w:color w:val="FA0000"/>
          <w:sz w:val="22"/>
          <w:szCs w:val="22"/>
        </w:rPr>
        <w:t xml:space="preserve"> </w:t>
      </w:r>
      <w:r w:rsidRPr="008A37A6">
        <w:rPr>
          <w:rFonts w:ascii="Calibri" w:hAnsi="Calibri" w:cs="Calibri"/>
          <w:sz w:val="22"/>
          <w:szCs w:val="22"/>
        </w:rPr>
        <w:t xml:space="preserve">'parasitic' in its nature and </w:t>
      </w:r>
      <w:r w:rsidR="00225ECD">
        <w:rPr>
          <w:rFonts w:ascii="Calibri" w:hAnsi="Calibri" w:cs="Calibri"/>
          <w:sz w:val="22"/>
          <w:szCs w:val="22"/>
        </w:rPr>
        <w:t>‘</w:t>
      </w:r>
      <w:r w:rsidR="008A37A6" w:rsidRPr="008A37A6">
        <w:rPr>
          <w:rFonts w:ascii="Calibri" w:hAnsi="Calibri" w:cs="Calibri"/>
          <w:sz w:val="22"/>
          <w:szCs w:val="22"/>
        </w:rPr>
        <w:t>clandestine</w:t>
      </w:r>
      <w:r w:rsidR="00225ECD">
        <w:rPr>
          <w:rFonts w:ascii="Calibri" w:hAnsi="Calibri" w:cs="Calibri"/>
          <w:sz w:val="22"/>
          <w:szCs w:val="22"/>
        </w:rPr>
        <w:t>’</w:t>
      </w:r>
      <w:r w:rsidR="008A37A6" w:rsidRPr="008A37A6">
        <w:rPr>
          <w:rFonts w:ascii="Calibri" w:hAnsi="Calibri" w:cs="Calibri"/>
          <w:sz w:val="22"/>
          <w:szCs w:val="22"/>
        </w:rPr>
        <w:t xml:space="preserve"> </w:t>
      </w:r>
      <w:r w:rsidR="00225ECD">
        <w:rPr>
          <w:rFonts w:ascii="Calibri" w:hAnsi="Calibri" w:cs="Calibri"/>
          <w:sz w:val="22"/>
          <w:szCs w:val="22"/>
        </w:rPr>
        <w:t xml:space="preserve">in its </w:t>
      </w:r>
      <w:r w:rsidRPr="008A37A6">
        <w:rPr>
          <w:rFonts w:ascii="Calibri" w:hAnsi="Calibri" w:cs="Calibri"/>
          <w:sz w:val="22"/>
          <w:szCs w:val="22"/>
        </w:rPr>
        <w:t>activity.</w:t>
      </w:r>
      <w:r w:rsidRPr="00575A7B">
        <w:rPr>
          <w:rFonts w:ascii="Calibri" w:hAnsi="Calibri" w:cs="Calibri"/>
          <w:color w:val="FA0000"/>
          <w:sz w:val="22"/>
          <w:szCs w:val="22"/>
        </w:rPr>
        <w:t xml:space="preserve"> </w:t>
      </w:r>
      <w:r w:rsidR="00456845">
        <w:rPr>
          <w:rFonts w:ascii="Calibri" w:hAnsi="Calibri" w:cs="Calibri"/>
          <w:color w:val="FA0000"/>
          <w:sz w:val="22"/>
          <w:szCs w:val="22"/>
        </w:rPr>
        <w:t>Spicer</w:t>
      </w:r>
      <w:r w:rsidR="00C33E51">
        <w:rPr>
          <w:rFonts w:ascii="Calibri" w:hAnsi="Calibri" w:cs="Calibri"/>
          <w:color w:val="FA0000"/>
          <w:sz w:val="22"/>
          <w:szCs w:val="22"/>
        </w:rPr>
        <w:t xml:space="preserve"> </w:t>
      </w:r>
      <w:r w:rsidR="00456845">
        <w:rPr>
          <w:rFonts w:ascii="Calibri" w:hAnsi="Calibri" w:cs="Calibri"/>
          <w:color w:val="FA0000"/>
          <w:sz w:val="22"/>
          <w:szCs w:val="22"/>
        </w:rPr>
        <w:t>(2019)</w:t>
      </w:r>
      <w:r w:rsidR="00577DB3">
        <w:rPr>
          <w:rFonts w:ascii="Calibri" w:hAnsi="Calibri" w:cs="Calibri"/>
          <w:color w:val="FA0000"/>
          <w:sz w:val="22"/>
          <w:szCs w:val="22"/>
        </w:rPr>
        <w:t xml:space="preserve"> </w:t>
      </w:r>
      <w:r w:rsidR="00577DB3" w:rsidRPr="00577DB3">
        <w:rPr>
          <w:rFonts w:ascii="Calibri" w:hAnsi="Calibri" w:cs="Calibri"/>
          <w:sz w:val="22"/>
          <w:szCs w:val="22"/>
        </w:rPr>
        <w:t xml:space="preserve">also suggests in other literatures that local drug dealing has become dominated by high profile out of city dealers that utilise ‘import’ markets. </w:t>
      </w:r>
    </w:p>
    <w:p w14:paraId="28247C89" w14:textId="77777777" w:rsidR="005B038D" w:rsidRDefault="005B038D" w:rsidP="00FD492A">
      <w:pPr>
        <w:pStyle w:val="NormalWeb"/>
        <w:spacing w:before="0" w:beforeAutospacing="0" w:after="0" w:afterAutospacing="0"/>
        <w:jc w:val="both"/>
        <w:rPr>
          <w:rFonts w:ascii="Calibri" w:hAnsi="Calibri" w:cs="Calibri"/>
          <w:color w:val="FA0000"/>
          <w:sz w:val="22"/>
          <w:szCs w:val="22"/>
        </w:rPr>
      </w:pPr>
    </w:p>
    <w:p w14:paraId="17339E72" w14:textId="68C351C2" w:rsidR="00FD492A" w:rsidRDefault="00D2358A" w:rsidP="00FD492A">
      <w:pPr>
        <w:pStyle w:val="NormalWeb"/>
        <w:spacing w:before="0" w:beforeAutospacing="0" w:after="0" w:afterAutospacing="0"/>
        <w:jc w:val="both"/>
        <w:rPr>
          <w:rFonts w:ascii="Calibri" w:hAnsi="Calibri" w:cs="Calibri"/>
          <w:sz w:val="22"/>
          <w:szCs w:val="22"/>
        </w:rPr>
      </w:pPr>
      <w:r>
        <w:rPr>
          <w:rFonts w:ascii="Calibri" w:hAnsi="Calibri" w:cs="Calibri"/>
          <w:sz w:val="22"/>
          <w:szCs w:val="22"/>
        </w:rPr>
        <w:t>Furthermore, a</w:t>
      </w:r>
      <w:r w:rsidR="00575A7B">
        <w:rPr>
          <w:rFonts w:ascii="Calibri" w:hAnsi="Calibri" w:cs="Calibri"/>
          <w:sz w:val="22"/>
          <w:szCs w:val="22"/>
        </w:rPr>
        <w:t xml:space="preserve"> briefing report conducted by the National Crime Agency (NCA) in 2017 discusses the threat of drug supply, </w:t>
      </w:r>
      <w:r w:rsidR="00B17CF1">
        <w:rPr>
          <w:rFonts w:ascii="Calibri" w:hAnsi="Calibri" w:cs="Calibri"/>
          <w:sz w:val="22"/>
          <w:szCs w:val="22"/>
        </w:rPr>
        <w:t>violence,</w:t>
      </w:r>
      <w:r w:rsidR="00575A7B">
        <w:rPr>
          <w:rFonts w:ascii="Calibri" w:hAnsi="Calibri" w:cs="Calibri"/>
          <w:sz w:val="22"/>
          <w:szCs w:val="22"/>
        </w:rPr>
        <w:t xml:space="preserve"> and exploitation by ‘county lines’ gangs. </w:t>
      </w:r>
      <w:r w:rsidR="00EE1639">
        <w:rPr>
          <w:rFonts w:ascii="Calibri" w:hAnsi="Calibri" w:cs="Calibri"/>
          <w:sz w:val="22"/>
          <w:szCs w:val="22"/>
        </w:rPr>
        <w:t>According to the research</w:t>
      </w:r>
      <w:r w:rsidR="00EE1639" w:rsidRPr="00EE1639">
        <w:rPr>
          <w:rFonts w:ascii="Calibri" w:hAnsi="Calibri" w:cs="Calibri"/>
          <w:color w:val="FF0000"/>
          <w:sz w:val="22"/>
          <w:szCs w:val="22"/>
        </w:rPr>
        <w:t xml:space="preserve"> (NCA, 2017)</w:t>
      </w:r>
      <w:r w:rsidR="00575A7B" w:rsidRPr="00EE1639">
        <w:rPr>
          <w:rFonts w:ascii="Calibri" w:hAnsi="Calibri" w:cs="Calibri"/>
          <w:color w:val="FF0000"/>
          <w:sz w:val="22"/>
          <w:szCs w:val="22"/>
        </w:rPr>
        <w:t xml:space="preserve">, </w:t>
      </w:r>
      <w:r w:rsidR="00575A7B" w:rsidRPr="00575A7B">
        <w:rPr>
          <w:rFonts w:ascii="Calibri" w:hAnsi="Calibri" w:cs="Calibri"/>
          <w:sz w:val="22"/>
          <w:szCs w:val="22"/>
        </w:rPr>
        <w:t>88% of UK police forces have reported county lines activity within their force areas</w:t>
      </w:r>
      <w:r w:rsidR="00575A7B">
        <w:rPr>
          <w:rFonts w:ascii="Calibri" w:hAnsi="Calibri" w:cs="Calibri"/>
          <w:sz w:val="22"/>
          <w:szCs w:val="22"/>
        </w:rPr>
        <w:t>.</w:t>
      </w:r>
      <w:r w:rsidR="00575A7B" w:rsidRPr="00575A7B">
        <w:rPr>
          <w:rFonts w:ascii="Calibri" w:hAnsi="Calibri" w:cs="Calibri"/>
          <w:sz w:val="22"/>
          <w:szCs w:val="22"/>
        </w:rPr>
        <w:t xml:space="preserve"> </w:t>
      </w:r>
      <w:r w:rsidR="00B17CF1">
        <w:rPr>
          <w:rFonts w:ascii="Calibri" w:hAnsi="Calibri" w:cs="Calibri"/>
          <w:sz w:val="22"/>
          <w:szCs w:val="22"/>
        </w:rPr>
        <w:t xml:space="preserve">In addition </w:t>
      </w:r>
      <w:r w:rsidR="00EE1639" w:rsidRPr="00575A7B">
        <w:rPr>
          <w:rFonts w:ascii="Calibri" w:hAnsi="Calibri" w:cs="Calibri"/>
          <w:sz w:val="22"/>
          <w:szCs w:val="22"/>
        </w:rPr>
        <w:t>to this, it was highlighted that 74% of these UK forces also noted the exploitation of vulnerable persons</w:t>
      </w:r>
      <w:r w:rsidR="00EE1639">
        <w:rPr>
          <w:rFonts w:ascii="Calibri" w:hAnsi="Calibri" w:cs="Calibri"/>
          <w:sz w:val="22"/>
          <w:szCs w:val="22"/>
        </w:rPr>
        <w:t xml:space="preserve">. </w:t>
      </w:r>
      <w:r w:rsidR="00575A7B">
        <w:rPr>
          <w:rFonts w:ascii="Calibri" w:hAnsi="Calibri" w:cs="Calibri"/>
          <w:sz w:val="22"/>
          <w:szCs w:val="22"/>
        </w:rPr>
        <w:t xml:space="preserve">The NCA went on to label the developing </w:t>
      </w:r>
      <w:r w:rsidR="00575A7B" w:rsidRPr="00575A7B">
        <w:rPr>
          <w:rFonts w:ascii="Calibri" w:hAnsi="Calibri" w:cs="Calibri"/>
          <w:sz w:val="22"/>
          <w:szCs w:val="22"/>
        </w:rPr>
        <w:t>county lines model as a 'national threat</w:t>
      </w:r>
      <w:r w:rsidR="00FD492A">
        <w:rPr>
          <w:rFonts w:ascii="Calibri" w:hAnsi="Calibri" w:cs="Calibri"/>
          <w:sz w:val="22"/>
          <w:szCs w:val="22"/>
        </w:rPr>
        <w:t>’.</w:t>
      </w:r>
    </w:p>
    <w:p w14:paraId="33D614BD" w14:textId="77777777" w:rsidR="00662DCD" w:rsidRDefault="00662DCD" w:rsidP="00FD492A">
      <w:pPr>
        <w:pStyle w:val="NormalWeb"/>
        <w:spacing w:before="0" w:beforeAutospacing="0" w:after="0" w:afterAutospacing="0"/>
        <w:jc w:val="both"/>
        <w:rPr>
          <w:rFonts w:ascii="Calibri" w:hAnsi="Calibri" w:cs="Calibri"/>
          <w:sz w:val="22"/>
          <w:szCs w:val="22"/>
        </w:rPr>
      </w:pPr>
    </w:p>
    <w:p w14:paraId="2202BE7F" w14:textId="547907B8" w:rsidR="00575A7B" w:rsidRPr="009C7C83" w:rsidRDefault="00575A7B" w:rsidP="009C7C83">
      <w:pPr>
        <w:pStyle w:val="NormalWeb"/>
        <w:spacing w:before="0" w:beforeAutospacing="0" w:after="0" w:afterAutospacing="0"/>
        <w:jc w:val="both"/>
        <w:rPr>
          <w:rFonts w:ascii="Calibri" w:hAnsi="Calibri" w:cs="Calibri"/>
          <w:color w:val="FA0000"/>
          <w:sz w:val="22"/>
          <w:szCs w:val="22"/>
        </w:rPr>
      </w:pPr>
      <w:r w:rsidRPr="00575A7B">
        <w:rPr>
          <w:rFonts w:ascii="Calibri" w:hAnsi="Calibri" w:cs="Calibri"/>
          <w:b/>
          <w:bCs/>
          <w:sz w:val="22"/>
          <w:szCs w:val="22"/>
        </w:rPr>
        <w:t>2.</w:t>
      </w:r>
      <w:r w:rsidR="00250758">
        <w:rPr>
          <w:rFonts w:ascii="Calibri" w:hAnsi="Calibri" w:cs="Calibri"/>
          <w:b/>
          <w:bCs/>
          <w:sz w:val="22"/>
          <w:szCs w:val="22"/>
        </w:rPr>
        <w:t>3</w:t>
      </w:r>
      <w:r w:rsidR="0054036E">
        <w:rPr>
          <w:rFonts w:ascii="Calibri" w:hAnsi="Calibri" w:cs="Calibri"/>
          <w:b/>
          <w:bCs/>
          <w:sz w:val="22"/>
          <w:szCs w:val="22"/>
        </w:rPr>
        <w:t xml:space="preserve"> </w:t>
      </w:r>
      <w:r w:rsidR="001A5B20">
        <w:rPr>
          <w:rFonts w:ascii="Calibri" w:hAnsi="Calibri" w:cs="Calibri"/>
          <w:b/>
          <w:bCs/>
          <w:sz w:val="22"/>
          <w:szCs w:val="22"/>
        </w:rPr>
        <w:t>Vulnerability</w:t>
      </w:r>
      <w:r w:rsidR="0054036E">
        <w:rPr>
          <w:rFonts w:ascii="Calibri" w:hAnsi="Calibri" w:cs="Calibri"/>
          <w:b/>
          <w:bCs/>
          <w:sz w:val="22"/>
          <w:szCs w:val="22"/>
        </w:rPr>
        <w:t xml:space="preserve"> and victims</w:t>
      </w:r>
      <w:r w:rsidR="009C7C83">
        <w:rPr>
          <w:rFonts w:ascii="Calibri" w:hAnsi="Calibri" w:cs="Calibri"/>
          <w:color w:val="FA0000"/>
          <w:sz w:val="22"/>
          <w:szCs w:val="22"/>
        </w:rPr>
        <w:t xml:space="preserve"> </w:t>
      </w:r>
      <w:r w:rsidR="0054036E">
        <w:rPr>
          <w:rFonts w:ascii="Calibri" w:hAnsi="Calibri" w:cs="Calibri"/>
          <w:b/>
          <w:bCs/>
          <w:sz w:val="22"/>
          <w:szCs w:val="22"/>
        </w:rPr>
        <w:t>(</w:t>
      </w:r>
      <w:r w:rsidR="001A676C">
        <w:rPr>
          <w:rFonts w:ascii="Calibri" w:hAnsi="Calibri" w:cs="Calibri"/>
          <w:b/>
          <w:bCs/>
          <w:sz w:val="22"/>
          <w:szCs w:val="22"/>
        </w:rPr>
        <w:t>6</w:t>
      </w:r>
      <w:r w:rsidR="0054036E">
        <w:rPr>
          <w:rFonts w:ascii="Calibri" w:hAnsi="Calibri" w:cs="Calibri"/>
          <w:b/>
          <w:bCs/>
          <w:sz w:val="22"/>
          <w:szCs w:val="22"/>
        </w:rPr>
        <w:t>00)</w:t>
      </w:r>
    </w:p>
    <w:p w14:paraId="3FB13DCB" w14:textId="614F30A5" w:rsidR="00131B8D" w:rsidRDefault="00C33E51" w:rsidP="00D57791">
      <w:pPr>
        <w:pStyle w:val="NormalWeb"/>
        <w:spacing w:before="240" w:beforeAutospacing="0" w:after="0" w:afterAutospacing="0"/>
        <w:rPr>
          <w:rFonts w:ascii="Calibri" w:hAnsi="Calibri" w:cs="Calibri"/>
          <w:sz w:val="22"/>
          <w:szCs w:val="22"/>
        </w:rPr>
      </w:pPr>
      <w:r>
        <w:rPr>
          <w:rFonts w:ascii="Calibri" w:hAnsi="Calibri" w:cs="Calibri"/>
          <w:sz w:val="22"/>
          <w:szCs w:val="22"/>
        </w:rPr>
        <w:t>A</w:t>
      </w:r>
      <w:r w:rsidR="0054036E" w:rsidRPr="0083314A">
        <w:rPr>
          <w:rFonts w:ascii="Calibri" w:hAnsi="Calibri" w:cs="Calibri"/>
          <w:sz w:val="22"/>
          <w:szCs w:val="22"/>
        </w:rPr>
        <w:t xml:space="preserve"> notable element of the 'county lines' model is its exploitive nature whereby vulnerable persons are targeted </w:t>
      </w:r>
      <w:r w:rsidR="00B11950" w:rsidRPr="0083314A">
        <w:rPr>
          <w:rFonts w:ascii="Calibri" w:hAnsi="Calibri" w:cs="Calibri"/>
          <w:sz w:val="22"/>
          <w:szCs w:val="22"/>
        </w:rPr>
        <w:t>for the purpose of labour</w:t>
      </w:r>
      <w:r>
        <w:rPr>
          <w:rFonts w:ascii="Calibri" w:hAnsi="Calibri" w:cs="Calibri"/>
          <w:sz w:val="22"/>
          <w:szCs w:val="22"/>
        </w:rPr>
        <w:t xml:space="preserve"> </w:t>
      </w:r>
      <w:r>
        <w:rPr>
          <w:rFonts w:ascii="Calibri" w:hAnsi="Calibri" w:cs="Calibri"/>
          <w:color w:val="FF0000"/>
          <w:sz w:val="22"/>
          <w:szCs w:val="22"/>
        </w:rPr>
        <w:t>(</w:t>
      </w:r>
      <w:r w:rsidRPr="00B17CF1">
        <w:rPr>
          <w:rFonts w:ascii="Calibri" w:hAnsi="Calibri" w:cs="Calibri"/>
          <w:color w:val="FF0000"/>
          <w:sz w:val="22"/>
          <w:szCs w:val="22"/>
        </w:rPr>
        <w:t>Moyle</w:t>
      </w:r>
      <w:r>
        <w:rPr>
          <w:rFonts w:ascii="Calibri" w:hAnsi="Calibri" w:cs="Calibri"/>
          <w:color w:val="FF0000"/>
          <w:sz w:val="22"/>
          <w:szCs w:val="22"/>
        </w:rPr>
        <w:t xml:space="preserve">, </w:t>
      </w:r>
      <w:r w:rsidRPr="00B17CF1">
        <w:rPr>
          <w:rFonts w:ascii="Calibri" w:hAnsi="Calibri" w:cs="Calibri"/>
          <w:color w:val="FF0000"/>
          <w:sz w:val="22"/>
          <w:szCs w:val="22"/>
        </w:rPr>
        <w:t>201</w:t>
      </w:r>
      <w:r w:rsidR="00D57791">
        <w:rPr>
          <w:rFonts w:ascii="Calibri" w:hAnsi="Calibri" w:cs="Calibri"/>
          <w:color w:val="FF0000"/>
          <w:sz w:val="22"/>
          <w:szCs w:val="22"/>
        </w:rPr>
        <w:t xml:space="preserve">9). </w:t>
      </w:r>
      <w:r w:rsidR="005F5774" w:rsidRPr="005F5774">
        <w:rPr>
          <w:rFonts w:ascii="Calibri" w:hAnsi="Calibri" w:cs="Calibri"/>
          <w:sz w:val="22"/>
          <w:szCs w:val="22"/>
        </w:rPr>
        <w:t xml:space="preserve">This statement is supported by the </w:t>
      </w:r>
      <w:proofErr w:type="gramStart"/>
      <w:r w:rsidR="005F5774" w:rsidRPr="005F5774">
        <w:rPr>
          <w:rFonts w:ascii="Calibri" w:hAnsi="Calibri" w:cs="Calibri"/>
          <w:sz w:val="22"/>
          <w:szCs w:val="22"/>
        </w:rPr>
        <w:t>aforementioned statistics</w:t>
      </w:r>
      <w:proofErr w:type="gramEnd"/>
      <w:r w:rsidR="005F5774" w:rsidRPr="005F5774">
        <w:rPr>
          <w:rFonts w:ascii="Calibri" w:hAnsi="Calibri" w:cs="Calibri"/>
          <w:sz w:val="22"/>
          <w:szCs w:val="22"/>
        </w:rPr>
        <w:t xml:space="preserve"> </w:t>
      </w:r>
      <w:r w:rsidR="005F5774">
        <w:rPr>
          <w:rFonts w:ascii="Calibri" w:hAnsi="Calibri" w:cs="Calibri"/>
          <w:sz w:val="22"/>
          <w:szCs w:val="22"/>
        </w:rPr>
        <w:t xml:space="preserve">from the NCA. </w:t>
      </w:r>
      <w:r w:rsidR="002A10B4">
        <w:rPr>
          <w:rFonts w:ascii="Calibri" w:hAnsi="Calibri" w:cs="Calibri"/>
          <w:sz w:val="22"/>
          <w:szCs w:val="22"/>
        </w:rPr>
        <w:t>The Her Majesty’s Inspectorate of Constabulary</w:t>
      </w:r>
      <w:r w:rsidR="002A10B4" w:rsidRPr="002A10B4">
        <w:rPr>
          <w:rFonts w:ascii="Calibri" w:hAnsi="Calibri" w:cs="Calibri"/>
          <w:color w:val="FF0000"/>
          <w:sz w:val="22"/>
          <w:szCs w:val="22"/>
        </w:rPr>
        <w:t xml:space="preserve"> (HMIC, 2015) </w:t>
      </w:r>
      <w:r w:rsidR="002A10B4">
        <w:rPr>
          <w:rFonts w:ascii="Calibri" w:hAnsi="Calibri" w:cs="Calibri"/>
          <w:sz w:val="22"/>
          <w:szCs w:val="22"/>
        </w:rPr>
        <w:t xml:space="preserve">offers a definition of vulnerable persons as ‘’someone who </w:t>
      </w:r>
      <w:proofErr w:type="gramStart"/>
      <w:r w:rsidR="002A10B4">
        <w:rPr>
          <w:rFonts w:ascii="Calibri" w:hAnsi="Calibri" w:cs="Calibri"/>
          <w:sz w:val="22"/>
          <w:szCs w:val="22"/>
        </w:rPr>
        <w:t>is in need of</w:t>
      </w:r>
      <w:proofErr w:type="gramEnd"/>
      <w:r w:rsidR="002A10B4">
        <w:rPr>
          <w:rFonts w:ascii="Calibri" w:hAnsi="Calibri" w:cs="Calibri"/>
          <w:sz w:val="22"/>
          <w:szCs w:val="22"/>
        </w:rPr>
        <w:t xml:space="preserve"> special care, support, or protection because of age, disability, or risk of abuse or neglect”. </w:t>
      </w:r>
      <w:r w:rsidR="003B792F">
        <w:rPr>
          <w:rFonts w:ascii="Calibri" w:hAnsi="Calibri" w:cs="Calibri"/>
          <w:sz w:val="22"/>
          <w:szCs w:val="22"/>
        </w:rPr>
        <w:t xml:space="preserve">HMIC go on to state that </w:t>
      </w:r>
      <w:r w:rsidR="00652553">
        <w:rPr>
          <w:rFonts w:ascii="Calibri" w:hAnsi="Calibri" w:cs="Calibri"/>
          <w:sz w:val="22"/>
          <w:szCs w:val="22"/>
        </w:rPr>
        <w:t>effectively</w:t>
      </w:r>
      <w:r w:rsidR="003B792F">
        <w:rPr>
          <w:rFonts w:ascii="Calibri" w:hAnsi="Calibri" w:cs="Calibri"/>
          <w:sz w:val="22"/>
          <w:szCs w:val="22"/>
        </w:rPr>
        <w:t xml:space="preserve"> any person can be considered v</w:t>
      </w:r>
      <w:r w:rsidR="001F394D">
        <w:rPr>
          <w:rFonts w:ascii="Calibri" w:hAnsi="Calibri" w:cs="Calibri"/>
          <w:sz w:val="22"/>
          <w:szCs w:val="22"/>
        </w:rPr>
        <w:t>ulnerable to being subjected to OCG criminal exploitation</w:t>
      </w:r>
      <w:r w:rsidR="00756600">
        <w:rPr>
          <w:rFonts w:ascii="Calibri" w:hAnsi="Calibri" w:cs="Calibri"/>
          <w:sz w:val="22"/>
          <w:szCs w:val="22"/>
        </w:rPr>
        <w:t xml:space="preserve">, regardless of age, gender, ethnicity, and circumstances. </w:t>
      </w:r>
      <w:r w:rsidR="001F394D">
        <w:rPr>
          <w:rFonts w:ascii="Calibri" w:hAnsi="Calibri" w:cs="Calibri"/>
          <w:sz w:val="22"/>
          <w:szCs w:val="22"/>
        </w:rPr>
        <w:t xml:space="preserve">However, those who are commonly targeted </w:t>
      </w:r>
      <w:r w:rsidR="003B792F">
        <w:rPr>
          <w:rFonts w:ascii="Calibri" w:hAnsi="Calibri" w:cs="Calibri"/>
          <w:sz w:val="22"/>
          <w:szCs w:val="22"/>
        </w:rPr>
        <w:t xml:space="preserve">can range from, but is not limited to adults with learning disabilities, habitual drug users and children. </w:t>
      </w:r>
      <w:r w:rsidR="00756600">
        <w:rPr>
          <w:rFonts w:ascii="Calibri" w:hAnsi="Calibri" w:cs="Calibri"/>
          <w:sz w:val="22"/>
          <w:szCs w:val="22"/>
        </w:rPr>
        <w:t>Ultimately, from a broad perspective these vulnerable persons face several</w:t>
      </w:r>
      <w:r w:rsidR="00D90DED">
        <w:rPr>
          <w:rFonts w:ascii="Calibri" w:hAnsi="Calibri" w:cs="Calibri"/>
          <w:sz w:val="22"/>
          <w:szCs w:val="22"/>
        </w:rPr>
        <w:t xml:space="preserve"> or a combination</w:t>
      </w:r>
      <w:r w:rsidR="00756600">
        <w:rPr>
          <w:rFonts w:ascii="Calibri" w:hAnsi="Calibri" w:cs="Calibri"/>
          <w:sz w:val="22"/>
          <w:szCs w:val="22"/>
        </w:rPr>
        <w:t xml:space="preserve"> of the same risks. Said risks</w:t>
      </w:r>
      <w:r w:rsidR="00042C90">
        <w:rPr>
          <w:rFonts w:ascii="Calibri" w:hAnsi="Calibri" w:cs="Calibri"/>
          <w:sz w:val="22"/>
          <w:szCs w:val="22"/>
        </w:rPr>
        <w:t xml:space="preserve"> can</w:t>
      </w:r>
      <w:r w:rsidR="00756600">
        <w:rPr>
          <w:rFonts w:ascii="Calibri" w:hAnsi="Calibri" w:cs="Calibri"/>
          <w:sz w:val="22"/>
          <w:szCs w:val="22"/>
        </w:rPr>
        <w:t xml:space="preserve"> includ</w:t>
      </w:r>
      <w:r w:rsidR="00C0628D">
        <w:rPr>
          <w:rFonts w:ascii="Calibri" w:hAnsi="Calibri" w:cs="Calibri"/>
          <w:sz w:val="22"/>
          <w:szCs w:val="22"/>
        </w:rPr>
        <w:t>e</w:t>
      </w:r>
      <w:r w:rsidR="00756600">
        <w:rPr>
          <w:rFonts w:ascii="Calibri" w:hAnsi="Calibri" w:cs="Calibri"/>
          <w:sz w:val="22"/>
          <w:szCs w:val="22"/>
        </w:rPr>
        <w:t xml:space="preserve"> being victim to sexual and physical violence, </w:t>
      </w:r>
      <w:r w:rsidR="006626B5">
        <w:rPr>
          <w:rFonts w:ascii="Calibri" w:hAnsi="Calibri" w:cs="Calibri"/>
          <w:sz w:val="22"/>
          <w:szCs w:val="22"/>
        </w:rPr>
        <w:t>dept bondage</w:t>
      </w:r>
      <w:r w:rsidR="00C0628D">
        <w:rPr>
          <w:rFonts w:ascii="Calibri" w:hAnsi="Calibri" w:cs="Calibri"/>
          <w:sz w:val="22"/>
          <w:szCs w:val="22"/>
        </w:rPr>
        <w:t xml:space="preserve">, and </w:t>
      </w:r>
      <w:r w:rsidR="006626B5">
        <w:rPr>
          <w:rFonts w:ascii="Calibri" w:hAnsi="Calibri" w:cs="Calibri"/>
          <w:sz w:val="22"/>
          <w:szCs w:val="22"/>
        </w:rPr>
        <w:t>arrest</w:t>
      </w:r>
      <w:r w:rsidR="00C0628D">
        <w:rPr>
          <w:rFonts w:ascii="Calibri" w:hAnsi="Calibri" w:cs="Calibri"/>
          <w:sz w:val="22"/>
          <w:szCs w:val="22"/>
        </w:rPr>
        <w:t xml:space="preserve"> </w:t>
      </w:r>
      <w:r w:rsidR="00C0628D" w:rsidRPr="00C0628D">
        <w:rPr>
          <w:rFonts w:ascii="Calibri" w:hAnsi="Calibri" w:cs="Calibri"/>
          <w:color w:val="FF0000"/>
          <w:sz w:val="22"/>
          <w:szCs w:val="22"/>
        </w:rPr>
        <w:t>(Windle and Briggs, 2015).</w:t>
      </w:r>
      <w:r w:rsidR="00C0628D">
        <w:rPr>
          <w:rFonts w:ascii="Calibri" w:hAnsi="Calibri" w:cs="Calibri"/>
          <w:color w:val="FF0000"/>
          <w:sz w:val="22"/>
          <w:szCs w:val="22"/>
        </w:rPr>
        <w:t xml:space="preserve"> </w:t>
      </w:r>
      <w:r w:rsidR="00C0628D" w:rsidRPr="00F427D1">
        <w:rPr>
          <w:rFonts w:ascii="Calibri" w:hAnsi="Calibri" w:cs="Calibri"/>
          <w:sz w:val="22"/>
          <w:szCs w:val="22"/>
        </w:rPr>
        <w:t>As a case point</w:t>
      </w:r>
      <w:r w:rsidR="00CB75DF">
        <w:rPr>
          <w:rFonts w:ascii="Calibri" w:hAnsi="Calibri" w:cs="Calibri"/>
          <w:sz w:val="22"/>
          <w:szCs w:val="22"/>
        </w:rPr>
        <w:t xml:space="preserve"> and to provide further insight into different vulnerabilities</w:t>
      </w:r>
      <w:r w:rsidR="00C0628D" w:rsidRPr="00F427D1">
        <w:rPr>
          <w:rFonts w:ascii="Calibri" w:hAnsi="Calibri" w:cs="Calibri"/>
          <w:sz w:val="22"/>
          <w:szCs w:val="22"/>
        </w:rPr>
        <w:t>, this section will continue with discussion around</w:t>
      </w:r>
      <w:r w:rsidR="00F427D1" w:rsidRPr="00F427D1">
        <w:rPr>
          <w:rFonts w:ascii="Calibri" w:hAnsi="Calibri" w:cs="Calibri"/>
          <w:sz w:val="22"/>
          <w:szCs w:val="22"/>
        </w:rPr>
        <w:t xml:space="preserve"> victims of</w:t>
      </w:r>
      <w:r w:rsidR="00C0628D" w:rsidRPr="00F427D1">
        <w:rPr>
          <w:rFonts w:ascii="Calibri" w:hAnsi="Calibri" w:cs="Calibri"/>
          <w:sz w:val="22"/>
          <w:szCs w:val="22"/>
        </w:rPr>
        <w:t xml:space="preserve"> </w:t>
      </w:r>
      <w:r w:rsidR="00F427D1" w:rsidRPr="00F427D1">
        <w:rPr>
          <w:rFonts w:ascii="Calibri" w:hAnsi="Calibri" w:cs="Calibri"/>
          <w:sz w:val="22"/>
          <w:szCs w:val="22"/>
        </w:rPr>
        <w:t xml:space="preserve">child criminal exploitation (CCE) and ‘cuckooing’. </w:t>
      </w:r>
    </w:p>
    <w:p w14:paraId="6E9994CE" w14:textId="636232B8" w:rsidR="003A2F2B" w:rsidRDefault="003A2F2B" w:rsidP="00D57791">
      <w:pPr>
        <w:pStyle w:val="NormalWeb"/>
        <w:spacing w:before="240" w:beforeAutospacing="0" w:after="0" w:afterAutospacing="0"/>
        <w:rPr>
          <w:rFonts w:ascii="Calibri" w:hAnsi="Calibri" w:cs="Calibri"/>
          <w:sz w:val="22"/>
          <w:szCs w:val="22"/>
        </w:rPr>
      </w:pPr>
      <w:r>
        <w:rPr>
          <w:rFonts w:ascii="Calibri" w:hAnsi="Calibri" w:cs="Calibri"/>
          <w:sz w:val="22"/>
          <w:szCs w:val="22"/>
        </w:rPr>
        <w:t>The county lines model frequently use young children for the purpose of drug transportation</w:t>
      </w:r>
      <w:r w:rsidR="00D90DED">
        <w:rPr>
          <w:rFonts w:ascii="Calibri" w:hAnsi="Calibri" w:cs="Calibri"/>
          <w:sz w:val="22"/>
          <w:szCs w:val="22"/>
        </w:rPr>
        <w:t xml:space="preserve"> and </w:t>
      </w:r>
      <w:r>
        <w:rPr>
          <w:rFonts w:ascii="Calibri" w:hAnsi="Calibri" w:cs="Calibri"/>
          <w:sz w:val="22"/>
          <w:szCs w:val="22"/>
        </w:rPr>
        <w:t>supply.</w:t>
      </w:r>
      <w:r w:rsidR="00592BB3">
        <w:rPr>
          <w:rFonts w:ascii="Calibri" w:hAnsi="Calibri" w:cs="Calibri"/>
          <w:sz w:val="22"/>
          <w:szCs w:val="22"/>
        </w:rPr>
        <w:t xml:space="preserve"> This is referred to as Child criminal exploitation (CCE).</w:t>
      </w:r>
      <w:r>
        <w:rPr>
          <w:rFonts w:ascii="Calibri" w:hAnsi="Calibri" w:cs="Calibri"/>
          <w:sz w:val="22"/>
          <w:szCs w:val="22"/>
        </w:rPr>
        <w:t xml:space="preserve"> These children often come from impoverished areas and have been subject to difficult upbringing, thus making them </w:t>
      </w:r>
      <w:r w:rsidR="00F427B1">
        <w:rPr>
          <w:rFonts w:ascii="Calibri" w:hAnsi="Calibri" w:cs="Calibri"/>
          <w:sz w:val="22"/>
          <w:szCs w:val="22"/>
        </w:rPr>
        <w:t>unchallenging victims</w:t>
      </w:r>
      <w:r>
        <w:rPr>
          <w:rFonts w:ascii="Calibri" w:hAnsi="Calibri" w:cs="Calibri"/>
          <w:sz w:val="22"/>
          <w:szCs w:val="22"/>
        </w:rPr>
        <w:t>. It is not uncommon for children to be lured into this criminal lifestyle</w:t>
      </w:r>
      <w:r w:rsidR="00592BB3">
        <w:rPr>
          <w:rFonts w:ascii="Calibri" w:hAnsi="Calibri" w:cs="Calibri"/>
          <w:sz w:val="22"/>
          <w:szCs w:val="22"/>
        </w:rPr>
        <w:t xml:space="preserve"> not only with violence and coercion, but</w:t>
      </w:r>
      <w:r>
        <w:rPr>
          <w:rFonts w:ascii="Calibri" w:hAnsi="Calibri" w:cs="Calibri"/>
          <w:sz w:val="22"/>
          <w:szCs w:val="22"/>
        </w:rPr>
        <w:t xml:space="preserve"> with the promise of large amounts of money, lavish gifts</w:t>
      </w:r>
      <w:r w:rsidR="00592BB3">
        <w:rPr>
          <w:rFonts w:ascii="Calibri" w:hAnsi="Calibri" w:cs="Calibri"/>
          <w:sz w:val="22"/>
          <w:szCs w:val="22"/>
        </w:rPr>
        <w:t xml:space="preserve">, </w:t>
      </w:r>
      <w:r>
        <w:rPr>
          <w:rFonts w:ascii="Calibri" w:hAnsi="Calibri" w:cs="Calibri"/>
          <w:sz w:val="22"/>
          <w:szCs w:val="22"/>
        </w:rPr>
        <w:t>and even a sense of community</w:t>
      </w:r>
      <w:r w:rsidR="00F427B1">
        <w:rPr>
          <w:rFonts w:ascii="Calibri" w:hAnsi="Calibri" w:cs="Calibri"/>
          <w:sz w:val="22"/>
          <w:szCs w:val="22"/>
        </w:rPr>
        <w:t xml:space="preserve"> </w:t>
      </w:r>
      <w:r w:rsidR="00F427B1" w:rsidRPr="00C0628D">
        <w:rPr>
          <w:rFonts w:ascii="Calibri" w:hAnsi="Calibri" w:cs="Calibri"/>
          <w:color w:val="FF0000"/>
          <w:sz w:val="22"/>
          <w:szCs w:val="22"/>
        </w:rPr>
        <w:t>(Windle and Briggs, 2015).</w:t>
      </w:r>
      <w:r w:rsidR="00F427B1">
        <w:rPr>
          <w:rFonts w:ascii="Calibri" w:hAnsi="Calibri" w:cs="Calibri"/>
          <w:color w:val="FF0000"/>
          <w:sz w:val="22"/>
          <w:szCs w:val="22"/>
        </w:rPr>
        <w:t xml:space="preserve"> </w:t>
      </w:r>
      <w:r w:rsidR="00112919">
        <w:rPr>
          <w:rFonts w:ascii="Calibri" w:hAnsi="Calibri" w:cs="Calibri"/>
          <w:sz w:val="22"/>
          <w:szCs w:val="22"/>
        </w:rPr>
        <w:t>M</w:t>
      </w:r>
      <w:r w:rsidR="00D90DED">
        <w:rPr>
          <w:rFonts w:ascii="Calibri" w:hAnsi="Calibri" w:cs="Calibri"/>
          <w:sz w:val="22"/>
          <w:szCs w:val="22"/>
        </w:rPr>
        <w:t xml:space="preserve">any of these children have experienced </w:t>
      </w:r>
      <w:r w:rsidR="0003640B">
        <w:rPr>
          <w:rFonts w:ascii="Calibri" w:hAnsi="Calibri" w:cs="Calibri"/>
          <w:sz w:val="22"/>
          <w:szCs w:val="22"/>
        </w:rPr>
        <w:t>adverse childhood experiences (</w:t>
      </w:r>
      <w:r w:rsidR="00D90DED">
        <w:rPr>
          <w:rFonts w:ascii="Calibri" w:hAnsi="Calibri" w:cs="Calibri"/>
          <w:sz w:val="22"/>
          <w:szCs w:val="22"/>
        </w:rPr>
        <w:t>ACE</w:t>
      </w:r>
      <w:r w:rsidR="0003640B">
        <w:rPr>
          <w:rFonts w:ascii="Calibri" w:hAnsi="Calibri" w:cs="Calibri"/>
          <w:sz w:val="22"/>
          <w:szCs w:val="22"/>
        </w:rPr>
        <w:t>’</w:t>
      </w:r>
      <w:r w:rsidR="00D90DED">
        <w:rPr>
          <w:rFonts w:ascii="Calibri" w:hAnsi="Calibri" w:cs="Calibri"/>
          <w:sz w:val="22"/>
          <w:szCs w:val="22"/>
        </w:rPr>
        <w:t>s</w:t>
      </w:r>
      <w:r w:rsidR="0003640B">
        <w:rPr>
          <w:rFonts w:ascii="Calibri" w:hAnsi="Calibri" w:cs="Calibri"/>
          <w:sz w:val="22"/>
          <w:szCs w:val="22"/>
        </w:rPr>
        <w:t>)</w:t>
      </w:r>
      <w:r w:rsidR="00D90DED">
        <w:rPr>
          <w:rFonts w:ascii="Calibri" w:hAnsi="Calibri" w:cs="Calibri"/>
          <w:sz w:val="22"/>
          <w:szCs w:val="22"/>
        </w:rPr>
        <w:t xml:space="preserve"> and trauma in their early years and home life that increase their risk of being targeted.</w:t>
      </w:r>
      <w:r w:rsidR="00112919">
        <w:rPr>
          <w:rFonts w:ascii="Calibri" w:hAnsi="Calibri" w:cs="Calibri"/>
          <w:sz w:val="22"/>
          <w:szCs w:val="22"/>
        </w:rPr>
        <w:t xml:space="preserve"> </w:t>
      </w:r>
      <w:r w:rsidR="006626B5">
        <w:rPr>
          <w:rFonts w:ascii="Calibri" w:hAnsi="Calibri" w:cs="Calibri"/>
          <w:sz w:val="22"/>
          <w:szCs w:val="22"/>
        </w:rPr>
        <w:t>Furthermore, c</w:t>
      </w:r>
      <w:r w:rsidR="00D90DED">
        <w:rPr>
          <w:rFonts w:ascii="Calibri" w:hAnsi="Calibri" w:cs="Calibri"/>
          <w:sz w:val="22"/>
          <w:szCs w:val="22"/>
        </w:rPr>
        <w:t xml:space="preserve">hildren that are </w:t>
      </w:r>
      <w:r w:rsidR="006626B5">
        <w:rPr>
          <w:rFonts w:ascii="Calibri" w:hAnsi="Calibri" w:cs="Calibri"/>
          <w:sz w:val="22"/>
          <w:szCs w:val="22"/>
        </w:rPr>
        <w:t>immersed</w:t>
      </w:r>
      <w:r w:rsidR="00D90DED">
        <w:rPr>
          <w:rFonts w:ascii="Calibri" w:hAnsi="Calibri" w:cs="Calibri"/>
          <w:sz w:val="22"/>
          <w:szCs w:val="22"/>
        </w:rPr>
        <w:t xml:space="preserve"> in county lines and gang culture </w:t>
      </w:r>
      <w:r w:rsidR="006626B5">
        <w:rPr>
          <w:rFonts w:ascii="Calibri" w:hAnsi="Calibri" w:cs="Calibri"/>
          <w:sz w:val="22"/>
          <w:szCs w:val="22"/>
        </w:rPr>
        <w:t xml:space="preserve">not only face the risks </w:t>
      </w:r>
      <w:r w:rsidR="00962503">
        <w:rPr>
          <w:rFonts w:ascii="Calibri" w:hAnsi="Calibri" w:cs="Calibri"/>
          <w:sz w:val="22"/>
          <w:szCs w:val="22"/>
        </w:rPr>
        <w:t xml:space="preserve">previously </w:t>
      </w:r>
      <w:r w:rsidR="00112919">
        <w:rPr>
          <w:rFonts w:ascii="Calibri" w:hAnsi="Calibri" w:cs="Calibri"/>
          <w:sz w:val="22"/>
          <w:szCs w:val="22"/>
        </w:rPr>
        <w:t>mentioned but</w:t>
      </w:r>
      <w:r w:rsidR="006626B5">
        <w:rPr>
          <w:rFonts w:ascii="Calibri" w:hAnsi="Calibri" w:cs="Calibri"/>
          <w:sz w:val="22"/>
          <w:szCs w:val="22"/>
        </w:rPr>
        <w:t xml:space="preserve"> face </w:t>
      </w:r>
      <w:r w:rsidR="00962503">
        <w:rPr>
          <w:rFonts w:ascii="Calibri" w:hAnsi="Calibri" w:cs="Calibri"/>
          <w:sz w:val="22"/>
          <w:szCs w:val="22"/>
        </w:rPr>
        <w:t xml:space="preserve">the risk </w:t>
      </w:r>
      <w:r w:rsidR="006626B5">
        <w:rPr>
          <w:rFonts w:ascii="Calibri" w:hAnsi="Calibri" w:cs="Calibri"/>
          <w:sz w:val="22"/>
          <w:szCs w:val="22"/>
        </w:rPr>
        <w:t xml:space="preserve">of their home and future lives being tarnished or destroyed. Their affiliation can consequently lead to disruption in their education, general wellbeing, and </w:t>
      </w:r>
      <w:r w:rsidR="00962503">
        <w:rPr>
          <w:rFonts w:ascii="Calibri" w:hAnsi="Calibri" w:cs="Calibri"/>
          <w:sz w:val="22"/>
          <w:szCs w:val="22"/>
        </w:rPr>
        <w:t xml:space="preserve">strain </w:t>
      </w:r>
      <w:r w:rsidR="006626B5">
        <w:rPr>
          <w:rFonts w:ascii="Calibri" w:hAnsi="Calibri" w:cs="Calibri"/>
          <w:sz w:val="22"/>
          <w:szCs w:val="22"/>
        </w:rPr>
        <w:t>family</w:t>
      </w:r>
      <w:r w:rsidR="00962503">
        <w:rPr>
          <w:rFonts w:ascii="Calibri" w:hAnsi="Calibri" w:cs="Calibri"/>
          <w:sz w:val="22"/>
          <w:szCs w:val="22"/>
        </w:rPr>
        <w:t xml:space="preserve"> </w:t>
      </w:r>
      <w:r w:rsidR="00962503" w:rsidRPr="00962503">
        <w:rPr>
          <w:rFonts w:ascii="Calibri" w:hAnsi="Calibri" w:cs="Calibri"/>
          <w:sz w:val="22"/>
          <w:szCs w:val="22"/>
        </w:rPr>
        <w:t>relationships</w:t>
      </w:r>
      <w:r w:rsidR="00962503" w:rsidRPr="00962503">
        <w:rPr>
          <w:rFonts w:ascii="Calibri" w:hAnsi="Calibri" w:cs="Calibri"/>
          <w:color w:val="FF0000"/>
          <w:sz w:val="22"/>
          <w:szCs w:val="22"/>
        </w:rPr>
        <w:t xml:space="preserve"> (Coomber and Moyle, 201</w:t>
      </w:r>
      <w:r w:rsidR="00FE3609">
        <w:rPr>
          <w:rFonts w:ascii="Calibri" w:hAnsi="Calibri" w:cs="Calibri"/>
          <w:color w:val="FF0000"/>
          <w:sz w:val="22"/>
          <w:szCs w:val="22"/>
        </w:rPr>
        <w:t>7</w:t>
      </w:r>
      <w:r w:rsidR="00962503" w:rsidRPr="00962503">
        <w:rPr>
          <w:rFonts w:ascii="Calibri" w:hAnsi="Calibri" w:cs="Calibri"/>
          <w:color w:val="FF0000"/>
          <w:sz w:val="22"/>
          <w:szCs w:val="22"/>
        </w:rPr>
        <w:t>).</w:t>
      </w:r>
      <w:r w:rsidR="00962503">
        <w:rPr>
          <w:rFonts w:ascii="Calibri" w:hAnsi="Calibri" w:cs="Calibri"/>
          <w:sz w:val="22"/>
          <w:szCs w:val="22"/>
        </w:rPr>
        <w:t xml:space="preserve"> </w:t>
      </w:r>
      <w:r w:rsidR="00C768EA">
        <w:rPr>
          <w:rFonts w:ascii="Calibri" w:hAnsi="Calibri" w:cs="Calibri"/>
          <w:sz w:val="22"/>
          <w:szCs w:val="22"/>
        </w:rPr>
        <w:t>D</w:t>
      </w:r>
      <w:r w:rsidR="009B1771">
        <w:rPr>
          <w:rFonts w:ascii="Calibri" w:hAnsi="Calibri" w:cs="Calibri"/>
          <w:sz w:val="22"/>
          <w:szCs w:val="22"/>
        </w:rPr>
        <w:t xml:space="preserve">espite children being considered ‘vulnerable’ by virtue of age, not all who are engaged in county lines activity consider themselves to be a victim. </w:t>
      </w:r>
      <w:r w:rsidR="009B1771" w:rsidRPr="00D7364F">
        <w:rPr>
          <w:rFonts w:ascii="Calibri" w:hAnsi="Calibri" w:cs="Calibri"/>
          <w:color w:val="FF0000"/>
          <w:sz w:val="22"/>
          <w:szCs w:val="22"/>
        </w:rPr>
        <w:t>Robinson, McLean and Densley (2018)</w:t>
      </w:r>
      <w:r w:rsidR="00D7364F" w:rsidRPr="00D7364F">
        <w:rPr>
          <w:rFonts w:ascii="Calibri" w:hAnsi="Calibri" w:cs="Calibri"/>
          <w:color w:val="FF0000"/>
          <w:sz w:val="22"/>
          <w:szCs w:val="22"/>
        </w:rPr>
        <w:t xml:space="preserve"> </w:t>
      </w:r>
      <w:r w:rsidR="00C768EA">
        <w:rPr>
          <w:rFonts w:ascii="Calibri" w:hAnsi="Calibri" w:cs="Calibri"/>
          <w:sz w:val="22"/>
          <w:szCs w:val="22"/>
        </w:rPr>
        <w:t>supports this whereby it is noted that</w:t>
      </w:r>
      <w:r w:rsidR="009B1771">
        <w:rPr>
          <w:rFonts w:ascii="Calibri" w:hAnsi="Calibri" w:cs="Calibri"/>
          <w:sz w:val="22"/>
          <w:szCs w:val="22"/>
        </w:rPr>
        <w:t xml:space="preserve"> many</w:t>
      </w:r>
      <w:r w:rsidR="0003640B">
        <w:rPr>
          <w:rFonts w:ascii="Calibri" w:hAnsi="Calibri" w:cs="Calibri"/>
          <w:sz w:val="22"/>
          <w:szCs w:val="22"/>
        </w:rPr>
        <w:t xml:space="preserve"> young</w:t>
      </w:r>
      <w:r w:rsidR="009B1771">
        <w:rPr>
          <w:rFonts w:ascii="Calibri" w:hAnsi="Calibri" w:cs="Calibri"/>
          <w:sz w:val="22"/>
          <w:szCs w:val="22"/>
        </w:rPr>
        <w:t xml:space="preserve"> male victims of CCE see their involvement as a choice, </w:t>
      </w:r>
      <w:r w:rsidR="00DA43E1">
        <w:rPr>
          <w:rFonts w:ascii="Calibri" w:hAnsi="Calibri" w:cs="Calibri"/>
          <w:sz w:val="22"/>
          <w:szCs w:val="22"/>
        </w:rPr>
        <w:t>success,</w:t>
      </w:r>
      <w:r w:rsidR="009B1771">
        <w:rPr>
          <w:rFonts w:ascii="Calibri" w:hAnsi="Calibri" w:cs="Calibri"/>
          <w:sz w:val="22"/>
          <w:szCs w:val="22"/>
        </w:rPr>
        <w:t xml:space="preserve"> and a status symbol. </w:t>
      </w:r>
      <w:r w:rsidR="00C768EA">
        <w:rPr>
          <w:rFonts w:ascii="Calibri" w:hAnsi="Calibri" w:cs="Calibri"/>
          <w:sz w:val="22"/>
          <w:szCs w:val="22"/>
        </w:rPr>
        <w:t xml:space="preserve">This contrasting information implies there would be significant difficulties when attempting to identify and support these children. </w:t>
      </w:r>
      <w:r w:rsidR="008A2E03" w:rsidRPr="008A2E03">
        <w:rPr>
          <w:rFonts w:ascii="Calibri" w:hAnsi="Calibri" w:cs="Calibri"/>
          <w:color w:val="FF0000"/>
          <w:sz w:val="22"/>
          <w:szCs w:val="22"/>
        </w:rPr>
        <w:t xml:space="preserve">Shaw (2023) </w:t>
      </w:r>
      <w:r w:rsidR="008A2E03">
        <w:rPr>
          <w:rFonts w:ascii="Calibri" w:hAnsi="Calibri" w:cs="Calibri"/>
          <w:sz w:val="22"/>
          <w:szCs w:val="22"/>
        </w:rPr>
        <w:t>supports this, noting that</w:t>
      </w:r>
      <w:r w:rsidR="008A2E03">
        <w:rPr>
          <w:rFonts w:ascii="Open Sans" w:hAnsi="Open Sans" w:cs="Open Sans"/>
          <w:color w:val="333333"/>
          <w:shd w:val="clear" w:color="auto" w:fill="FFFFFF"/>
        </w:rPr>
        <w:t> t</w:t>
      </w:r>
      <w:r w:rsidR="008A2E03" w:rsidRPr="008A2E03">
        <w:rPr>
          <w:rFonts w:ascii="Calibri" w:hAnsi="Calibri" w:cs="Calibri"/>
          <w:sz w:val="22"/>
          <w:szCs w:val="22"/>
        </w:rPr>
        <w:t>he ‘’victim status of criminally exploited children in the United Kingdom remains uncertain in frontline responses</w:t>
      </w:r>
      <w:r w:rsidR="00A91D7F">
        <w:rPr>
          <w:rFonts w:ascii="Calibri" w:hAnsi="Calibri" w:cs="Calibri"/>
          <w:sz w:val="22"/>
          <w:szCs w:val="22"/>
        </w:rPr>
        <w:t xml:space="preserve">’’. </w:t>
      </w:r>
    </w:p>
    <w:p w14:paraId="5E133AC8" w14:textId="3C262A55" w:rsidR="00CB75DF" w:rsidRPr="008A2E03" w:rsidRDefault="00A76E06" w:rsidP="00D57791">
      <w:pPr>
        <w:pStyle w:val="NormalWeb"/>
        <w:spacing w:before="240" w:beforeAutospacing="0" w:after="0" w:afterAutospacing="0"/>
        <w:rPr>
          <w:rFonts w:ascii="Calibri" w:hAnsi="Calibri" w:cs="Calibri"/>
          <w:sz w:val="22"/>
          <w:szCs w:val="22"/>
        </w:rPr>
      </w:pPr>
      <w:r>
        <w:rPr>
          <w:rFonts w:ascii="Calibri" w:hAnsi="Calibri" w:cs="Calibri"/>
          <w:sz w:val="22"/>
          <w:szCs w:val="22"/>
        </w:rPr>
        <w:t>‘</w:t>
      </w:r>
      <w:r w:rsidR="00CB75DF">
        <w:rPr>
          <w:rFonts w:ascii="Calibri" w:hAnsi="Calibri" w:cs="Calibri"/>
          <w:sz w:val="22"/>
          <w:szCs w:val="22"/>
        </w:rPr>
        <w:t>Cuckooing</w:t>
      </w:r>
      <w:r>
        <w:rPr>
          <w:rFonts w:ascii="Calibri" w:hAnsi="Calibri" w:cs="Calibri"/>
          <w:sz w:val="22"/>
          <w:szCs w:val="22"/>
        </w:rPr>
        <w:t xml:space="preserve">’ is the act of </w:t>
      </w:r>
      <w:r w:rsidR="00131B8D">
        <w:rPr>
          <w:rFonts w:ascii="Calibri" w:hAnsi="Calibri" w:cs="Calibri"/>
          <w:sz w:val="22"/>
          <w:szCs w:val="22"/>
        </w:rPr>
        <w:t>OCG members fostering relationships with vulnerable persons and</w:t>
      </w:r>
      <w:r>
        <w:rPr>
          <w:rFonts w:ascii="Calibri" w:hAnsi="Calibri" w:cs="Calibri"/>
          <w:sz w:val="22"/>
          <w:szCs w:val="22"/>
        </w:rPr>
        <w:t xml:space="preserve"> invading </w:t>
      </w:r>
      <w:r w:rsidR="00131B8D">
        <w:rPr>
          <w:rFonts w:ascii="Calibri" w:hAnsi="Calibri" w:cs="Calibri"/>
          <w:sz w:val="22"/>
          <w:szCs w:val="22"/>
        </w:rPr>
        <w:t xml:space="preserve">their </w:t>
      </w:r>
      <w:r>
        <w:rPr>
          <w:rFonts w:ascii="Calibri" w:hAnsi="Calibri" w:cs="Calibri"/>
          <w:sz w:val="22"/>
          <w:szCs w:val="22"/>
        </w:rPr>
        <w:t xml:space="preserve">homes </w:t>
      </w:r>
      <w:r w:rsidR="00131B8D">
        <w:rPr>
          <w:rFonts w:ascii="Calibri" w:hAnsi="Calibri" w:cs="Calibri"/>
          <w:sz w:val="22"/>
          <w:szCs w:val="22"/>
        </w:rPr>
        <w:t xml:space="preserve">to utilise it as a </w:t>
      </w:r>
      <w:r w:rsidR="00FE3609">
        <w:rPr>
          <w:rFonts w:ascii="Calibri" w:hAnsi="Calibri" w:cs="Calibri"/>
          <w:sz w:val="22"/>
          <w:szCs w:val="22"/>
        </w:rPr>
        <w:t xml:space="preserve">base </w:t>
      </w:r>
      <w:r w:rsidR="006C4B59" w:rsidRPr="00A21152">
        <w:rPr>
          <w:rFonts w:ascii="Calibri" w:hAnsi="Calibri" w:cs="Calibri"/>
          <w:color w:val="FF0000"/>
          <w:sz w:val="22"/>
          <w:szCs w:val="22"/>
        </w:rPr>
        <w:t>(Spicer, 2021).</w:t>
      </w:r>
      <w:r w:rsidR="006C4B59">
        <w:rPr>
          <w:rFonts w:ascii="Calibri" w:hAnsi="Calibri" w:cs="Calibri"/>
          <w:color w:val="FF0000"/>
          <w:sz w:val="22"/>
          <w:szCs w:val="22"/>
        </w:rPr>
        <w:t xml:space="preserve"> </w:t>
      </w:r>
      <w:r w:rsidR="00131B8D" w:rsidRPr="00131B8D">
        <w:rPr>
          <w:rFonts w:ascii="Calibri" w:hAnsi="Calibri" w:cs="Calibri"/>
          <w:sz w:val="22"/>
          <w:szCs w:val="22"/>
        </w:rPr>
        <w:t>The</w:t>
      </w:r>
      <w:r w:rsidR="00131B8D">
        <w:rPr>
          <w:rFonts w:ascii="Calibri" w:hAnsi="Calibri" w:cs="Calibri"/>
          <w:sz w:val="22"/>
          <w:szCs w:val="22"/>
        </w:rPr>
        <w:t xml:space="preserve"> victims are susceptible to being targeted, sometimes due to a combination of reasons such as having learning difficulties, mental </w:t>
      </w:r>
      <w:r w:rsidR="00FE3609">
        <w:rPr>
          <w:rFonts w:ascii="Calibri" w:hAnsi="Calibri" w:cs="Calibri"/>
          <w:sz w:val="22"/>
          <w:szCs w:val="22"/>
        </w:rPr>
        <w:t>health,</w:t>
      </w:r>
      <w:r w:rsidR="00131B8D">
        <w:rPr>
          <w:rFonts w:ascii="Calibri" w:hAnsi="Calibri" w:cs="Calibri"/>
          <w:sz w:val="22"/>
          <w:szCs w:val="22"/>
        </w:rPr>
        <w:t xml:space="preserve"> and drug addiction. Their additional needs </w:t>
      </w:r>
      <w:r w:rsidR="00FE3609">
        <w:rPr>
          <w:rFonts w:ascii="Calibri" w:hAnsi="Calibri" w:cs="Calibri"/>
          <w:sz w:val="22"/>
          <w:szCs w:val="22"/>
        </w:rPr>
        <w:t>make</w:t>
      </w:r>
      <w:r w:rsidR="00131B8D">
        <w:rPr>
          <w:rFonts w:ascii="Calibri" w:hAnsi="Calibri" w:cs="Calibri"/>
          <w:sz w:val="22"/>
          <w:szCs w:val="22"/>
        </w:rPr>
        <w:t xml:space="preserve"> them more attractive candidates as they are</w:t>
      </w:r>
      <w:r w:rsidR="00FE3609">
        <w:rPr>
          <w:rFonts w:ascii="Calibri" w:hAnsi="Calibri" w:cs="Calibri"/>
          <w:sz w:val="22"/>
          <w:szCs w:val="22"/>
        </w:rPr>
        <w:t xml:space="preserve"> considered impressionable and less likely to report matters to the police </w:t>
      </w:r>
      <w:r w:rsidR="00FE3609" w:rsidRPr="00FE3609">
        <w:rPr>
          <w:rFonts w:ascii="Calibri" w:hAnsi="Calibri" w:cs="Calibri"/>
          <w:color w:val="FF0000"/>
          <w:sz w:val="22"/>
          <w:szCs w:val="22"/>
        </w:rPr>
        <w:t>(Coomber and Moyle</w:t>
      </w:r>
      <w:r w:rsidR="00FE3609">
        <w:rPr>
          <w:rFonts w:ascii="Calibri" w:hAnsi="Calibri" w:cs="Calibri"/>
          <w:color w:val="FF0000"/>
          <w:sz w:val="22"/>
          <w:szCs w:val="22"/>
        </w:rPr>
        <w:t>,</w:t>
      </w:r>
      <w:r w:rsidR="00FE3609" w:rsidRPr="00FE3609">
        <w:rPr>
          <w:rFonts w:ascii="Calibri" w:hAnsi="Calibri" w:cs="Calibri"/>
          <w:color w:val="FF0000"/>
          <w:sz w:val="22"/>
          <w:szCs w:val="22"/>
        </w:rPr>
        <w:t xml:space="preserve"> 2017).</w:t>
      </w:r>
      <w:r w:rsidR="00FE3609" w:rsidRPr="00FE3609">
        <w:rPr>
          <w:rFonts w:ascii="Arial" w:hAnsi="Arial" w:cs="Arial"/>
          <w:color w:val="FF0000"/>
          <w:sz w:val="22"/>
          <w:szCs w:val="22"/>
        </w:rPr>
        <w:t xml:space="preserve"> </w:t>
      </w:r>
      <w:r w:rsidR="00FE3609" w:rsidRPr="00FE3609">
        <w:rPr>
          <w:rFonts w:ascii="Calibri" w:hAnsi="Calibri" w:cs="Calibri"/>
          <w:sz w:val="22"/>
          <w:szCs w:val="22"/>
        </w:rPr>
        <w:t>Furthermore,</w:t>
      </w:r>
      <w:r w:rsidR="00FE3609">
        <w:rPr>
          <w:rFonts w:ascii="Arial" w:hAnsi="Arial" w:cs="Arial"/>
          <w:color w:val="FF0000"/>
          <w:sz w:val="22"/>
          <w:szCs w:val="22"/>
        </w:rPr>
        <w:t xml:space="preserve"> </w:t>
      </w:r>
      <w:r w:rsidR="00FE3609" w:rsidRPr="00FE3609">
        <w:rPr>
          <w:rFonts w:ascii="Calibri" w:hAnsi="Calibri" w:cs="Calibri"/>
          <w:color w:val="FF0000"/>
          <w:sz w:val="22"/>
          <w:szCs w:val="22"/>
        </w:rPr>
        <w:t xml:space="preserve">Moyle </w:t>
      </w:r>
      <w:r w:rsidR="00FE3609">
        <w:rPr>
          <w:rFonts w:ascii="Calibri" w:hAnsi="Calibri" w:cs="Calibri"/>
          <w:color w:val="FF0000"/>
          <w:sz w:val="22"/>
          <w:szCs w:val="22"/>
        </w:rPr>
        <w:t>(</w:t>
      </w:r>
      <w:r w:rsidR="00FE3609" w:rsidRPr="00FE3609">
        <w:rPr>
          <w:rFonts w:ascii="Calibri" w:hAnsi="Calibri" w:cs="Calibri"/>
          <w:color w:val="FF0000"/>
          <w:sz w:val="22"/>
          <w:szCs w:val="22"/>
        </w:rPr>
        <w:t>2019</w:t>
      </w:r>
      <w:r w:rsidR="00FE3609">
        <w:rPr>
          <w:rFonts w:ascii="Calibri" w:hAnsi="Calibri" w:cs="Calibri"/>
          <w:color w:val="FF0000"/>
          <w:sz w:val="22"/>
          <w:szCs w:val="22"/>
        </w:rPr>
        <w:t xml:space="preserve">) </w:t>
      </w:r>
      <w:r w:rsidR="00FE3609" w:rsidRPr="00FE3609">
        <w:rPr>
          <w:rFonts w:ascii="Calibri" w:hAnsi="Calibri" w:cs="Calibri"/>
          <w:sz w:val="22"/>
          <w:szCs w:val="22"/>
        </w:rPr>
        <w:t xml:space="preserve">notes that </w:t>
      </w:r>
      <w:r w:rsidR="00FE3609">
        <w:rPr>
          <w:rFonts w:ascii="Calibri" w:hAnsi="Calibri" w:cs="Calibri"/>
          <w:sz w:val="22"/>
          <w:szCs w:val="22"/>
        </w:rPr>
        <w:t xml:space="preserve">although these vulnerable persons are exploited, there is a population who sometimes willingly and effortlessly fall into ‘drug running’ and </w:t>
      </w:r>
      <w:r w:rsidR="00DA43E1">
        <w:rPr>
          <w:rFonts w:ascii="Calibri" w:hAnsi="Calibri" w:cs="Calibri"/>
          <w:sz w:val="22"/>
          <w:szCs w:val="22"/>
        </w:rPr>
        <w:t>enter</w:t>
      </w:r>
      <w:r w:rsidR="00FE3609">
        <w:rPr>
          <w:rFonts w:ascii="Calibri" w:hAnsi="Calibri" w:cs="Calibri"/>
          <w:sz w:val="22"/>
          <w:szCs w:val="22"/>
        </w:rPr>
        <w:t xml:space="preserve"> ‘mutually beneficial’ relationships with the perpetuators. </w:t>
      </w:r>
      <w:r w:rsidR="0073423C">
        <w:rPr>
          <w:rFonts w:ascii="Calibri" w:hAnsi="Calibri" w:cs="Calibri"/>
          <w:sz w:val="22"/>
          <w:szCs w:val="22"/>
        </w:rPr>
        <w:t xml:space="preserve">For example, a vulnerable adult who lives a very isolated lifestyle may be more willing to accept the exploitation as they depend on the company. In addition, habitual drug users have been seen to actively seek ‘running’ opportunities </w:t>
      </w:r>
      <w:r w:rsidR="00DA43E1">
        <w:rPr>
          <w:rFonts w:ascii="Calibri" w:hAnsi="Calibri" w:cs="Calibri"/>
          <w:sz w:val="22"/>
          <w:szCs w:val="22"/>
        </w:rPr>
        <w:t>to</w:t>
      </w:r>
      <w:r w:rsidR="0073423C">
        <w:rPr>
          <w:rFonts w:ascii="Calibri" w:hAnsi="Calibri" w:cs="Calibri"/>
          <w:sz w:val="22"/>
          <w:szCs w:val="22"/>
        </w:rPr>
        <w:t xml:space="preserve"> fund their addictions. This suggests that there is a fine line between being a ‘vulnerable</w:t>
      </w:r>
      <w:r w:rsidR="00B359A9">
        <w:rPr>
          <w:rFonts w:ascii="Calibri" w:hAnsi="Calibri" w:cs="Calibri"/>
          <w:sz w:val="22"/>
          <w:szCs w:val="22"/>
        </w:rPr>
        <w:t>’</w:t>
      </w:r>
      <w:r w:rsidR="0073423C">
        <w:rPr>
          <w:rFonts w:ascii="Calibri" w:hAnsi="Calibri" w:cs="Calibri"/>
          <w:sz w:val="22"/>
          <w:szCs w:val="22"/>
        </w:rPr>
        <w:t xml:space="preserve"> victim and ‘wilful’ victim. </w:t>
      </w:r>
    </w:p>
    <w:p w14:paraId="6969DA73" w14:textId="77777777" w:rsidR="0054036E" w:rsidRDefault="0054036E" w:rsidP="00575A7B">
      <w:pPr>
        <w:pStyle w:val="NormalWeb"/>
        <w:spacing w:before="0" w:beforeAutospacing="0" w:after="0" w:afterAutospacing="0"/>
        <w:rPr>
          <w:rFonts w:ascii="Calibri" w:hAnsi="Calibri" w:cs="Calibri"/>
          <w:sz w:val="22"/>
          <w:szCs w:val="22"/>
        </w:rPr>
      </w:pPr>
    </w:p>
    <w:p w14:paraId="5DAB5648" w14:textId="77777777" w:rsidR="009C7C83" w:rsidRDefault="009C7C83" w:rsidP="00575A7B">
      <w:pPr>
        <w:pStyle w:val="NormalWeb"/>
        <w:spacing w:before="0" w:beforeAutospacing="0" w:after="0" w:afterAutospacing="0"/>
        <w:rPr>
          <w:rFonts w:ascii="Calibri" w:hAnsi="Calibri" w:cs="Calibri"/>
          <w:sz w:val="22"/>
          <w:szCs w:val="22"/>
        </w:rPr>
      </w:pPr>
    </w:p>
    <w:p w14:paraId="52E156D6" w14:textId="77777777" w:rsidR="00CF799D" w:rsidRDefault="00CF799D" w:rsidP="00575A7B">
      <w:pPr>
        <w:pStyle w:val="NormalWeb"/>
        <w:spacing w:before="0" w:beforeAutospacing="0" w:after="0" w:afterAutospacing="0"/>
        <w:rPr>
          <w:rFonts w:ascii="Calibri" w:hAnsi="Calibri" w:cs="Calibri"/>
          <w:sz w:val="22"/>
          <w:szCs w:val="22"/>
        </w:rPr>
      </w:pPr>
    </w:p>
    <w:p w14:paraId="27AF62D3" w14:textId="77777777" w:rsidR="009C7C83" w:rsidRDefault="009C7C83" w:rsidP="00575A7B">
      <w:pPr>
        <w:pStyle w:val="NormalWeb"/>
        <w:spacing w:before="0" w:beforeAutospacing="0" w:after="0" w:afterAutospacing="0"/>
        <w:rPr>
          <w:rFonts w:ascii="Calibri" w:hAnsi="Calibri" w:cs="Calibri"/>
          <w:b/>
          <w:bCs/>
          <w:sz w:val="22"/>
          <w:szCs w:val="22"/>
        </w:rPr>
      </w:pPr>
    </w:p>
    <w:p w14:paraId="755E9622" w14:textId="77777777" w:rsidR="00575A7B" w:rsidRDefault="00575A7B" w:rsidP="00575A7B">
      <w:pPr>
        <w:pStyle w:val="NormalWeb"/>
        <w:spacing w:before="0" w:beforeAutospacing="0" w:after="0" w:afterAutospacing="0"/>
        <w:rPr>
          <w:rFonts w:ascii="Calibri" w:hAnsi="Calibri" w:cs="Calibri"/>
          <w:b/>
          <w:bCs/>
          <w:sz w:val="22"/>
          <w:szCs w:val="22"/>
        </w:rPr>
      </w:pPr>
    </w:p>
    <w:p w14:paraId="1CF3D88F" w14:textId="25A7352E" w:rsidR="00411D87" w:rsidRDefault="00250758" w:rsidP="00411D87">
      <w:pPr>
        <w:pStyle w:val="NormalWeb"/>
        <w:spacing w:before="0" w:beforeAutospacing="0" w:after="0" w:afterAutospacing="0"/>
        <w:rPr>
          <w:rFonts w:ascii="Calibri" w:hAnsi="Calibri" w:cs="Calibri"/>
          <w:b/>
          <w:bCs/>
          <w:sz w:val="22"/>
          <w:szCs w:val="22"/>
        </w:rPr>
      </w:pPr>
      <w:r>
        <w:rPr>
          <w:rFonts w:ascii="Calibri" w:hAnsi="Calibri" w:cs="Calibri"/>
          <w:b/>
          <w:bCs/>
          <w:sz w:val="22"/>
          <w:szCs w:val="22"/>
        </w:rPr>
        <w:lastRenderedPageBreak/>
        <w:t xml:space="preserve">2.4 </w:t>
      </w:r>
      <w:r w:rsidR="0054036E">
        <w:rPr>
          <w:rFonts w:ascii="Calibri" w:hAnsi="Calibri" w:cs="Calibri"/>
          <w:b/>
          <w:bCs/>
          <w:sz w:val="22"/>
          <w:szCs w:val="22"/>
        </w:rPr>
        <w:t xml:space="preserve">Victim support: </w:t>
      </w:r>
      <w:r w:rsidR="00144BFC">
        <w:rPr>
          <w:rFonts w:ascii="Calibri" w:hAnsi="Calibri" w:cs="Calibri"/>
          <w:b/>
          <w:bCs/>
          <w:sz w:val="22"/>
          <w:szCs w:val="22"/>
        </w:rPr>
        <w:t>T</w:t>
      </w:r>
      <w:r w:rsidR="0054036E">
        <w:rPr>
          <w:rFonts w:ascii="Calibri" w:hAnsi="Calibri" w:cs="Calibri"/>
          <w:b/>
          <w:bCs/>
          <w:sz w:val="22"/>
          <w:szCs w:val="22"/>
        </w:rPr>
        <w:t>he police response</w:t>
      </w:r>
      <w:r w:rsidR="00144BFC">
        <w:rPr>
          <w:rFonts w:ascii="Calibri" w:hAnsi="Calibri" w:cs="Calibri"/>
          <w:b/>
          <w:bCs/>
          <w:sz w:val="22"/>
          <w:szCs w:val="22"/>
        </w:rPr>
        <w:t xml:space="preserve">, </w:t>
      </w:r>
      <w:r w:rsidR="005E0AE6">
        <w:rPr>
          <w:rFonts w:ascii="Calibri" w:hAnsi="Calibri" w:cs="Calibri"/>
          <w:b/>
          <w:bCs/>
          <w:sz w:val="22"/>
          <w:szCs w:val="22"/>
        </w:rPr>
        <w:t>identification,</w:t>
      </w:r>
      <w:r w:rsidR="00144BFC">
        <w:rPr>
          <w:rFonts w:ascii="Calibri" w:hAnsi="Calibri" w:cs="Calibri"/>
          <w:b/>
          <w:bCs/>
          <w:sz w:val="22"/>
          <w:szCs w:val="22"/>
        </w:rPr>
        <w:t xml:space="preserve"> and safeguarding </w:t>
      </w:r>
      <w:r w:rsidR="001E5B6B">
        <w:rPr>
          <w:rFonts w:ascii="Calibri" w:hAnsi="Calibri" w:cs="Calibri"/>
          <w:b/>
          <w:bCs/>
          <w:sz w:val="22"/>
          <w:szCs w:val="22"/>
        </w:rPr>
        <w:t>(600)</w:t>
      </w:r>
    </w:p>
    <w:p w14:paraId="736D6B20" w14:textId="490C9092" w:rsidR="008A2E03" w:rsidRDefault="008A2E03" w:rsidP="00C60406">
      <w:pPr>
        <w:pStyle w:val="NormalWeb"/>
        <w:spacing w:before="0" w:beforeAutospacing="0" w:after="0" w:afterAutospacing="0"/>
        <w:rPr>
          <w:rFonts w:ascii="Calibri" w:hAnsi="Calibri" w:cs="Calibri"/>
          <w:sz w:val="22"/>
          <w:szCs w:val="22"/>
        </w:rPr>
      </w:pPr>
    </w:p>
    <w:p w14:paraId="3B5DDA2B" w14:textId="488B0F42" w:rsidR="00D87EE4" w:rsidRDefault="004F6D68" w:rsidP="00C60406">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The UK police response </w:t>
      </w:r>
      <w:r w:rsidR="00774988">
        <w:rPr>
          <w:rFonts w:ascii="Calibri" w:hAnsi="Calibri" w:cs="Calibri"/>
          <w:sz w:val="22"/>
          <w:szCs w:val="22"/>
        </w:rPr>
        <w:t xml:space="preserve">to County Lines </w:t>
      </w:r>
      <w:r>
        <w:rPr>
          <w:rFonts w:ascii="Calibri" w:hAnsi="Calibri" w:cs="Calibri"/>
          <w:sz w:val="22"/>
          <w:szCs w:val="22"/>
        </w:rPr>
        <w:t>has undergone several notable developments in later years</w:t>
      </w:r>
      <w:r w:rsidR="006A4407">
        <w:rPr>
          <w:rFonts w:ascii="Calibri" w:hAnsi="Calibri" w:cs="Calibri"/>
          <w:sz w:val="22"/>
          <w:szCs w:val="22"/>
        </w:rPr>
        <w:t xml:space="preserve">. </w:t>
      </w:r>
      <w:r w:rsidR="0071142E">
        <w:rPr>
          <w:rFonts w:ascii="Calibri" w:hAnsi="Calibri" w:cs="Calibri"/>
          <w:sz w:val="22"/>
          <w:szCs w:val="22"/>
        </w:rPr>
        <w:t>In 2018 the UK government launched a ‘Serious Violence Strategy</w:t>
      </w:r>
      <w:r w:rsidR="00D87EE4">
        <w:rPr>
          <w:rFonts w:ascii="Calibri" w:hAnsi="Calibri" w:cs="Calibri"/>
          <w:sz w:val="22"/>
          <w:szCs w:val="22"/>
        </w:rPr>
        <w:t>’’</w:t>
      </w:r>
      <w:r w:rsidR="0071142E">
        <w:rPr>
          <w:rFonts w:ascii="Calibri" w:hAnsi="Calibri" w:cs="Calibri"/>
          <w:sz w:val="22"/>
          <w:szCs w:val="22"/>
        </w:rPr>
        <w:t xml:space="preserve"> (</w:t>
      </w:r>
      <w:r w:rsidR="0071142E" w:rsidRPr="0071142E">
        <w:rPr>
          <w:rFonts w:ascii="Calibri" w:hAnsi="Calibri" w:cs="Calibri"/>
          <w:color w:val="FF0000"/>
          <w:sz w:val="22"/>
          <w:szCs w:val="22"/>
        </w:rPr>
        <w:t>H</w:t>
      </w:r>
      <w:r w:rsidR="00537429">
        <w:rPr>
          <w:rFonts w:ascii="Calibri" w:hAnsi="Calibri" w:cs="Calibri"/>
          <w:color w:val="FF0000"/>
          <w:sz w:val="22"/>
          <w:szCs w:val="22"/>
        </w:rPr>
        <w:t>ome Office</w:t>
      </w:r>
      <w:r w:rsidR="0071142E" w:rsidRPr="0071142E">
        <w:rPr>
          <w:rFonts w:ascii="Calibri" w:hAnsi="Calibri" w:cs="Calibri"/>
          <w:color w:val="FF0000"/>
          <w:sz w:val="22"/>
          <w:szCs w:val="22"/>
        </w:rPr>
        <w:t xml:space="preserve">, 2018), </w:t>
      </w:r>
      <w:r w:rsidR="0071142E">
        <w:rPr>
          <w:rFonts w:ascii="Calibri" w:hAnsi="Calibri" w:cs="Calibri"/>
          <w:sz w:val="22"/>
          <w:szCs w:val="22"/>
        </w:rPr>
        <w:t xml:space="preserve">that outlines tackling Conty Lines as a new priority. It was noted the proposed response to the emerging issue would incorporate early intervention, prevention, community support and a multi-agency approach. </w:t>
      </w:r>
      <w:r w:rsidR="006A4407" w:rsidRPr="008A2E03">
        <w:rPr>
          <w:rFonts w:ascii="Calibri" w:hAnsi="Calibri" w:cs="Calibri"/>
          <w:color w:val="FF0000"/>
          <w:sz w:val="22"/>
          <w:szCs w:val="22"/>
        </w:rPr>
        <w:t xml:space="preserve">Moyle (2019) </w:t>
      </w:r>
      <w:r w:rsidR="006A4407" w:rsidRPr="008A2E03">
        <w:rPr>
          <w:rFonts w:ascii="Calibri" w:hAnsi="Calibri" w:cs="Calibri"/>
          <w:sz w:val="22"/>
          <w:szCs w:val="22"/>
        </w:rPr>
        <w:t>suggests that many police forces are working tirelessly to navigate t</w:t>
      </w:r>
      <w:r w:rsidR="006A4407">
        <w:rPr>
          <w:rFonts w:ascii="Calibri" w:hAnsi="Calibri" w:cs="Calibri"/>
          <w:sz w:val="22"/>
          <w:szCs w:val="22"/>
        </w:rPr>
        <w:t>he complexities and growing impact of</w:t>
      </w:r>
      <w:r w:rsidR="006A4407" w:rsidRPr="008A2E03">
        <w:rPr>
          <w:rFonts w:ascii="Calibri" w:hAnsi="Calibri" w:cs="Calibri"/>
          <w:sz w:val="22"/>
          <w:szCs w:val="22"/>
        </w:rPr>
        <w:t xml:space="preserve"> the</w:t>
      </w:r>
      <w:r w:rsidR="00D87EE4">
        <w:rPr>
          <w:rFonts w:ascii="Calibri" w:hAnsi="Calibri" w:cs="Calibri"/>
          <w:sz w:val="22"/>
          <w:szCs w:val="22"/>
        </w:rPr>
        <w:t xml:space="preserve"> expanding</w:t>
      </w:r>
      <w:r w:rsidR="006A4407" w:rsidRPr="008A2E03">
        <w:rPr>
          <w:rFonts w:ascii="Calibri" w:hAnsi="Calibri" w:cs="Calibri"/>
          <w:sz w:val="22"/>
          <w:szCs w:val="22"/>
        </w:rPr>
        <w:t xml:space="preserve"> County lines model</w:t>
      </w:r>
      <w:r w:rsidR="006A4407">
        <w:rPr>
          <w:rFonts w:ascii="Calibri" w:hAnsi="Calibri" w:cs="Calibri"/>
          <w:sz w:val="22"/>
          <w:szCs w:val="22"/>
        </w:rPr>
        <w:t xml:space="preserve">. Developments include </w:t>
      </w:r>
      <w:r w:rsidR="006A4407" w:rsidRPr="006A4407">
        <w:rPr>
          <w:rFonts w:ascii="Calibri" w:hAnsi="Calibri" w:cs="Calibri"/>
          <w:sz w:val="22"/>
          <w:szCs w:val="22"/>
        </w:rPr>
        <w:t>adapting strategies to not only combat criminal aspect</w:t>
      </w:r>
      <w:r w:rsidR="003C1471">
        <w:rPr>
          <w:rFonts w:ascii="Calibri" w:hAnsi="Calibri" w:cs="Calibri"/>
          <w:sz w:val="22"/>
          <w:szCs w:val="22"/>
        </w:rPr>
        <w:t>s</w:t>
      </w:r>
      <w:r w:rsidR="006A4407" w:rsidRPr="006A4407">
        <w:rPr>
          <w:rFonts w:ascii="Calibri" w:hAnsi="Calibri" w:cs="Calibri"/>
          <w:sz w:val="22"/>
          <w:szCs w:val="22"/>
        </w:rPr>
        <w:t xml:space="preserve">, but to also </w:t>
      </w:r>
      <w:r w:rsidR="00C60406" w:rsidRPr="006A4407">
        <w:rPr>
          <w:rFonts w:ascii="Calibri" w:hAnsi="Calibri" w:cs="Calibri"/>
          <w:sz w:val="22"/>
          <w:szCs w:val="22"/>
        </w:rPr>
        <w:t xml:space="preserve">understand </w:t>
      </w:r>
      <w:r w:rsidR="006A4407" w:rsidRPr="006A4407">
        <w:rPr>
          <w:rFonts w:ascii="Calibri" w:hAnsi="Calibri" w:cs="Calibri"/>
          <w:sz w:val="22"/>
          <w:szCs w:val="22"/>
        </w:rPr>
        <w:t xml:space="preserve">and support </w:t>
      </w:r>
      <w:r w:rsidR="00C60406" w:rsidRPr="006A4407">
        <w:rPr>
          <w:rFonts w:ascii="Calibri" w:hAnsi="Calibri" w:cs="Calibri"/>
          <w:sz w:val="22"/>
          <w:szCs w:val="22"/>
        </w:rPr>
        <w:t xml:space="preserve">those exploited as </w:t>
      </w:r>
      <w:r w:rsidR="006A4407" w:rsidRPr="006A4407">
        <w:rPr>
          <w:rFonts w:ascii="Calibri" w:hAnsi="Calibri" w:cs="Calibri"/>
          <w:sz w:val="22"/>
          <w:szCs w:val="22"/>
        </w:rPr>
        <w:t>victims.</w:t>
      </w:r>
      <w:r w:rsidR="002208E0">
        <w:rPr>
          <w:rFonts w:ascii="Calibri" w:hAnsi="Calibri" w:cs="Calibri"/>
          <w:sz w:val="22"/>
          <w:szCs w:val="22"/>
        </w:rPr>
        <w:t xml:space="preserve"> </w:t>
      </w:r>
      <w:r w:rsidR="00D87EE4">
        <w:rPr>
          <w:rFonts w:ascii="Calibri" w:hAnsi="Calibri" w:cs="Calibri"/>
          <w:sz w:val="22"/>
          <w:szCs w:val="22"/>
        </w:rPr>
        <w:t xml:space="preserve">This indicates that the earlier recommendations are being implemented as required. </w:t>
      </w:r>
      <w:r w:rsidR="00852865">
        <w:rPr>
          <w:rFonts w:ascii="Calibri" w:hAnsi="Calibri" w:cs="Calibri"/>
          <w:sz w:val="22"/>
          <w:szCs w:val="22"/>
        </w:rPr>
        <w:t xml:space="preserve">This section will continue to discuss the literature in relation to how UK police respond to County Lines. </w:t>
      </w:r>
      <w:r w:rsidR="006F310C">
        <w:rPr>
          <w:rFonts w:ascii="Calibri" w:hAnsi="Calibri" w:cs="Calibri"/>
          <w:sz w:val="22"/>
          <w:szCs w:val="22"/>
        </w:rPr>
        <w:t xml:space="preserve">As a case point, particular focus and attention will be drawn upon identification and safeguarding measures.  </w:t>
      </w:r>
    </w:p>
    <w:p w14:paraId="59863951" w14:textId="77777777" w:rsidR="00D87EE4" w:rsidRDefault="00D87EE4" w:rsidP="00C60406">
      <w:pPr>
        <w:pStyle w:val="NormalWeb"/>
        <w:spacing w:before="0" w:beforeAutospacing="0" w:after="0" w:afterAutospacing="0"/>
        <w:rPr>
          <w:rFonts w:ascii="Calibri" w:hAnsi="Calibri" w:cs="Calibri"/>
          <w:sz w:val="22"/>
          <w:szCs w:val="22"/>
        </w:rPr>
      </w:pPr>
    </w:p>
    <w:p w14:paraId="4FC5FB1C" w14:textId="7507B37F" w:rsidR="00835DD4" w:rsidRDefault="00F901FD" w:rsidP="00C60406">
      <w:pPr>
        <w:pStyle w:val="NormalWeb"/>
        <w:spacing w:before="0" w:beforeAutospacing="0" w:after="0" w:afterAutospacing="0"/>
        <w:rPr>
          <w:color w:val="FF0000"/>
        </w:rPr>
      </w:pPr>
      <w:r>
        <w:rPr>
          <w:rFonts w:ascii="Calibri" w:hAnsi="Calibri" w:cs="Calibri"/>
          <w:sz w:val="22"/>
          <w:szCs w:val="22"/>
        </w:rPr>
        <w:t>A crucial aspect of the police response to County Lines victims is identification and rescue.</w:t>
      </w:r>
      <w:r w:rsidR="00B56B85">
        <w:rPr>
          <w:rFonts w:ascii="Calibri" w:hAnsi="Calibri" w:cs="Calibri"/>
          <w:sz w:val="22"/>
          <w:szCs w:val="22"/>
        </w:rPr>
        <w:t xml:space="preserve"> The identification process </w:t>
      </w:r>
      <w:r w:rsidR="006C356C">
        <w:rPr>
          <w:rFonts w:ascii="Calibri" w:hAnsi="Calibri" w:cs="Calibri"/>
          <w:sz w:val="22"/>
          <w:szCs w:val="22"/>
        </w:rPr>
        <w:t>encompasses</w:t>
      </w:r>
      <w:r w:rsidR="00B56B85">
        <w:rPr>
          <w:rFonts w:ascii="Calibri" w:hAnsi="Calibri" w:cs="Calibri"/>
          <w:sz w:val="22"/>
          <w:szCs w:val="22"/>
        </w:rPr>
        <w:t xml:space="preserve"> </w:t>
      </w:r>
      <w:r w:rsidR="00D60A35">
        <w:rPr>
          <w:rFonts w:ascii="Calibri" w:hAnsi="Calibri" w:cs="Calibri"/>
          <w:sz w:val="22"/>
          <w:szCs w:val="22"/>
        </w:rPr>
        <w:t>multi-agency work</w:t>
      </w:r>
      <w:r w:rsidR="006C356C">
        <w:rPr>
          <w:rFonts w:ascii="Calibri" w:hAnsi="Calibri" w:cs="Calibri"/>
          <w:sz w:val="22"/>
          <w:szCs w:val="22"/>
        </w:rPr>
        <w:t>,</w:t>
      </w:r>
      <w:r w:rsidR="00D60A35">
        <w:rPr>
          <w:rFonts w:ascii="Calibri" w:hAnsi="Calibri" w:cs="Calibri"/>
          <w:sz w:val="22"/>
          <w:szCs w:val="22"/>
        </w:rPr>
        <w:t xml:space="preserve"> social services </w:t>
      </w:r>
      <w:r w:rsidR="006C356C">
        <w:rPr>
          <w:rFonts w:ascii="Calibri" w:hAnsi="Calibri" w:cs="Calibri"/>
          <w:sz w:val="22"/>
          <w:szCs w:val="22"/>
        </w:rPr>
        <w:t xml:space="preserve">intervention </w:t>
      </w:r>
      <w:r w:rsidR="00D60A35">
        <w:rPr>
          <w:rFonts w:ascii="Calibri" w:hAnsi="Calibri" w:cs="Calibri"/>
          <w:sz w:val="22"/>
          <w:szCs w:val="22"/>
        </w:rPr>
        <w:t xml:space="preserve">and intelligence sharing. </w:t>
      </w:r>
      <w:r w:rsidR="00E37853">
        <w:rPr>
          <w:rFonts w:ascii="Calibri" w:hAnsi="Calibri" w:cs="Calibri"/>
          <w:sz w:val="22"/>
          <w:szCs w:val="22"/>
        </w:rPr>
        <w:t>Equally</w:t>
      </w:r>
      <w:r w:rsidR="00057CC2">
        <w:rPr>
          <w:rFonts w:ascii="Calibri" w:hAnsi="Calibri" w:cs="Calibri"/>
          <w:sz w:val="22"/>
          <w:szCs w:val="22"/>
        </w:rPr>
        <w:t xml:space="preserve">, initial response </w:t>
      </w:r>
      <w:r w:rsidR="00017FF6">
        <w:rPr>
          <w:rFonts w:ascii="Calibri" w:hAnsi="Calibri" w:cs="Calibri"/>
          <w:sz w:val="22"/>
          <w:szCs w:val="22"/>
        </w:rPr>
        <w:t>officers’</w:t>
      </w:r>
      <w:r w:rsidR="00057CC2">
        <w:rPr>
          <w:rFonts w:ascii="Calibri" w:hAnsi="Calibri" w:cs="Calibri"/>
          <w:sz w:val="22"/>
          <w:szCs w:val="22"/>
        </w:rPr>
        <w:t xml:space="preserve"> perceptions and knowledge of the issue play</w:t>
      </w:r>
      <w:r w:rsidR="00F90E33">
        <w:rPr>
          <w:rFonts w:ascii="Calibri" w:hAnsi="Calibri" w:cs="Calibri"/>
          <w:sz w:val="22"/>
          <w:szCs w:val="22"/>
        </w:rPr>
        <w:t>s</w:t>
      </w:r>
      <w:r w:rsidR="00057CC2">
        <w:rPr>
          <w:rFonts w:ascii="Calibri" w:hAnsi="Calibri" w:cs="Calibri"/>
          <w:sz w:val="22"/>
          <w:szCs w:val="22"/>
        </w:rPr>
        <w:t xml:space="preserve"> a pivotal role in correctly identifying and supporting victims.</w:t>
      </w:r>
      <w:r w:rsidR="006E01BD">
        <w:rPr>
          <w:rFonts w:ascii="Calibri" w:hAnsi="Calibri" w:cs="Calibri"/>
          <w:sz w:val="22"/>
          <w:szCs w:val="22"/>
        </w:rPr>
        <w:t xml:space="preserve"> </w:t>
      </w:r>
      <w:r w:rsidR="00017FF6">
        <w:rPr>
          <w:rFonts w:ascii="Calibri" w:hAnsi="Calibri" w:cs="Calibri"/>
          <w:sz w:val="22"/>
          <w:szCs w:val="22"/>
        </w:rPr>
        <w:t xml:space="preserve">Police </w:t>
      </w:r>
      <w:r w:rsidR="006E01BD">
        <w:rPr>
          <w:rFonts w:ascii="Calibri" w:hAnsi="Calibri" w:cs="Calibri"/>
          <w:sz w:val="22"/>
          <w:szCs w:val="22"/>
        </w:rPr>
        <w:t>are ‘over-worked’ and ‘under-resourced’, which ca</w:t>
      </w:r>
      <w:r w:rsidR="00017FF6">
        <w:rPr>
          <w:rFonts w:ascii="Calibri" w:hAnsi="Calibri" w:cs="Calibri"/>
          <w:sz w:val="22"/>
          <w:szCs w:val="22"/>
        </w:rPr>
        <w:t>n cause</w:t>
      </w:r>
      <w:r w:rsidR="006E01BD">
        <w:rPr>
          <w:rFonts w:ascii="Calibri" w:hAnsi="Calibri" w:cs="Calibri"/>
          <w:sz w:val="22"/>
          <w:szCs w:val="22"/>
        </w:rPr>
        <w:t xml:space="preserve"> difficulty in identifying vulnerability of victims and the risks potentially posed to them</w:t>
      </w:r>
      <w:r w:rsidR="00017FF6">
        <w:rPr>
          <w:rFonts w:ascii="Calibri" w:hAnsi="Calibri" w:cs="Calibri"/>
          <w:sz w:val="22"/>
          <w:szCs w:val="22"/>
        </w:rPr>
        <w:t xml:space="preserve"> (</w:t>
      </w:r>
      <w:r w:rsidR="00017FF6" w:rsidRPr="00017FF6">
        <w:rPr>
          <w:rFonts w:ascii="Calibri" w:hAnsi="Calibri" w:cs="Calibri"/>
          <w:color w:val="FF0000"/>
          <w:sz w:val="22"/>
          <w:szCs w:val="22"/>
        </w:rPr>
        <w:t>Windle, Moyle and Coomber</w:t>
      </w:r>
      <w:r w:rsidR="00017FF6">
        <w:rPr>
          <w:rFonts w:ascii="Calibri" w:hAnsi="Calibri" w:cs="Calibri"/>
          <w:color w:val="FF0000"/>
          <w:sz w:val="22"/>
          <w:szCs w:val="22"/>
        </w:rPr>
        <w:t xml:space="preserve">, </w:t>
      </w:r>
      <w:r w:rsidR="00017FF6" w:rsidRPr="00017FF6">
        <w:rPr>
          <w:rFonts w:ascii="Calibri" w:hAnsi="Calibri" w:cs="Calibri"/>
          <w:color w:val="FF0000"/>
          <w:sz w:val="22"/>
          <w:szCs w:val="22"/>
        </w:rPr>
        <w:t>2020).</w:t>
      </w:r>
      <w:r w:rsidR="00017FF6">
        <w:t xml:space="preserve"> </w:t>
      </w:r>
      <w:r w:rsidR="00017FF6">
        <w:rPr>
          <w:rFonts w:ascii="Calibri" w:hAnsi="Calibri" w:cs="Calibri"/>
          <w:sz w:val="22"/>
          <w:szCs w:val="22"/>
        </w:rPr>
        <w:t>As aforementioned, i</w:t>
      </w:r>
      <w:r w:rsidR="00835DD4">
        <w:rPr>
          <w:rFonts w:ascii="Calibri" w:hAnsi="Calibri" w:cs="Calibri"/>
          <w:sz w:val="22"/>
          <w:szCs w:val="22"/>
        </w:rPr>
        <w:t>dentifying individuals who are potentially subject to exploitation is high on the list of policing priorities</w:t>
      </w:r>
      <w:r w:rsidR="00017FF6">
        <w:rPr>
          <w:rFonts w:ascii="Calibri" w:hAnsi="Calibri" w:cs="Calibri"/>
          <w:sz w:val="22"/>
          <w:szCs w:val="22"/>
        </w:rPr>
        <w:t>.</w:t>
      </w:r>
      <w:r w:rsidR="008228E4">
        <w:rPr>
          <w:rFonts w:ascii="Calibri" w:hAnsi="Calibri" w:cs="Calibri"/>
          <w:sz w:val="22"/>
          <w:szCs w:val="22"/>
        </w:rPr>
        <w:t xml:space="preserve"> </w:t>
      </w:r>
      <w:r w:rsidR="00017FF6">
        <w:rPr>
          <w:rFonts w:ascii="Calibri" w:hAnsi="Calibri" w:cs="Calibri"/>
          <w:sz w:val="22"/>
          <w:szCs w:val="22"/>
        </w:rPr>
        <w:t>W</w:t>
      </w:r>
      <w:r w:rsidR="00B56B85">
        <w:rPr>
          <w:rFonts w:ascii="Calibri" w:hAnsi="Calibri" w:cs="Calibri"/>
          <w:sz w:val="22"/>
          <w:szCs w:val="22"/>
        </w:rPr>
        <w:t>hereas the</w:t>
      </w:r>
      <w:r w:rsidR="008228E4">
        <w:rPr>
          <w:rFonts w:ascii="Calibri" w:hAnsi="Calibri" w:cs="Calibri"/>
          <w:sz w:val="22"/>
          <w:szCs w:val="22"/>
        </w:rPr>
        <w:t xml:space="preserve"> identification process is improving</w:t>
      </w:r>
      <w:r w:rsidR="00B56B85">
        <w:rPr>
          <w:rFonts w:ascii="Calibri" w:hAnsi="Calibri" w:cs="Calibri"/>
          <w:sz w:val="22"/>
          <w:szCs w:val="22"/>
        </w:rPr>
        <w:t xml:space="preserve">, it </w:t>
      </w:r>
      <w:r w:rsidR="008228E4">
        <w:rPr>
          <w:rFonts w:ascii="Calibri" w:hAnsi="Calibri" w:cs="Calibri"/>
          <w:sz w:val="22"/>
          <w:szCs w:val="22"/>
        </w:rPr>
        <w:t>remains inconsistent</w:t>
      </w:r>
      <w:r w:rsidR="00B56B85">
        <w:rPr>
          <w:rFonts w:ascii="Calibri" w:hAnsi="Calibri" w:cs="Calibri"/>
          <w:sz w:val="22"/>
          <w:szCs w:val="22"/>
        </w:rPr>
        <w:t xml:space="preserve"> </w:t>
      </w:r>
      <w:r w:rsidR="00B56B85" w:rsidRPr="00B56B85">
        <w:rPr>
          <w:rFonts w:ascii="Calibri" w:hAnsi="Calibri" w:cs="Calibri"/>
          <w:color w:val="FF0000"/>
          <w:sz w:val="22"/>
          <w:szCs w:val="22"/>
        </w:rPr>
        <w:t xml:space="preserve">(HMIC, 2022). </w:t>
      </w:r>
      <w:r w:rsidR="00B56B85">
        <w:rPr>
          <w:rFonts w:ascii="Calibri" w:hAnsi="Calibri" w:cs="Calibri"/>
          <w:sz w:val="22"/>
          <w:szCs w:val="22"/>
        </w:rPr>
        <w:t>Despite this,</w:t>
      </w:r>
      <w:r w:rsidR="00C05B34">
        <w:rPr>
          <w:rFonts w:ascii="Calibri" w:hAnsi="Calibri" w:cs="Calibri"/>
          <w:sz w:val="22"/>
          <w:szCs w:val="22"/>
        </w:rPr>
        <w:t xml:space="preserve"> </w:t>
      </w:r>
      <w:proofErr w:type="spellStart"/>
      <w:r w:rsidR="00C05B34" w:rsidRPr="00C05B34">
        <w:rPr>
          <w:rFonts w:ascii="Calibri" w:hAnsi="Calibri" w:cs="Calibri"/>
          <w:color w:val="FF0000"/>
          <w:sz w:val="22"/>
          <w:szCs w:val="22"/>
        </w:rPr>
        <w:t>Espeute</w:t>
      </w:r>
      <w:proofErr w:type="spellEnd"/>
      <w:r w:rsidR="00C05B34" w:rsidRPr="00C05B34">
        <w:rPr>
          <w:rFonts w:ascii="Calibri" w:hAnsi="Calibri" w:cs="Calibri"/>
          <w:color w:val="FF0000"/>
          <w:sz w:val="22"/>
          <w:szCs w:val="22"/>
        </w:rPr>
        <w:t xml:space="preserve"> and </w:t>
      </w:r>
      <w:proofErr w:type="spellStart"/>
      <w:r w:rsidR="00C05B34" w:rsidRPr="00C05B34">
        <w:rPr>
          <w:rFonts w:ascii="Calibri" w:hAnsi="Calibri" w:cs="Calibri"/>
          <w:color w:val="FF0000"/>
          <w:sz w:val="22"/>
          <w:szCs w:val="22"/>
        </w:rPr>
        <w:t>Lanskey</w:t>
      </w:r>
      <w:proofErr w:type="spellEnd"/>
      <w:r w:rsidR="00C05B34" w:rsidRPr="00C05B34">
        <w:rPr>
          <w:rFonts w:ascii="Calibri" w:hAnsi="Calibri" w:cs="Calibri"/>
          <w:color w:val="FF0000"/>
          <w:sz w:val="22"/>
          <w:szCs w:val="22"/>
        </w:rPr>
        <w:t xml:space="preserve"> (2023)</w:t>
      </w:r>
      <w:r w:rsidR="00B56B85">
        <w:rPr>
          <w:rFonts w:ascii="Calibri" w:hAnsi="Calibri" w:cs="Calibri"/>
          <w:sz w:val="22"/>
          <w:szCs w:val="22"/>
        </w:rPr>
        <w:t xml:space="preserve"> </w:t>
      </w:r>
      <w:r w:rsidR="00C05B34">
        <w:rPr>
          <w:rFonts w:ascii="Calibri" w:hAnsi="Calibri" w:cs="Calibri"/>
          <w:sz w:val="22"/>
          <w:szCs w:val="22"/>
        </w:rPr>
        <w:t>h</w:t>
      </w:r>
      <w:r w:rsidR="00B56B85">
        <w:rPr>
          <w:rFonts w:ascii="Calibri" w:hAnsi="Calibri" w:cs="Calibri"/>
          <w:sz w:val="22"/>
          <w:szCs w:val="22"/>
        </w:rPr>
        <w:t xml:space="preserve">ighlights that the Police service alone made approximately 43% of National referral Mechanism (NRM) referrals between 2009-2018. Further to this, referral figures doubled between 2018-2020. This information is however limited to child victims of CCE. </w:t>
      </w:r>
      <w:r w:rsidR="00057CC2">
        <w:rPr>
          <w:rFonts w:ascii="Calibri" w:hAnsi="Calibri" w:cs="Calibri"/>
          <w:sz w:val="22"/>
          <w:szCs w:val="22"/>
        </w:rPr>
        <w:t xml:space="preserve">The NRM is a framework </w:t>
      </w:r>
      <w:r w:rsidR="00501AC2">
        <w:rPr>
          <w:rFonts w:ascii="Calibri" w:hAnsi="Calibri" w:cs="Calibri"/>
          <w:sz w:val="22"/>
          <w:szCs w:val="22"/>
        </w:rPr>
        <w:t>used</w:t>
      </w:r>
      <w:r w:rsidR="00057CC2">
        <w:rPr>
          <w:rFonts w:ascii="Calibri" w:hAnsi="Calibri" w:cs="Calibri"/>
          <w:sz w:val="22"/>
          <w:szCs w:val="22"/>
        </w:rPr>
        <w:t xml:space="preserve"> to identify victims of criminal exploitation through determining trends, </w:t>
      </w:r>
      <w:r w:rsidR="00501AC2">
        <w:rPr>
          <w:rFonts w:ascii="Calibri" w:hAnsi="Calibri" w:cs="Calibri"/>
          <w:sz w:val="22"/>
          <w:szCs w:val="22"/>
        </w:rPr>
        <w:t>crime,</w:t>
      </w:r>
      <w:r w:rsidR="00057CC2">
        <w:rPr>
          <w:rFonts w:ascii="Calibri" w:hAnsi="Calibri" w:cs="Calibri"/>
          <w:sz w:val="22"/>
          <w:szCs w:val="22"/>
        </w:rPr>
        <w:t xml:space="preserve"> and abuse models</w:t>
      </w:r>
      <w:r w:rsidR="00501AC2">
        <w:rPr>
          <w:rFonts w:ascii="Calibri" w:hAnsi="Calibri" w:cs="Calibri"/>
          <w:sz w:val="22"/>
          <w:szCs w:val="22"/>
        </w:rPr>
        <w:t xml:space="preserve">. The data is then used to inform practices and policies, police action and safeguarding methods </w:t>
      </w:r>
      <w:r w:rsidR="00501AC2" w:rsidRPr="00501AC2">
        <w:rPr>
          <w:color w:val="FF0000"/>
        </w:rPr>
        <w:t>(</w:t>
      </w:r>
      <w:r w:rsidR="00501AC2" w:rsidRPr="00501AC2">
        <w:rPr>
          <w:rFonts w:ascii="Calibri" w:hAnsi="Calibri" w:cs="Calibri"/>
          <w:color w:val="FF0000"/>
          <w:sz w:val="22"/>
          <w:szCs w:val="22"/>
        </w:rPr>
        <w:t xml:space="preserve">Turner, Belcher and </w:t>
      </w:r>
      <w:proofErr w:type="gramStart"/>
      <w:r w:rsidR="00501AC2" w:rsidRPr="00501AC2">
        <w:rPr>
          <w:rFonts w:ascii="Calibri" w:hAnsi="Calibri" w:cs="Calibri"/>
          <w:color w:val="FF0000"/>
          <w:sz w:val="22"/>
          <w:szCs w:val="22"/>
        </w:rPr>
        <w:t>Pona ,</w:t>
      </w:r>
      <w:proofErr w:type="gramEnd"/>
      <w:r w:rsidR="00501AC2" w:rsidRPr="00501AC2">
        <w:rPr>
          <w:rFonts w:ascii="Calibri" w:hAnsi="Calibri" w:cs="Calibri"/>
          <w:color w:val="FF0000"/>
          <w:sz w:val="22"/>
          <w:szCs w:val="22"/>
        </w:rPr>
        <w:t xml:space="preserve"> 2019).</w:t>
      </w:r>
      <w:r w:rsidR="00501AC2" w:rsidRPr="00501AC2">
        <w:rPr>
          <w:color w:val="FF0000"/>
        </w:rPr>
        <w:t xml:space="preserve"> </w:t>
      </w:r>
    </w:p>
    <w:p w14:paraId="5CE38502" w14:textId="77777777" w:rsidR="003D325F" w:rsidRDefault="003D325F" w:rsidP="00C60406">
      <w:pPr>
        <w:pStyle w:val="NormalWeb"/>
        <w:spacing w:before="0" w:beforeAutospacing="0" w:after="0" w:afterAutospacing="0"/>
        <w:rPr>
          <w:color w:val="FF0000"/>
        </w:rPr>
      </w:pPr>
    </w:p>
    <w:p w14:paraId="77719137" w14:textId="77777777" w:rsidR="00461361" w:rsidRDefault="00F90E33" w:rsidP="00C60406">
      <w:pPr>
        <w:pStyle w:val="NormalWeb"/>
        <w:spacing w:before="0" w:beforeAutospacing="0" w:after="0" w:afterAutospacing="0"/>
        <w:rPr>
          <w:rFonts w:ascii="Calibri" w:hAnsi="Calibri" w:cs="Calibri"/>
          <w:color w:val="FF0000"/>
          <w:sz w:val="22"/>
          <w:szCs w:val="22"/>
        </w:rPr>
      </w:pPr>
      <w:r w:rsidRPr="00F90E33">
        <w:rPr>
          <w:rFonts w:ascii="Calibri" w:hAnsi="Calibri" w:cs="Calibri"/>
          <w:sz w:val="22"/>
          <w:szCs w:val="22"/>
        </w:rPr>
        <w:t xml:space="preserve">Safeguarding </w:t>
      </w:r>
      <w:r w:rsidR="002E679F">
        <w:rPr>
          <w:rFonts w:ascii="Calibri" w:hAnsi="Calibri" w:cs="Calibri"/>
          <w:sz w:val="22"/>
          <w:szCs w:val="22"/>
        </w:rPr>
        <w:t>begins when initial contact with vulnerable victims is made and is continued via support of police and partner agencies. To provide example of immediate safeguarding, police evaluate the risk during initial attendance, and where appropriate will remove a vulnerable person from a situation and take them to a place of safety</w:t>
      </w:r>
      <w:r w:rsidR="002E679F" w:rsidRPr="002E679F">
        <w:rPr>
          <w:rFonts w:ascii="Calibri" w:hAnsi="Calibri" w:cs="Calibri"/>
          <w:color w:val="FF0000"/>
          <w:sz w:val="22"/>
          <w:szCs w:val="22"/>
        </w:rPr>
        <w:t xml:space="preserve">. (ref.). </w:t>
      </w:r>
    </w:p>
    <w:p w14:paraId="64D602D2" w14:textId="77777777" w:rsidR="00461361" w:rsidRDefault="00461361" w:rsidP="00C60406">
      <w:pPr>
        <w:pStyle w:val="NormalWeb"/>
        <w:spacing w:before="0" w:beforeAutospacing="0" w:after="0" w:afterAutospacing="0"/>
        <w:rPr>
          <w:rFonts w:ascii="Calibri" w:hAnsi="Calibri" w:cs="Calibri"/>
          <w:color w:val="FF0000"/>
          <w:sz w:val="22"/>
          <w:szCs w:val="22"/>
        </w:rPr>
      </w:pPr>
    </w:p>
    <w:p w14:paraId="5402E6AA" w14:textId="5ADCD4A1" w:rsidR="00F90E33" w:rsidRDefault="002E679F" w:rsidP="00C60406">
      <w:pPr>
        <w:pStyle w:val="NormalWeb"/>
        <w:spacing w:before="0" w:beforeAutospacing="0" w:after="0" w:afterAutospacing="0"/>
        <w:rPr>
          <w:rFonts w:ascii="Calibri" w:hAnsi="Calibri" w:cs="Calibri"/>
          <w:color w:val="FF0000"/>
          <w:sz w:val="22"/>
          <w:szCs w:val="22"/>
        </w:rPr>
      </w:pPr>
      <w:r w:rsidRPr="002E679F">
        <w:rPr>
          <w:rFonts w:ascii="Calibri" w:hAnsi="Calibri" w:cs="Calibri"/>
          <w:sz w:val="22"/>
          <w:szCs w:val="22"/>
        </w:rPr>
        <w:t xml:space="preserve">To provide further illustration of prompt </w:t>
      </w:r>
      <w:r w:rsidR="006E3E79">
        <w:rPr>
          <w:rFonts w:ascii="Calibri" w:hAnsi="Calibri" w:cs="Calibri"/>
          <w:sz w:val="22"/>
          <w:szCs w:val="22"/>
        </w:rPr>
        <w:t xml:space="preserve">safeguarding… </w:t>
      </w:r>
    </w:p>
    <w:p w14:paraId="3EF7EEAE" w14:textId="77777777" w:rsidR="002E679F" w:rsidRDefault="002E679F" w:rsidP="00C60406">
      <w:pPr>
        <w:pStyle w:val="NormalWeb"/>
        <w:spacing w:before="0" w:beforeAutospacing="0" w:after="0" w:afterAutospacing="0"/>
        <w:rPr>
          <w:rFonts w:ascii="Calibri" w:hAnsi="Calibri" w:cs="Calibri"/>
          <w:color w:val="FF0000"/>
          <w:sz w:val="22"/>
          <w:szCs w:val="22"/>
        </w:rPr>
      </w:pPr>
    </w:p>
    <w:p w14:paraId="4C59400D" w14:textId="530EC1C6" w:rsidR="002E679F" w:rsidRPr="002E679F" w:rsidRDefault="002E679F" w:rsidP="00C60406">
      <w:pPr>
        <w:pStyle w:val="NormalWeb"/>
        <w:spacing w:before="0" w:beforeAutospacing="0" w:after="0" w:afterAutospacing="0"/>
        <w:rPr>
          <w:rFonts w:ascii="Calibri" w:hAnsi="Calibri" w:cs="Calibri"/>
          <w:sz w:val="22"/>
          <w:szCs w:val="22"/>
        </w:rPr>
      </w:pPr>
      <w:r w:rsidRPr="002E679F">
        <w:rPr>
          <w:rFonts w:ascii="Calibri" w:hAnsi="Calibri" w:cs="Calibri"/>
          <w:sz w:val="22"/>
          <w:szCs w:val="22"/>
        </w:rPr>
        <w:t xml:space="preserve">In relation to continued safeguarding methods, these are often conducted by specialist departments within the police force and partner agencies. For example…. </w:t>
      </w:r>
    </w:p>
    <w:p w14:paraId="5D840E3B" w14:textId="77777777" w:rsidR="001E3CC6" w:rsidRDefault="001E3CC6" w:rsidP="00C60406">
      <w:pPr>
        <w:pStyle w:val="NormalWeb"/>
        <w:spacing w:before="0" w:beforeAutospacing="0" w:after="0" w:afterAutospacing="0"/>
        <w:rPr>
          <w:rFonts w:ascii="Calibri" w:hAnsi="Calibri" w:cs="Calibri"/>
          <w:sz w:val="22"/>
          <w:szCs w:val="22"/>
        </w:rPr>
      </w:pPr>
    </w:p>
    <w:p w14:paraId="7CA636A5" w14:textId="77777777" w:rsidR="00561877" w:rsidRDefault="00561877" w:rsidP="00C60406">
      <w:pPr>
        <w:pStyle w:val="NormalWeb"/>
        <w:spacing w:before="0" w:beforeAutospacing="0" w:after="0" w:afterAutospacing="0"/>
        <w:rPr>
          <w:rFonts w:ascii="Calibri" w:hAnsi="Calibri" w:cs="Calibri"/>
          <w:sz w:val="22"/>
          <w:szCs w:val="22"/>
        </w:rPr>
      </w:pPr>
    </w:p>
    <w:p w14:paraId="6B2C5E00" w14:textId="77777777" w:rsidR="0054285C" w:rsidRDefault="0054285C" w:rsidP="00CE6073">
      <w:pPr>
        <w:rPr>
          <w:b/>
          <w:bCs/>
          <w:u w:val="single"/>
        </w:rPr>
      </w:pPr>
    </w:p>
    <w:p w14:paraId="2E9AC4F2" w14:textId="50D65DC6" w:rsidR="00184298" w:rsidRPr="00F83362" w:rsidRDefault="00250758" w:rsidP="00F83362">
      <w:pPr>
        <w:rPr>
          <w:b/>
          <w:bCs/>
          <w:u w:val="single"/>
        </w:rPr>
      </w:pPr>
      <w:r>
        <w:rPr>
          <w:b/>
          <w:bCs/>
          <w:u w:val="single"/>
        </w:rPr>
        <w:t xml:space="preserve">2.5 </w:t>
      </w:r>
      <w:r w:rsidR="002F0A50">
        <w:rPr>
          <w:b/>
          <w:bCs/>
          <w:u w:val="single"/>
        </w:rPr>
        <w:t xml:space="preserve">Public protection and victim support: </w:t>
      </w:r>
      <w:r w:rsidR="002D1684">
        <w:rPr>
          <w:b/>
          <w:bCs/>
          <w:u w:val="single"/>
        </w:rPr>
        <w:t>Police training</w:t>
      </w:r>
      <w:r w:rsidR="0054036E">
        <w:rPr>
          <w:b/>
          <w:bCs/>
          <w:u w:val="single"/>
        </w:rPr>
        <w:t xml:space="preserve"> (</w:t>
      </w:r>
      <w:r w:rsidR="008D5DE6">
        <w:rPr>
          <w:b/>
          <w:bCs/>
          <w:u w:val="single"/>
        </w:rPr>
        <w:t>150</w:t>
      </w:r>
      <w:r w:rsidR="0054036E">
        <w:rPr>
          <w:b/>
          <w:bCs/>
          <w:u w:val="single"/>
        </w:rPr>
        <w:t>)</w:t>
      </w:r>
    </w:p>
    <w:p w14:paraId="059A0287" w14:textId="58F090C6" w:rsidR="00545B5B" w:rsidRDefault="00184298" w:rsidP="00F83362">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Initial recruitment and Police training in UK forces consists of a combination of academic learning and field training. </w:t>
      </w:r>
      <w:r w:rsidR="00F83362">
        <w:rPr>
          <w:rFonts w:ascii="Calibri" w:hAnsi="Calibri" w:cs="Calibri"/>
          <w:sz w:val="22"/>
          <w:szCs w:val="22"/>
        </w:rPr>
        <w:t xml:space="preserve">The length of training differs between forces but typically sits between 20-30 weeks </w:t>
      </w:r>
      <w:r w:rsidR="00F83362" w:rsidRPr="00F83362">
        <w:rPr>
          <w:rFonts w:ascii="Calibri" w:hAnsi="Calibri" w:cs="Calibri"/>
          <w:color w:val="FF0000"/>
          <w:sz w:val="22"/>
          <w:szCs w:val="22"/>
        </w:rPr>
        <w:t>(</w:t>
      </w:r>
      <w:proofErr w:type="spellStart"/>
      <w:r w:rsidR="00F83362" w:rsidRPr="00F83362">
        <w:rPr>
          <w:rFonts w:ascii="Calibri" w:hAnsi="Calibri" w:cs="Calibri"/>
          <w:color w:val="FF0000"/>
          <w:sz w:val="22"/>
          <w:szCs w:val="22"/>
        </w:rPr>
        <w:t>Belur</w:t>
      </w:r>
      <w:proofErr w:type="spellEnd"/>
      <w:r w:rsidR="00F83362" w:rsidRPr="00F83362">
        <w:rPr>
          <w:rFonts w:ascii="Calibri" w:hAnsi="Calibri" w:cs="Calibri"/>
          <w:color w:val="FF0000"/>
          <w:sz w:val="22"/>
          <w:szCs w:val="22"/>
        </w:rPr>
        <w:t xml:space="preserve"> et al., 2019).</w:t>
      </w:r>
      <w:r w:rsidR="00F83362">
        <w:t xml:space="preserve"> </w:t>
      </w:r>
      <w:r w:rsidR="00545B5B">
        <w:rPr>
          <w:rFonts w:ascii="Calibri" w:hAnsi="Calibri" w:cs="Calibri"/>
          <w:sz w:val="22"/>
          <w:szCs w:val="22"/>
        </w:rPr>
        <w:t xml:space="preserve">Initial Police training programmes typically still incorporate lessons on crime detection, prevention, </w:t>
      </w:r>
      <w:r w:rsidR="008D5DE6">
        <w:rPr>
          <w:rFonts w:ascii="Calibri" w:hAnsi="Calibri" w:cs="Calibri"/>
          <w:sz w:val="22"/>
          <w:szCs w:val="22"/>
        </w:rPr>
        <w:t xml:space="preserve">conflict resolution </w:t>
      </w:r>
      <w:r w:rsidR="00545B5B">
        <w:rPr>
          <w:rFonts w:ascii="Calibri" w:hAnsi="Calibri" w:cs="Calibri"/>
          <w:sz w:val="22"/>
          <w:szCs w:val="22"/>
        </w:rPr>
        <w:t xml:space="preserve">and case-file building. This leaves new officers entering the </w:t>
      </w:r>
      <w:proofErr w:type="gramStart"/>
      <w:r w:rsidR="00545B5B">
        <w:rPr>
          <w:rFonts w:ascii="Calibri" w:hAnsi="Calibri" w:cs="Calibri"/>
          <w:sz w:val="22"/>
          <w:szCs w:val="22"/>
        </w:rPr>
        <w:t>front line</w:t>
      </w:r>
      <w:proofErr w:type="gramEnd"/>
      <w:r w:rsidR="00545B5B">
        <w:rPr>
          <w:rFonts w:ascii="Calibri" w:hAnsi="Calibri" w:cs="Calibri"/>
          <w:sz w:val="22"/>
          <w:szCs w:val="22"/>
        </w:rPr>
        <w:t xml:space="preserve"> role with minimal training or knowledge on victim support and public protection </w:t>
      </w:r>
      <w:r w:rsidR="00545B5B" w:rsidRPr="00545B5B">
        <w:rPr>
          <w:rFonts w:ascii="Calibri" w:hAnsi="Calibri" w:cs="Calibri"/>
          <w:color w:val="FF0000"/>
          <w:sz w:val="22"/>
          <w:szCs w:val="22"/>
        </w:rPr>
        <w:t>(Charman, 2018).</w:t>
      </w:r>
      <w:r w:rsidR="00545B5B">
        <w:rPr>
          <w:rFonts w:ascii="Calibri" w:hAnsi="Calibri" w:cs="Calibri"/>
          <w:sz w:val="22"/>
          <w:szCs w:val="22"/>
        </w:rPr>
        <w:t xml:space="preserve"> </w:t>
      </w:r>
      <w:r w:rsidR="00F83362">
        <w:rPr>
          <w:rFonts w:ascii="Calibri" w:hAnsi="Calibri" w:cs="Calibri"/>
          <w:sz w:val="22"/>
          <w:szCs w:val="22"/>
        </w:rPr>
        <w:t xml:space="preserve">According to </w:t>
      </w:r>
      <w:r w:rsidR="00F83362" w:rsidRPr="006E3E79">
        <w:rPr>
          <w:rFonts w:ascii="Calibri" w:hAnsi="Calibri" w:cs="Calibri"/>
          <w:color w:val="FF0000"/>
          <w:sz w:val="22"/>
          <w:szCs w:val="22"/>
        </w:rPr>
        <w:t>Sturrock and Holmes (2015)</w:t>
      </w:r>
      <w:r w:rsidR="00F83362">
        <w:rPr>
          <w:rFonts w:ascii="Calibri" w:hAnsi="Calibri" w:cs="Calibri"/>
          <w:sz w:val="22"/>
          <w:szCs w:val="22"/>
        </w:rPr>
        <w:t xml:space="preserve"> there is a clear necessity for all professionals to be well trained to effectively understand the needs of vulnerable persons affected by county lines and gang culture.</w:t>
      </w:r>
      <w:r w:rsidR="00766CAA">
        <w:rPr>
          <w:rFonts w:ascii="Calibri" w:hAnsi="Calibri" w:cs="Calibri"/>
          <w:sz w:val="22"/>
          <w:szCs w:val="22"/>
        </w:rPr>
        <w:t xml:space="preserve"> There is limited information available on Police training </w:t>
      </w:r>
      <w:r w:rsidR="00766CAA">
        <w:rPr>
          <w:rFonts w:ascii="Calibri" w:hAnsi="Calibri" w:cs="Calibri"/>
          <w:sz w:val="22"/>
          <w:szCs w:val="22"/>
        </w:rPr>
        <w:lastRenderedPageBreak/>
        <w:t>specifically in relation t</w:t>
      </w:r>
      <w:r w:rsidR="00545B5B">
        <w:rPr>
          <w:rFonts w:ascii="Calibri" w:hAnsi="Calibri" w:cs="Calibri"/>
          <w:sz w:val="22"/>
          <w:szCs w:val="22"/>
        </w:rPr>
        <w:t xml:space="preserve">o victim support and public protection. This suggests there is either a gap in research or an overall oversight of this specific area. </w:t>
      </w:r>
    </w:p>
    <w:p w14:paraId="6C66B712" w14:textId="77777777" w:rsidR="00E37853" w:rsidRDefault="00E37853" w:rsidP="00CE6073"/>
    <w:p w14:paraId="3FA7BCBC" w14:textId="77777777" w:rsidR="00E37853" w:rsidRPr="00E37853" w:rsidRDefault="00E37853" w:rsidP="00CE6073"/>
    <w:p w14:paraId="6A04613F" w14:textId="40355451" w:rsidR="00CC79B1" w:rsidRDefault="00CC79B1" w:rsidP="00CC79B1">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Risk and vulnerability assessment </w:t>
      </w:r>
    </w:p>
    <w:p w14:paraId="6E1153DE" w14:textId="77777777" w:rsidR="00CC79B1" w:rsidRDefault="00CC79B1" w:rsidP="00CC79B1">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Trauma informed </w:t>
      </w:r>
    </w:p>
    <w:p w14:paraId="474D0535" w14:textId="77777777" w:rsidR="00CC79B1" w:rsidRDefault="00CC79B1" w:rsidP="00CE6073">
      <w:pPr>
        <w:rPr>
          <w:b/>
          <w:bCs/>
          <w:u w:val="single"/>
        </w:rPr>
      </w:pPr>
    </w:p>
    <w:p w14:paraId="6B34F051" w14:textId="77777777" w:rsidR="0054036E" w:rsidRDefault="0054036E" w:rsidP="00CE6073">
      <w:pPr>
        <w:rPr>
          <w:b/>
          <w:bCs/>
          <w:u w:val="single"/>
        </w:rPr>
      </w:pPr>
    </w:p>
    <w:p w14:paraId="7554C09E" w14:textId="7A35407B" w:rsidR="008913E9" w:rsidRDefault="00250758" w:rsidP="00CE6073">
      <w:pPr>
        <w:rPr>
          <w:b/>
          <w:bCs/>
          <w:u w:val="single"/>
        </w:rPr>
      </w:pPr>
      <w:r>
        <w:rPr>
          <w:b/>
          <w:bCs/>
          <w:u w:val="single"/>
        </w:rPr>
        <w:t>2.6</w:t>
      </w:r>
      <w:r w:rsidR="00A12346">
        <w:rPr>
          <w:b/>
          <w:bCs/>
          <w:u w:val="single"/>
        </w:rPr>
        <w:t xml:space="preserve"> </w:t>
      </w:r>
      <w:r w:rsidR="0054036E">
        <w:rPr>
          <w:b/>
          <w:bCs/>
          <w:u w:val="single"/>
        </w:rPr>
        <w:t xml:space="preserve">Police </w:t>
      </w:r>
      <w:r w:rsidR="00A12346">
        <w:rPr>
          <w:b/>
          <w:bCs/>
          <w:u w:val="single"/>
        </w:rPr>
        <w:t>perceptions</w:t>
      </w:r>
      <w:r w:rsidR="002F0A50">
        <w:rPr>
          <w:b/>
          <w:bCs/>
          <w:u w:val="single"/>
        </w:rPr>
        <w:t>: Victim identification and support</w:t>
      </w:r>
      <w:r w:rsidR="0054036E">
        <w:rPr>
          <w:b/>
          <w:bCs/>
          <w:u w:val="single"/>
        </w:rPr>
        <w:t xml:space="preserve"> </w:t>
      </w:r>
      <w:r w:rsidR="002F0A50">
        <w:rPr>
          <w:b/>
          <w:bCs/>
          <w:u w:val="single"/>
        </w:rPr>
        <w:t xml:space="preserve">training </w:t>
      </w:r>
      <w:r w:rsidR="0054036E">
        <w:rPr>
          <w:b/>
          <w:bCs/>
          <w:u w:val="single"/>
        </w:rPr>
        <w:t>(</w:t>
      </w:r>
      <w:r w:rsidR="008913E9">
        <w:rPr>
          <w:b/>
          <w:bCs/>
          <w:u w:val="single"/>
        </w:rPr>
        <w:t>20</w:t>
      </w:r>
      <w:r w:rsidR="0054036E">
        <w:rPr>
          <w:b/>
          <w:bCs/>
          <w:u w:val="single"/>
        </w:rPr>
        <w:t>0)</w:t>
      </w:r>
    </w:p>
    <w:p w14:paraId="5AB47B96" w14:textId="19FB5299" w:rsidR="008913E9" w:rsidRPr="008913E9" w:rsidRDefault="008913E9" w:rsidP="00CE6073">
      <w:r>
        <w:t xml:space="preserve">There has been a dramatic change in the Policing role whereby it has become vaster and more diverse due to budget cuts throughout other areas of the public sector. Officers note that, whereas historically the policing role was to ‘fight’ crime, it is now also geared towards safeguarding and vulnerability </w:t>
      </w:r>
      <w:r w:rsidRPr="008913E9">
        <w:rPr>
          <w:color w:val="FF0000"/>
        </w:rPr>
        <w:t xml:space="preserve">(Charman, 2018). </w:t>
      </w:r>
    </w:p>
    <w:p w14:paraId="75FD09F1" w14:textId="02F79D14" w:rsidR="00E35F89" w:rsidRPr="00314C48" w:rsidRDefault="00042C90" w:rsidP="00CE6073">
      <w:pPr>
        <w:rPr>
          <w:rFonts w:ascii="Calibri" w:hAnsi="Calibri" w:cs="Calibri"/>
          <w:color w:val="FA0000"/>
        </w:rPr>
      </w:pPr>
      <w:r w:rsidRPr="00E35F89">
        <w:rPr>
          <w:rFonts w:ascii="Calibri" w:hAnsi="Calibri" w:cs="Calibri"/>
        </w:rPr>
        <w:t>The police believe that such an issue requires collaborative working with partner agencies and other forces, not only to identify offenders, but to sufficiently support direct and indirect victims in the appropriate way</w:t>
      </w:r>
      <w:r w:rsidRPr="00E35F89">
        <w:rPr>
          <w:rFonts w:ascii="Calibri" w:hAnsi="Calibri" w:cs="Calibri"/>
          <w:color w:val="FA0000"/>
        </w:rPr>
        <w:t xml:space="preserve"> (Spicer, 2019). </w:t>
      </w:r>
      <w:r w:rsidR="00E35F89">
        <w:rPr>
          <w:rFonts w:ascii="Calibri" w:hAnsi="Calibri" w:cs="Calibri"/>
        </w:rPr>
        <w:t xml:space="preserve">Following on from this, it has been noted that </w:t>
      </w:r>
      <w:r w:rsidR="00314C48">
        <w:rPr>
          <w:rFonts w:ascii="Calibri" w:hAnsi="Calibri" w:cs="Calibri"/>
        </w:rPr>
        <w:t xml:space="preserve">the police have raised concerns that </w:t>
      </w:r>
      <w:r w:rsidR="00E35F89">
        <w:rPr>
          <w:rFonts w:ascii="Calibri" w:hAnsi="Calibri" w:cs="Calibri"/>
        </w:rPr>
        <w:t>there is a lack of consistency and understanding by partner agencies</w:t>
      </w:r>
      <w:r w:rsidR="00FC690A">
        <w:rPr>
          <w:rFonts w:ascii="Calibri" w:hAnsi="Calibri" w:cs="Calibri"/>
        </w:rPr>
        <w:t xml:space="preserve"> such as social services</w:t>
      </w:r>
      <w:r w:rsidR="00E35F89">
        <w:rPr>
          <w:rFonts w:ascii="Calibri" w:hAnsi="Calibri" w:cs="Calibri"/>
        </w:rPr>
        <w:t xml:space="preserve"> in relation to CCE and County Lines targeting</w:t>
      </w:r>
      <w:r w:rsidR="00FC690A">
        <w:rPr>
          <w:rFonts w:ascii="Calibri" w:hAnsi="Calibri" w:cs="Calibri"/>
        </w:rPr>
        <w:t>. This</w:t>
      </w:r>
      <w:r w:rsidR="00E35F89">
        <w:rPr>
          <w:rFonts w:ascii="Calibri" w:hAnsi="Calibri" w:cs="Calibri"/>
        </w:rPr>
        <w:t xml:space="preserve"> result</w:t>
      </w:r>
      <w:r w:rsidR="00FC690A">
        <w:rPr>
          <w:rFonts w:ascii="Calibri" w:hAnsi="Calibri" w:cs="Calibri"/>
        </w:rPr>
        <w:t>s</w:t>
      </w:r>
      <w:r w:rsidR="00E35F89">
        <w:rPr>
          <w:rFonts w:ascii="Calibri" w:hAnsi="Calibri" w:cs="Calibri"/>
        </w:rPr>
        <w:t xml:space="preserve"> in poor safeguarding following initial police contact</w:t>
      </w:r>
      <w:r w:rsidR="00314C48">
        <w:rPr>
          <w:rFonts w:ascii="Calibri" w:hAnsi="Calibri" w:cs="Calibri"/>
        </w:rPr>
        <w:t xml:space="preserve"> (</w:t>
      </w:r>
      <w:r w:rsidR="00314C48" w:rsidRPr="00E35F89">
        <w:rPr>
          <w:color w:val="FF0000"/>
        </w:rPr>
        <w:t>Shaw and Greenhow</w:t>
      </w:r>
      <w:r w:rsidR="00314C48">
        <w:rPr>
          <w:color w:val="FF0000"/>
        </w:rPr>
        <w:t xml:space="preserve">, </w:t>
      </w:r>
      <w:r w:rsidR="00314C48" w:rsidRPr="00E35F89">
        <w:rPr>
          <w:color w:val="FF0000"/>
        </w:rPr>
        <w:t>2019)</w:t>
      </w:r>
      <w:r w:rsidR="00314C48">
        <w:rPr>
          <w:color w:val="FF0000"/>
        </w:rPr>
        <w:t>.</w:t>
      </w:r>
      <w:r w:rsidR="00FC690A">
        <w:rPr>
          <w:rFonts w:ascii="Calibri" w:hAnsi="Calibri" w:cs="Calibri"/>
        </w:rPr>
        <w:t xml:space="preserve"> In support of this, </w:t>
      </w:r>
      <w:r w:rsidR="00FC690A" w:rsidRPr="00FC690A">
        <w:rPr>
          <w:color w:val="FF0000"/>
        </w:rPr>
        <w:t xml:space="preserve">Olver and </w:t>
      </w:r>
      <w:proofErr w:type="spellStart"/>
      <w:r w:rsidR="00FC690A" w:rsidRPr="00FC690A">
        <w:rPr>
          <w:color w:val="FF0000"/>
        </w:rPr>
        <w:t>Cockbain</w:t>
      </w:r>
      <w:proofErr w:type="spellEnd"/>
      <w:r w:rsidR="00FC690A" w:rsidRPr="00FC690A">
        <w:rPr>
          <w:color w:val="FF0000"/>
        </w:rPr>
        <w:t xml:space="preserve"> (2021</w:t>
      </w:r>
      <w:r w:rsidR="00FC690A">
        <w:t xml:space="preserve">) </w:t>
      </w:r>
      <w:r w:rsidR="00FC690A">
        <w:rPr>
          <w:rFonts w:ascii="Calibri" w:hAnsi="Calibri" w:cs="Calibri"/>
        </w:rPr>
        <w:t xml:space="preserve">notes that there are challenges and barriers in relation to insufficient understanding and disorganised information-sharing between agencies. </w:t>
      </w:r>
    </w:p>
    <w:p w14:paraId="3ABAFA6D" w14:textId="32260110" w:rsidR="006C1185" w:rsidRPr="00E20F1E" w:rsidRDefault="00E35F89" w:rsidP="00CE6073">
      <w:pPr>
        <w:rPr>
          <w:rFonts w:ascii="Calibri" w:hAnsi="Calibri" w:cs="Calibri"/>
        </w:rPr>
      </w:pPr>
      <w:r>
        <w:rPr>
          <w:rFonts w:ascii="Calibri" w:hAnsi="Calibri" w:cs="Calibri"/>
        </w:rPr>
        <w:t xml:space="preserve">In addition, </w:t>
      </w:r>
      <w:proofErr w:type="gramStart"/>
      <w:r w:rsidRPr="00E35F89">
        <w:rPr>
          <w:color w:val="FF0000"/>
        </w:rPr>
        <w:t>Shaw</w:t>
      </w:r>
      <w:proofErr w:type="gramEnd"/>
      <w:r w:rsidRPr="00E35F89">
        <w:rPr>
          <w:color w:val="FF0000"/>
        </w:rPr>
        <w:t xml:space="preserve"> and Greenhow</w:t>
      </w:r>
      <w:r>
        <w:rPr>
          <w:color w:val="FF0000"/>
        </w:rPr>
        <w:t xml:space="preserve"> (</w:t>
      </w:r>
      <w:r w:rsidRPr="00E35F89">
        <w:rPr>
          <w:color w:val="FF0000"/>
        </w:rPr>
        <w:t xml:space="preserve">2019) </w:t>
      </w:r>
      <w:r>
        <w:rPr>
          <w:rFonts w:ascii="Calibri" w:hAnsi="Calibri" w:cs="Calibri"/>
        </w:rPr>
        <w:t xml:space="preserve">suggests that Police officers have had minimal, if not zero training inputs in relation to identification and support of County Lines victims. Therefor, the knowledge officers do have is through their own research and experience. This suggests that there is an overall lack of knowledge across practitioners, by no fault of their own. </w:t>
      </w:r>
    </w:p>
    <w:p w14:paraId="36037E43" w14:textId="77777777" w:rsidR="004F6D68" w:rsidRDefault="004F6D68" w:rsidP="00CE6073">
      <w:pPr>
        <w:rPr>
          <w:b/>
          <w:bCs/>
          <w:u w:val="single"/>
        </w:rPr>
      </w:pPr>
    </w:p>
    <w:p w14:paraId="6AC383D9" w14:textId="62C8257B" w:rsidR="00CE6073" w:rsidRDefault="00250758" w:rsidP="00CE6073">
      <w:pPr>
        <w:rPr>
          <w:b/>
          <w:bCs/>
          <w:u w:val="single"/>
        </w:rPr>
      </w:pPr>
      <w:r>
        <w:rPr>
          <w:b/>
          <w:bCs/>
          <w:u w:val="single"/>
        </w:rPr>
        <w:t>2.7 Conclusion (</w:t>
      </w:r>
      <w:r w:rsidR="00B84878">
        <w:rPr>
          <w:b/>
          <w:bCs/>
          <w:u w:val="single"/>
        </w:rPr>
        <w:t>30</w:t>
      </w:r>
      <w:r>
        <w:rPr>
          <w:b/>
          <w:bCs/>
          <w:u w:val="single"/>
        </w:rPr>
        <w:t>0)</w:t>
      </w:r>
    </w:p>
    <w:p w14:paraId="1A957B48" w14:textId="77777777" w:rsidR="00260AB3" w:rsidRDefault="00260AB3" w:rsidP="00CC79B1">
      <w:pPr>
        <w:pStyle w:val="NormalWeb"/>
        <w:spacing w:before="0" w:beforeAutospacing="0" w:after="0" w:afterAutospacing="0"/>
        <w:rPr>
          <w:rFonts w:ascii="Calibri" w:hAnsi="Calibri" w:cs="Calibri"/>
          <w:sz w:val="22"/>
          <w:szCs w:val="22"/>
        </w:rPr>
      </w:pPr>
    </w:p>
    <w:p w14:paraId="6BA50ABE" w14:textId="77A4E9E2" w:rsidR="00F27DD2" w:rsidRDefault="00F27DD2" w:rsidP="00260AB3">
      <w:pPr>
        <w:pStyle w:val="NormalWeb"/>
        <w:spacing w:before="0" w:beforeAutospacing="0" w:after="0" w:afterAutospacing="0"/>
        <w:rPr>
          <w:rFonts w:ascii="Calibri" w:hAnsi="Calibri" w:cs="Calibri"/>
          <w:sz w:val="22"/>
          <w:szCs w:val="22"/>
        </w:rPr>
      </w:pPr>
      <w:r>
        <w:rPr>
          <w:rFonts w:ascii="Calibri" w:hAnsi="Calibri" w:cs="Calibri"/>
          <w:sz w:val="22"/>
          <w:szCs w:val="22"/>
        </w:rPr>
        <w:t>In conclusion, t</w:t>
      </w:r>
      <w:r w:rsidR="00260AB3" w:rsidRPr="00575A7B">
        <w:rPr>
          <w:rFonts w:ascii="Calibri" w:hAnsi="Calibri" w:cs="Calibri"/>
          <w:sz w:val="22"/>
          <w:szCs w:val="22"/>
        </w:rPr>
        <w:t xml:space="preserve">he police face a multifaceted challenge with the complexities county lines activity presents. </w:t>
      </w:r>
      <w:r>
        <w:rPr>
          <w:rFonts w:ascii="Calibri" w:hAnsi="Calibri" w:cs="Calibri"/>
          <w:sz w:val="22"/>
          <w:szCs w:val="22"/>
        </w:rPr>
        <w:t>The county lines model has evolved significantly whereby it has taken over the ‘traditional’ drug supply market. The model sees several vulnerable persons affiliated in gang and drug supply activity, where they are at significant risk of being subject to violence and criminalisation. Due to the ever-changing model the policing approach has had to develop to encompass a victim centric approach</w:t>
      </w:r>
      <w:r w:rsidR="00461361">
        <w:rPr>
          <w:rFonts w:ascii="Calibri" w:hAnsi="Calibri" w:cs="Calibri"/>
          <w:sz w:val="22"/>
          <w:szCs w:val="22"/>
        </w:rPr>
        <w:t>. Police recognise the importance of understanding those affected by County Lines</w:t>
      </w:r>
      <w:r>
        <w:rPr>
          <w:rFonts w:ascii="Calibri" w:hAnsi="Calibri" w:cs="Calibri"/>
          <w:sz w:val="22"/>
          <w:szCs w:val="22"/>
        </w:rPr>
        <w:t>. The overall aim is to not only apprehend criminals but to identify and s</w:t>
      </w:r>
      <w:r w:rsidR="00461361">
        <w:rPr>
          <w:rFonts w:ascii="Calibri" w:hAnsi="Calibri" w:cs="Calibri"/>
          <w:sz w:val="22"/>
          <w:szCs w:val="22"/>
        </w:rPr>
        <w:t>ufficiently s</w:t>
      </w:r>
      <w:r>
        <w:rPr>
          <w:rFonts w:ascii="Calibri" w:hAnsi="Calibri" w:cs="Calibri"/>
          <w:sz w:val="22"/>
          <w:szCs w:val="22"/>
        </w:rPr>
        <w:t xml:space="preserve">upport victims.  There is difficulty in identifying what vulnerable participants are involved ‘willingly’ and ‘unwillingly’. The nature of the model and the intricate factors of vulnerability present Police and partner agencies with several safeguarding challenges. </w:t>
      </w:r>
    </w:p>
    <w:p w14:paraId="48FB64E4" w14:textId="77777777" w:rsidR="0040493C" w:rsidRDefault="0040493C" w:rsidP="00260AB3">
      <w:pPr>
        <w:pStyle w:val="NormalWeb"/>
        <w:spacing w:before="0" w:beforeAutospacing="0" w:after="0" w:afterAutospacing="0"/>
        <w:rPr>
          <w:rFonts w:ascii="Calibri" w:hAnsi="Calibri" w:cs="Calibri"/>
          <w:sz w:val="22"/>
          <w:szCs w:val="22"/>
        </w:rPr>
      </w:pPr>
    </w:p>
    <w:p w14:paraId="67CA985B" w14:textId="15FFE0A2" w:rsidR="007E2014" w:rsidRDefault="0040493C">
      <w:r>
        <w:t>There is an array of literature with regards to the police response to county lines and victim support. Following further research into the specific areas of identification and safeguarding, it has been recognised there are several barriers. These barriers include poor knowledge and dis-jointed information sharing that ultimately leads to po</w:t>
      </w:r>
      <w:r w:rsidR="00B82057">
        <w:t>o</w:t>
      </w:r>
      <w:r>
        <w:t xml:space="preserve">r support of victims after initial contact. </w:t>
      </w:r>
    </w:p>
    <w:p w14:paraId="65545BB3" w14:textId="511D76B9" w:rsidR="0040493C" w:rsidRDefault="0040493C">
      <w:r>
        <w:lastRenderedPageBreak/>
        <w:t>Whereas Police receive intensive training before initial appointment into the role, there does not appear to be a large amount of information into the continuation of training. Aswell as this there is little information with regards to police training specifically in relation to public protection and county lines. It has been noted that Police feel they are not equipped with the knowledge to deal with such victims. However, the information is vague, undetailed and has</w:t>
      </w:r>
      <w:r w:rsidR="001C5972">
        <w:t xml:space="preserve"> notable</w:t>
      </w:r>
      <w:r>
        <w:t xml:space="preserve"> limitations. </w:t>
      </w:r>
    </w:p>
    <w:p w14:paraId="0A700426" w14:textId="647CC9DD" w:rsidR="0040493C" w:rsidRPr="0040493C" w:rsidRDefault="0040493C">
      <w:r>
        <w:t>There is a clear gap in information around Police perceptions of their response and training provided. This study will aim to address this gap and pose t</w:t>
      </w:r>
      <w:r w:rsidR="00361C21">
        <w:t>he very</w:t>
      </w:r>
      <w:r>
        <w:t xml:space="preserve"> important question</w:t>
      </w:r>
      <w:r w:rsidR="00361C21">
        <w:t>;</w:t>
      </w:r>
      <w:r>
        <w:t xml:space="preserve"> Do Police officers feel they are equipped to identify and support victims of County Lines? </w:t>
      </w:r>
    </w:p>
    <w:p w14:paraId="7164621E" w14:textId="77777777" w:rsidR="00A42707" w:rsidRDefault="00A42707">
      <w:pPr>
        <w:rPr>
          <w:b/>
          <w:bCs/>
          <w:u w:val="single"/>
        </w:rPr>
      </w:pPr>
    </w:p>
    <w:p w14:paraId="4BC14892" w14:textId="77777777" w:rsidR="00A42707" w:rsidRDefault="00A42707">
      <w:pPr>
        <w:rPr>
          <w:b/>
          <w:bCs/>
          <w:u w:val="single"/>
        </w:rPr>
      </w:pPr>
    </w:p>
    <w:p w14:paraId="5DA06A40" w14:textId="77777777" w:rsidR="0052060B" w:rsidRPr="0052060B" w:rsidRDefault="0052060B" w:rsidP="0052060B">
      <w:pPr>
        <w:spacing w:after="240" w:line="360" w:lineRule="auto"/>
        <w:outlineLvl w:val="0"/>
        <w:rPr>
          <w:rFonts w:ascii="Times New Roman" w:eastAsia="Times New Roman" w:hAnsi="Times New Roman" w:cs="Times New Roman"/>
          <w:b/>
          <w:bCs/>
          <w:kern w:val="36"/>
          <w:sz w:val="36"/>
          <w:szCs w:val="36"/>
          <w:lang w:eastAsia="en-GB"/>
          <w14:ligatures w14:val="none"/>
        </w:rPr>
      </w:pPr>
      <w:r w:rsidRPr="0052060B">
        <w:rPr>
          <w:rFonts w:ascii="Times New Roman" w:eastAsia="Times New Roman" w:hAnsi="Times New Roman" w:cs="Times New Roman"/>
          <w:b/>
          <w:bCs/>
          <w:kern w:val="36"/>
          <w:sz w:val="36"/>
          <w:szCs w:val="36"/>
          <w:lang w:eastAsia="en-GB"/>
          <w14:ligatures w14:val="none"/>
        </w:rPr>
        <w:t>Reference list</w:t>
      </w:r>
    </w:p>
    <w:p w14:paraId="6E18FCAD"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proofErr w:type="spellStart"/>
      <w:r w:rsidRPr="0052060B">
        <w:rPr>
          <w:rFonts w:ascii="Times New Roman" w:eastAsia="Times New Roman" w:hAnsi="Times New Roman" w:cs="Times New Roman"/>
          <w:kern w:val="0"/>
          <w:sz w:val="24"/>
          <w:szCs w:val="24"/>
          <w:lang w:eastAsia="en-GB"/>
          <w14:ligatures w14:val="none"/>
        </w:rPr>
        <w:t>Belur</w:t>
      </w:r>
      <w:proofErr w:type="spellEnd"/>
      <w:r w:rsidRPr="0052060B">
        <w:rPr>
          <w:rFonts w:ascii="Times New Roman" w:eastAsia="Times New Roman" w:hAnsi="Times New Roman" w:cs="Times New Roman"/>
          <w:kern w:val="0"/>
          <w:sz w:val="24"/>
          <w:szCs w:val="24"/>
          <w:lang w:eastAsia="en-GB"/>
          <w14:ligatures w14:val="none"/>
        </w:rPr>
        <w:t xml:space="preserve">, J., Agnew-Pauley, W., McGinley, B. and Tompson, L. (2019). A Systematic Review of Police Recruit Training Programmes. </w:t>
      </w:r>
      <w:r w:rsidRPr="0052060B">
        <w:rPr>
          <w:rFonts w:ascii="Times New Roman" w:eastAsia="Times New Roman" w:hAnsi="Times New Roman" w:cs="Times New Roman"/>
          <w:i/>
          <w:iCs/>
          <w:kern w:val="0"/>
          <w:sz w:val="24"/>
          <w:szCs w:val="24"/>
          <w:lang w:eastAsia="en-GB"/>
          <w14:ligatures w14:val="none"/>
        </w:rPr>
        <w:t xml:space="preserve">Policing: </w:t>
      </w:r>
      <w:proofErr w:type="gramStart"/>
      <w:r w:rsidRPr="0052060B">
        <w:rPr>
          <w:rFonts w:ascii="Times New Roman" w:eastAsia="Times New Roman" w:hAnsi="Times New Roman" w:cs="Times New Roman"/>
          <w:i/>
          <w:iCs/>
          <w:kern w:val="0"/>
          <w:sz w:val="24"/>
          <w:szCs w:val="24"/>
          <w:lang w:eastAsia="en-GB"/>
          <w14:ligatures w14:val="none"/>
        </w:rPr>
        <w:t>a</w:t>
      </w:r>
      <w:proofErr w:type="gramEnd"/>
      <w:r w:rsidRPr="0052060B">
        <w:rPr>
          <w:rFonts w:ascii="Times New Roman" w:eastAsia="Times New Roman" w:hAnsi="Times New Roman" w:cs="Times New Roman"/>
          <w:i/>
          <w:iCs/>
          <w:kern w:val="0"/>
          <w:sz w:val="24"/>
          <w:szCs w:val="24"/>
          <w:lang w:eastAsia="en-GB"/>
          <w14:ligatures w14:val="none"/>
        </w:rPr>
        <w:t xml:space="preserve"> Journal of Policy and Practice</w:t>
      </w:r>
      <w:r w:rsidRPr="0052060B">
        <w:rPr>
          <w:rFonts w:ascii="Times New Roman" w:eastAsia="Times New Roman" w:hAnsi="Times New Roman" w:cs="Times New Roman"/>
          <w:kern w:val="0"/>
          <w:sz w:val="24"/>
          <w:szCs w:val="24"/>
          <w:lang w:eastAsia="en-GB"/>
          <w14:ligatures w14:val="none"/>
        </w:rPr>
        <w:t xml:space="preserve">, [online] 14(1). </w:t>
      </w:r>
      <w:proofErr w:type="spellStart"/>
      <w:proofErr w:type="gramStart"/>
      <w:r w:rsidRPr="0052060B">
        <w:rPr>
          <w:rFonts w:ascii="Times New Roman" w:eastAsia="Times New Roman" w:hAnsi="Times New Roman" w:cs="Times New Roman"/>
          <w:kern w:val="0"/>
          <w:sz w:val="24"/>
          <w:szCs w:val="24"/>
          <w:lang w:eastAsia="en-GB"/>
          <w14:ligatures w14:val="none"/>
        </w:rPr>
        <w:t>doi:https</w:t>
      </w:r>
      <w:proofErr w:type="spellEnd"/>
      <w:r w:rsidRPr="0052060B">
        <w:rPr>
          <w:rFonts w:ascii="Times New Roman" w:eastAsia="Times New Roman" w:hAnsi="Times New Roman" w:cs="Times New Roman"/>
          <w:kern w:val="0"/>
          <w:sz w:val="24"/>
          <w:szCs w:val="24"/>
          <w:lang w:eastAsia="en-GB"/>
          <w14:ligatures w14:val="none"/>
        </w:rPr>
        <w:t>://doi.org/10.1093/police/paz022</w:t>
      </w:r>
      <w:proofErr w:type="gramEnd"/>
      <w:r w:rsidRPr="0052060B">
        <w:rPr>
          <w:rFonts w:ascii="Times New Roman" w:eastAsia="Times New Roman" w:hAnsi="Times New Roman" w:cs="Times New Roman"/>
          <w:kern w:val="0"/>
          <w:sz w:val="24"/>
          <w:szCs w:val="24"/>
          <w:lang w:eastAsia="en-GB"/>
          <w14:ligatures w14:val="none"/>
        </w:rPr>
        <w:t>.</w:t>
      </w:r>
    </w:p>
    <w:p w14:paraId="4FA27A79"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r w:rsidRPr="0052060B">
        <w:rPr>
          <w:rFonts w:ascii="Times New Roman" w:eastAsia="Times New Roman" w:hAnsi="Times New Roman" w:cs="Times New Roman"/>
          <w:kern w:val="0"/>
          <w:sz w:val="24"/>
          <w:szCs w:val="24"/>
          <w:lang w:eastAsia="en-GB"/>
          <w14:ligatures w14:val="none"/>
        </w:rPr>
        <w:t xml:space="preserve">Charman, S. (2018). </w:t>
      </w:r>
      <w:r w:rsidRPr="0052060B">
        <w:rPr>
          <w:rFonts w:ascii="Times New Roman" w:eastAsia="Times New Roman" w:hAnsi="Times New Roman" w:cs="Times New Roman"/>
          <w:i/>
          <w:iCs/>
          <w:kern w:val="0"/>
          <w:sz w:val="24"/>
          <w:szCs w:val="24"/>
          <w:lang w:eastAsia="en-GB"/>
          <w14:ligatures w14:val="none"/>
        </w:rPr>
        <w:t xml:space="preserve">From Crime Fighting to Public Protection: </w:t>
      </w:r>
      <w:proofErr w:type="gramStart"/>
      <w:r w:rsidRPr="0052060B">
        <w:rPr>
          <w:rFonts w:ascii="Times New Roman" w:eastAsia="Times New Roman" w:hAnsi="Times New Roman" w:cs="Times New Roman"/>
          <w:i/>
          <w:iCs/>
          <w:kern w:val="0"/>
          <w:sz w:val="24"/>
          <w:szCs w:val="24"/>
          <w:lang w:eastAsia="en-GB"/>
          <w14:ligatures w14:val="none"/>
        </w:rPr>
        <w:t>the</w:t>
      </w:r>
      <w:proofErr w:type="gramEnd"/>
      <w:r w:rsidRPr="0052060B">
        <w:rPr>
          <w:rFonts w:ascii="Times New Roman" w:eastAsia="Times New Roman" w:hAnsi="Times New Roman" w:cs="Times New Roman"/>
          <w:i/>
          <w:iCs/>
          <w:kern w:val="0"/>
          <w:sz w:val="24"/>
          <w:szCs w:val="24"/>
          <w:lang w:eastAsia="en-GB"/>
          <w14:ligatures w14:val="none"/>
        </w:rPr>
        <w:t xml:space="preserve"> Shaping of Police Officers Sense of Role</w:t>
      </w:r>
      <w:r w:rsidRPr="0052060B">
        <w:rPr>
          <w:rFonts w:ascii="Times New Roman" w:eastAsia="Times New Roman" w:hAnsi="Times New Roman" w:cs="Times New Roman"/>
          <w:kern w:val="0"/>
          <w:sz w:val="24"/>
          <w:szCs w:val="24"/>
          <w:lang w:eastAsia="en-GB"/>
          <w14:ligatures w14:val="none"/>
        </w:rPr>
        <w:t>. [online] Available at: https://cleph.com.au/application/files/7315/1633/8276/perspectives_on_policing_officers_sense_of_role-FINAL.pdf.</w:t>
      </w:r>
    </w:p>
    <w:p w14:paraId="27415717"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r w:rsidRPr="0052060B">
        <w:rPr>
          <w:rFonts w:ascii="Times New Roman" w:eastAsia="Times New Roman" w:hAnsi="Times New Roman" w:cs="Times New Roman"/>
          <w:kern w:val="0"/>
          <w:sz w:val="24"/>
          <w:szCs w:val="24"/>
          <w:lang w:eastAsia="en-GB"/>
          <w14:ligatures w14:val="none"/>
        </w:rPr>
        <w:t xml:space="preserve">Coomber, R. and Moyle, L. (2017). The Changing Shape of Street-Level Heroin and Crack Supply in England: Commuting, Holidaying and Cuckooing Drug Dealers across ‘County Lines’. </w:t>
      </w:r>
      <w:r w:rsidRPr="0052060B">
        <w:rPr>
          <w:rFonts w:ascii="Times New Roman" w:eastAsia="Times New Roman" w:hAnsi="Times New Roman" w:cs="Times New Roman"/>
          <w:i/>
          <w:iCs/>
          <w:kern w:val="0"/>
          <w:sz w:val="24"/>
          <w:szCs w:val="24"/>
          <w:lang w:eastAsia="en-GB"/>
          <w14:ligatures w14:val="none"/>
        </w:rPr>
        <w:t>The British Journal of Criminology</w:t>
      </w:r>
      <w:r w:rsidRPr="0052060B">
        <w:rPr>
          <w:rFonts w:ascii="Times New Roman" w:eastAsia="Times New Roman" w:hAnsi="Times New Roman" w:cs="Times New Roman"/>
          <w:kern w:val="0"/>
          <w:sz w:val="24"/>
          <w:szCs w:val="24"/>
          <w:lang w:eastAsia="en-GB"/>
          <w14:ligatures w14:val="none"/>
        </w:rPr>
        <w:t>, 58(6), pp.1323–1342.</w:t>
      </w:r>
    </w:p>
    <w:p w14:paraId="10B6CCBF"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proofErr w:type="spellStart"/>
      <w:r w:rsidRPr="0052060B">
        <w:rPr>
          <w:rFonts w:ascii="Times New Roman" w:eastAsia="Times New Roman" w:hAnsi="Times New Roman" w:cs="Times New Roman"/>
          <w:kern w:val="0"/>
          <w:sz w:val="24"/>
          <w:szCs w:val="24"/>
          <w:lang w:eastAsia="en-GB"/>
          <w14:ligatures w14:val="none"/>
        </w:rPr>
        <w:t>Espeute</w:t>
      </w:r>
      <w:proofErr w:type="spellEnd"/>
      <w:r w:rsidRPr="0052060B">
        <w:rPr>
          <w:rFonts w:ascii="Times New Roman" w:eastAsia="Times New Roman" w:hAnsi="Times New Roman" w:cs="Times New Roman"/>
          <w:kern w:val="0"/>
          <w:sz w:val="24"/>
          <w:szCs w:val="24"/>
          <w:lang w:eastAsia="en-GB"/>
          <w14:ligatures w14:val="none"/>
        </w:rPr>
        <w:t xml:space="preserve">, S. and </w:t>
      </w:r>
      <w:proofErr w:type="spellStart"/>
      <w:r w:rsidRPr="0052060B">
        <w:rPr>
          <w:rFonts w:ascii="Times New Roman" w:eastAsia="Times New Roman" w:hAnsi="Times New Roman" w:cs="Times New Roman"/>
          <w:kern w:val="0"/>
          <w:sz w:val="24"/>
          <w:szCs w:val="24"/>
          <w:lang w:eastAsia="en-GB"/>
          <w14:ligatures w14:val="none"/>
        </w:rPr>
        <w:t>Lanskey</w:t>
      </w:r>
      <w:proofErr w:type="spellEnd"/>
      <w:r w:rsidRPr="0052060B">
        <w:rPr>
          <w:rFonts w:ascii="Times New Roman" w:eastAsia="Times New Roman" w:hAnsi="Times New Roman" w:cs="Times New Roman"/>
          <w:kern w:val="0"/>
          <w:sz w:val="24"/>
          <w:szCs w:val="24"/>
          <w:lang w:eastAsia="en-GB"/>
          <w14:ligatures w14:val="none"/>
        </w:rPr>
        <w:t xml:space="preserve">, C. (2023). An Exploration of Police Discretion in the Identification of Child Victims of County Lines Drug Trafficking. </w:t>
      </w:r>
      <w:r w:rsidRPr="0052060B">
        <w:rPr>
          <w:rFonts w:ascii="Times New Roman" w:eastAsia="Times New Roman" w:hAnsi="Times New Roman" w:cs="Times New Roman"/>
          <w:i/>
          <w:iCs/>
          <w:kern w:val="0"/>
          <w:sz w:val="24"/>
          <w:szCs w:val="24"/>
          <w:lang w:eastAsia="en-GB"/>
          <w14:ligatures w14:val="none"/>
        </w:rPr>
        <w:t xml:space="preserve">Policing and </w:t>
      </w:r>
      <w:proofErr w:type="gramStart"/>
      <w:r w:rsidRPr="0052060B">
        <w:rPr>
          <w:rFonts w:ascii="Times New Roman" w:eastAsia="Times New Roman" w:hAnsi="Times New Roman" w:cs="Times New Roman"/>
          <w:i/>
          <w:iCs/>
          <w:kern w:val="0"/>
          <w:sz w:val="24"/>
          <w:szCs w:val="24"/>
          <w:lang w:eastAsia="en-GB"/>
          <w14:ligatures w14:val="none"/>
        </w:rPr>
        <w:t xml:space="preserve">Society </w:t>
      </w:r>
      <w:r w:rsidRPr="0052060B">
        <w:rPr>
          <w:rFonts w:ascii="Times New Roman" w:eastAsia="Times New Roman" w:hAnsi="Times New Roman" w:cs="Times New Roman"/>
          <w:kern w:val="0"/>
          <w:sz w:val="24"/>
          <w:szCs w:val="24"/>
          <w:lang w:eastAsia="en-GB"/>
          <w14:ligatures w14:val="none"/>
        </w:rPr>
        <w:t>,</w:t>
      </w:r>
      <w:proofErr w:type="gramEnd"/>
      <w:r w:rsidRPr="0052060B">
        <w:rPr>
          <w:rFonts w:ascii="Times New Roman" w:eastAsia="Times New Roman" w:hAnsi="Times New Roman" w:cs="Times New Roman"/>
          <w:kern w:val="0"/>
          <w:sz w:val="24"/>
          <w:szCs w:val="24"/>
          <w:lang w:eastAsia="en-GB"/>
          <w14:ligatures w14:val="none"/>
        </w:rPr>
        <w:t xml:space="preserve"> 33(9-10), pp.1–20. </w:t>
      </w:r>
      <w:proofErr w:type="spellStart"/>
      <w:proofErr w:type="gramStart"/>
      <w:r w:rsidRPr="0052060B">
        <w:rPr>
          <w:rFonts w:ascii="Times New Roman" w:eastAsia="Times New Roman" w:hAnsi="Times New Roman" w:cs="Times New Roman"/>
          <w:kern w:val="0"/>
          <w:sz w:val="24"/>
          <w:szCs w:val="24"/>
          <w:lang w:eastAsia="en-GB"/>
          <w14:ligatures w14:val="none"/>
        </w:rPr>
        <w:t>doi:https</w:t>
      </w:r>
      <w:proofErr w:type="spellEnd"/>
      <w:r w:rsidRPr="0052060B">
        <w:rPr>
          <w:rFonts w:ascii="Times New Roman" w:eastAsia="Times New Roman" w:hAnsi="Times New Roman" w:cs="Times New Roman"/>
          <w:kern w:val="0"/>
          <w:sz w:val="24"/>
          <w:szCs w:val="24"/>
          <w:lang w:eastAsia="en-GB"/>
          <w14:ligatures w14:val="none"/>
        </w:rPr>
        <w:t>://doi.org/10.1080/10439463.2023.2223341</w:t>
      </w:r>
      <w:proofErr w:type="gramEnd"/>
      <w:r w:rsidRPr="0052060B">
        <w:rPr>
          <w:rFonts w:ascii="Times New Roman" w:eastAsia="Times New Roman" w:hAnsi="Times New Roman" w:cs="Times New Roman"/>
          <w:kern w:val="0"/>
          <w:sz w:val="24"/>
          <w:szCs w:val="24"/>
          <w:lang w:eastAsia="en-GB"/>
          <w14:ligatures w14:val="none"/>
        </w:rPr>
        <w:t>.</w:t>
      </w:r>
    </w:p>
    <w:p w14:paraId="4FD9887D"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r w:rsidRPr="0052060B">
        <w:rPr>
          <w:rFonts w:ascii="Times New Roman" w:eastAsia="Times New Roman" w:hAnsi="Times New Roman" w:cs="Times New Roman"/>
          <w:kern w:val="0"/>
          <w:sz w:val="24"/>
          <w:szCs w:val="24"/>
          <w:lang w:eastAsia="en-GB"/>
          <w14:ligatures w14:val="none"/>
        </w:rPr>
        <w:t xml:space="preserve">HMIC (2022). </w:t>
      </w:r>
      <w:r w:rsidRPr="0052060B">
        <w:rPr>
          <w:rFonts w:ascii="Times New Roman" w:eastAsia="Times New Roman" w:hAnsi="Times New Roman" w:cs="Times New Roman"/>
          <w:i/>
          <w:iCs/>
          <w:kern w:val="0"/>
          <w:sz w:val="24"/>
          <w:szCs w:val="24"/>
          <w:lang w:eastAsia="en-GB"/>
          <w14:ligatures w14:val="none"/>
        </w:rPr>
        <w:t>The Police and National Crime Agency’s Response to Vulnerable People in ‘county Lines’ Drug Offending</w:t>
      </w:r>
      <w:r w:rsidRPr="0052060B">
        <w:rPr>
          <w:rFonts w:ascii="Times New Roman" w:eastAsia="Times New Roman" w:hAnsi="Times New Roman" w:cs="Times New Roman"/>
          <w:kern w:val="0"/>
          <w:sz w:val="24"/>
          <w:szCs w:val="24"/>
          <w:lang w:eastAsia="en-GB"/>
          <w14:ligatures w14:val="none"/>
        </w:rPr>
        <w:t>. [online] His Majesty’s Inspectorate of Constabulary and Fire &amp; Rescue Services. Available at: https://hmicfrs.justiceinspectorates.gov.uk/publication-html/both-sides-of-the-coin-county-lines/.</w:t>
      </w:r>
    </w:p>
    <w:p w14:paraId="6755F9BA"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r w:rsidRPr="0052060B">
        <w:rPr>
          <w:rFonts w:ascii="Times New Roman" w:eastAsia="Times New Roman" w:hAnsi="Times New Roman" w:cs="Times New Roman"/>
          <w:kern w:val="0"/>
          <w:sz w:val="24"/>
          <w:szCs w:val="24"/>
          <w:lang w:eastAsia="en-GB"/>
          <w14:ligatures w14:val="none"/>
        </w:rPr>
        <w:t xml:space="preserve">Home Office (2018). </w:t>
      </w:r>
      <w:r w:rsidRPr="0052060B">
        <w:rPr>
          <w:rFonts w:ascii="Times New Roman" w:eastAsia="Times New Roman" w:hAnsi="Times New Roman" w:cs="Times New Roman"/>
          <w:i/>
          <w:iCs/>
          <w:kern w:val="0"/>
          <w:sz w:val="24"/>
          <w:szCs w:val="24"/>
          <w:lang w:eastAsia="en-GB"/>
          <w14:ligatures w14:val="none"/>
        </w:rPr>
        <w:t>Serious Violence Strategy</w:t>
      </w:r>
      <w:r w:rsidRPr="0052060B">
        <w:rPr>
          <w:rFonts w:ascii="Times New Roman" w:eastAsia="Times New Roman" w:hAnsi="Times New Roman" w:cs="Times New Roman"/>
          <w:kern w:val="0"/>
          <w:sz w:val="24"/>
          <w:szCs w:val="24"/>
          <w:lang w:eastAsia="en-GB"/>
          <w14:ligatures w14:val="none"/>
        </w:rPr>
        <w:t>. [online] Available at: https://assets.publishing.service.gov.uk/media/5acb21d140f0b64fed0afd55/serious-violence-strategy.pdf.</w:t>
      </w:r>
    </w:p>
    <w:p w14:paraId="685A37FF"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r w:rsidRPr="0052060B">
        <w:rPr>
          <w:rFonts w:ascii="Times New Roman" w:eastAsia="Times New Roman" w:hAnsi="Times New Roman" w:cs="Times New Roman"/>
          <w:kern w:val="0"/>
          <w:sz w:val="24"/>
          <w:szCs w:val="24"/>
          <w:lang w:eastAsia="en-GB"/>
          <w14:ligatures w14:val="none"/>
        </w:rPr>
        <w:lastRenderedPageBreak/>
        <w:t xml:space="preserve">Home Office (2017). </w:t>
      </w:r>
      <w:r w:rsidRPr="0052060B">
        <w:rPr>
          <w:rFonts w:ascii="Times New Roman" w:eastAsia="Times New Roman" w:hAnsi="Times New Roman" w:cs="Times New Roman"/>
          <w:i/>
          <w:iCs/>
          <w:kern w:val="0"/>
          <w:sz w:val="24"/>
          <w:szCs w:val="24"/>
          <w:lang w:eastAsia="en-GB"/>
          <w14:ligatures w14:val="none"/>
        </w:rPr>
        <w:t>Criminal Exploitation of Children and Vulnerable adults: County Lines Guidance</w:t>
      </w:r>
      <w:r w:rsidRPr="0052060B">
        <w:rPr>
          <w:rFonts w:ascii="Times New Roman" w:eastAsia="Times New Roman" w:hAnsi="Times New Roman" w:cs="Times New Roman"/>
          <w:kern w:val="0"/>
          <w:sz w:val="24"/>
          <w:szCs w:val="24"/>
          <w:lang w:eastAsia="en-GB"/>
          <w14:ligatures w14:val="none"/>
        </w:rPr>
        <w:t>. [online] www.gov.uk. Available at: https://www.gov.uk/government/publications/criminal-exploitation-of-children-and-vulnerable-adults-county-lines/criminal-exploitation-of-children-and-vulnerable-adults-county-lines#who-is-vulnerable-to-county-lines-exploitation.</w:t>
      </w:r>
    </w:p>
    <w:p w14:paraId="68233343"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r w:rsidRPr="0052060B">
        <w:rPr>
          <w:rFonts w:ascii="Times New Roman" w:eastAsia="Times New Roman" w:hAnsi="Times New Roman" w:cs="Times New Roman"/>
          <w:kern w:val="0"/>
          <w:sz w:val="24"/>
          <w:szCs w:val="24"/>
          <w:lang w:eastAsia="en-GB"/>
          <w14:ligatures w14:val="none"/>
        </w:rPr>
        <w:t xml:space="preserve">Moyle, L. (2019). Situating Vulnerability and Exploitation in Street-Level Drug Markets: Cuckooing, Commuting, and the ‘County Lines’ Drug Supply Model. </w:t>
      </w:r>
      <w:r w:rsidRPr="0052060B">
        <w:rPr>
          <w:rFonts w:ascii="Times New Roman" w:eastAsia="Times New Roman" w:hAnsi="Times New Roman" w:cs="Times New Roman"/>
          <w:i/>
          <w:iCs/>
          <w:kern w:val="0"/>
          <w:sz w:val="24"/>
          <w:szCs w:val="24"/>
          <w:lang w:eastAsia="en-GB"/>
          <w14:ligatures w14:val="none"/>
        </w:rPr>
        <w:t>Journal of Drug Issues</w:t>
      </w:r>
      <w:r w:rsidRPr="0052060B">
        <w:rPr>
          <w:rFonts w:ascii="Times New Roman" w:eastAsia="Times New Roman" w:hAnsi="Times New Roman" w:cs="Times New Roman"/>
          <w:kern w:val="0"/>
          <w:sz w:val="24"/>
          <w:szCs w:val="24"/>
          <w:lang w:eastAsia="en-GB"/>
          <w14:ligatures w14:val="none"/>
        </w:rPr>
        <w:t>, 49(4), pp.739–755.</w:t>
      </w:r>
    </w:p>
    <w:p w14:paraId="29727452"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r w:rsidRPr="0052060B">
        <w:rPr>
          <w:rFonts w:ascii="Times New Roman" w:eastAsia="Times New Roman" w:hAnsi="Times New Roman" w:cs="Times New Roman"/>
          <w:kern w:val="0"/>
          <w:sz w:val="24"/>
          <w:szCs w:val="24"/>
          <w:lang w:eastAsia="en-GB"/>
          <w14:ligatures w14:val="none"/>
        </w:rPr>
        <w:t xml:space="preserve">NCA (2017). </w:t>
      </w:r>
      <w:r w:rsidRPr="0052060B">
        <w:rPr>
          <w:rFonts w:ascii="Times New Roman" w:eastAsia="Times New Roman" w:hAnsi="Times New Roman" w:cs="Times New Roman"/>
          <w:i/>
          <w:iCs/>
          <w:kern w:val="0"/>
          <w:sz w:val="24"/>
          <w:szCs w:val="24"/>
          <w:lang w:eastAsia="en-GB"/>
          <w14:ligatures w14:val="none"/>
        </w:rPr>
        <w:t>County Lines Violence, Exploitation &amp; Drug Supply 2017 National Briefing Report</w:t>
      </w:r>
      <w:r w:rsidRPr="0052060B">
        <w:rPr>
          <w:rFonts w:ascii="Times New Roman" w:eastAsia="Times New Roman" w:hAnsi="Times New Roman" w:cs="Times New Roman"/>
          <w:kern w:val="0"/>
          <w:sz w:val="24"/>
          <w:szCs w:val="24"/>
          <w:lang w:eastAsia="en-GB"/>
          <w14:ligatures w14:val="none"/>
        </w:rPr>
        <w:t>. [online] Available at: https://nationalcrimeagency.gov.uk/who-we-are/publications/234-county-lines-violen-ce-exploitation-drug-supply-2017/file.</w:t>
      </w:r>
    </w:p>
    <w:p w14:paraId="26E5459B"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r w:rsidRPr="0052060B">
        <w:rPr>
          <w:rFonts w:ascii="Times New Roman" w:eastAsia="Times New Roman" w:hAnsi="Times New Roman" w:cs="Times New Roman"/>
          <w:kern w:val="0"/>
          <w:sz w:val="24"/>
          <w:szCs w:val="24"/>
          <w:lang w:eastAsia="en-GB"/>
          <w14:ligatures w14:val="none"/>
        </w:rPr>
        <w:t xml:space="preserve">NCA (2018). </w:t>
      </w:r>
      <w:r w:rsidRPr="0052060B">
        <w:rPr>
          <w:rFonts w:ascii="Times New Roman" w:eastAsia="Times New Roman" w:hAnsi="Times New Roman" w:cs="Times New Roman"/>
          <w:i/>
          <w:iCs/>
          <w:kern w:val="0"/>
          <w:sz w:val="24"/>
          <w:szCs w:val="24"/>
          <w:lang w:eastAsia="en-GB"/>
          <w14:ligatures w14:val="none"/>
        </w:rPr>
        <w:t>County Lines - National Crime Agency</w:t>
      </w:r>
      <w:r w:rsidRPr="0052060B">
        <w:rPr>
          <w:rFonts w:ascii="Times New Roman" w:eastAsia="Times New Roman" w:hAnsi="Times New Roman" w:cs="Times New Roman"/>
          <w:kern w:val="0"/>
          <w:sz w:val="24"/>
          <w:szCs w:val="24"/>
          <w:lang w:eastAsia="en-GB"/>
          <w14:ligatures w14:val="none"/>
        </w:rPr>
        <w:t>. [online] Nationalcrimeagency.gov.uk. Available at: https://nationalcrimeagency.gov.uk/what-we-do/crime-threats/drug-trafficking/county-lines.</w:t>
      </w:r>
    </w:p>
    <w:p w14:paraId="44AC20A7"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r w:rsidRPr="0052060B">
        <w:rPr>
          <w:rFonts w:ascii="Times New Roman" w:eastAsia="Times New Roman" w:hAnsi="Times New Roman" w:cs="Times New Roman"/>
          <w:kern w:val="0"/>
          <w:sz w:val="24"/>
          <w:szCs w:val="24"/>
          <w:lang w:eastAsia="en-GB"/>
          <w14:ligatures w14:val="none"/>
        </w:rPr>
        <w:t xml:space="preserve">Olver, K. and </w:t>
      </w:r>
      <w:proofErr w:type="spellStart"/>
      <w:r w:rsidRPr="0052060B">
        <w:rPr>
          <w:rFonts w:ascii="Times New Roman" w:eastAsia="Times New Roman" w:hAnsi="Times New Roman" w:cs="Times New Roman"/>
          <w:kern w:val="0"/>
          <w:sz w:val="24"/>
          <w:szCs w:val="24"/>
          <w:lang w:eastAsia="en-GB"/>
          <w14:ligatures w14:val="none"/>
        </w:rPr>
        <w:t>Cockbain</w:t>
      </w:r>
      <w:proofErr w:type="spellEnd"/>
      <w:r w:rsidRPr="0052060B">
        <w:rPr>
          <w:rFonts w:ascii="Times New Roman" w:eastAsia="Times New Roman" w:hAnsi="Times New Roman" w:cs="Times New Roman"/>
          <w:kern w:val="0"/>
          <w:sz w:val="24"/>
          <w:szCs w:val="24"/>
          <w:lang w:eastAsia="en-GB"/>
          <w14:ligatures w14:val="none"/>
        </w:rPr>
        <w:t xml:space="preserve">, E. (2021). Professionals’ Views on Responding to County Lines‐Related Criminal Exploitation in the West Midlands, UK. </w:t>
      </w:r>
      <w:r w:rsidRPr="0052060B">
        <w:rPr>
          <w:rFonts w:ascii="Times New Roman" w:eastAsia="Times New Roman" w:hAnsi="Times New Roman" w:cs="Times New Roman"/>
          <w:i/>
          <w:iCs/>
          <w:kern w:val="0"/>
          <w:sz w:val="24"/>
          <w:szCs w:val="24"/>
          <w:lang w:eastAsia="en-GB"/>
          <w14:ligatures w14:val="none"/>
        </w:rPr>
        <w:t>Child Abuse Review</w:t>
      </w:r>
      <w:r w:rsidRPr="0052060B">
        <w:rPr>
          <w:rFonts w:ascii="Times New Roman" w:eastAsia="Times New Roman" w:hAnsi="Times New Roman" w:cs="Times New Roman"/>
          <w:kern w:val="0"/>
          <w:sz w:val="24"/>
          <w:szCs w:val="24"/>
          <w:lang w:eastAsia="en-GB"/>
          <w14:ligatures w14:val="none"/>
        </w:rPr>
        <w:t xml:space="preserve">, 30(4), pp.347–362. </w:t>
      </w:r>
      <w:proofErr w:type="spellStart"/>
      <w:proofErr w:type="gramStart"/>
      <w:r w:rsidRPr="0052060B">
        <w:rPr>
          <w:rFonts w:ascii="Times New Roman" w:eastAsia="Times New Roman" w:hAnsi="Times New Roman" w:cs="Times New Roman"/>
          <w:kern w:val="0"/>
          <w:sz w:val="24"/>
          <w:szCs w:val="24"/>
          <w:lang w:eastAsia="en-GB"/>
          <w14:ligatures w14:val="none"/>
        </w:rPr>
        <w:t>doi:https</w:t>
      </w:r>
      <w:proofErr w:type="spellEnd"/>
      <w:r w:rsidRPr="0052060B">
        <w:rPr>
          <w:rFonts w:ascii="Times New Roman" w:eastAsia="Times New Roman" w:hAnsi="Times New Roman" w:cs="Times New Roman"/>
          <w:kern w:val="0"/>
          <w:sz w:val="24"/>
          <w:szCs w:val="24"/>
          <w:lang w:eastAsia="en-GB"/>
          <w14:ligatures w14:val="none"/>
        </w:rPr>
        <w:t>://doi.org/10.1002/car.2704</w:t>
      </w:r>
      <w:proofErr w:type="gramEnd"/>
      <w:r w:rsidRPr="0052060B">
        <w:rPr>
          <w:rFonts w:ascii="Times New Roman" w:eastAsia="Times New Roman" w:hAnsi="Times New Roman" w:cs="Times New Roman"/>
          <w:kern w:val="0"/>
          <w:sz w:val="24"/>
          <w:szCs w:val="24"/>
          <w:lang w:eastAsia="en-GB"/>
          <w14:ligatures w14:val="none"/>
        </w:rPr>
        <w:t>.</w:t>
      </w:r>
    </w:p>
    <w:p w14:paraId="1A6D7C3D"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r w:rsidRPr="0052060B">
        <w:rPr>
          <w:rFonts w:ascii="Times New Roman" w:eastAsia="Times New Roman" w:hAnsi="Times New Roman" w:cs="Times New Roman"/>
          <w:kern w:val="0"/>
          <w:sz w:val="24"/>
          <w:szCs w:val="24"/>
          <w:lang w:eastAsia="en-GB"/>
          <w14:ligatures w14:val="none"/>
        </w:rPr>
        <w:t xml:space="preserve">Robinson, G., McLean, R. and Densley, J. (2018). Working County Lines: Child Criminal Exploitation and Illicit Drug Dealing in Glasgow and Merseyside. </w:t>
      </w:r>
      <w:r w:rsidRPr="0052060B">
        <w:rPr>
          <w:rFonts w:ascii="Times New Roman" w:eastAsia="Times New Roman" w:hAnsi="Times New Roman" w:cs="Times New Roman"/>
          <w:i/>
          <w:iCs/>
          <w:kern w:val="0"/>
          <w:sz w:val="24"/>
          <w:szCs w:val="24"/>
          <w:lang w:eastAsia="en-GB"/>
          <w14:ligatures w14:val="none"/>
        </w:rPr>
        <w:t>International Journal of Offender Therapy and Comparative Criminology</w:t>
      </w:r>
      <w:r w:rsidRPr="0052060B">
        <w:rPr>
          <w:rFonts w:ascii="Times New Roman" w:eastAsia="Times New Roman" w:hAnsi="Times New Roman" w:cs="Times New Roman"/>
          <w:kern w:val="0"/>
          <w:sz w:val="24"/>
          <w:szCs w:val="24"/>
          <w:lang w:eastAsia="en-GB"/>
          <w14:ligatures w14:val="none"/>
        </w:rPr>
        <w:t>, 63(5), pp.694–711.</w:t>
      </w:r>
    </w:p>
    <w:p w14:paraId="7543F444"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r w:rsidRPr="0052060B">
        <w:rPr>
          <w:rFonts w:ascii="Times New Roman" w:eastAsia="Times New Roman" w:hAnsi="Times New Roman" w:cs="Times New Roman"/>
          <w:kern w:val="0"/>
          <w:sz w:val="24"/>
          <w:szCs w:val="24"/>
          <w:lang w:eastAsia="en-GB"/>
          <w14:ligatures w14:val="none"/>
        </w:rPr>
        <w:t xml:space="preserve">Shaw, J. (2023). ‘Won the Battle but Lost the War?’ ‘County Lines’ and the Quest for Victim Status: Reflections and Challenges. </w:t>
      </w:r>
      <w:r w:rsidRPr="0052060B">
        <w:rPr>
          <w:rFonts w:ascii="Times New Roman" w:eastAsia="Times New Roman" w:hAnsi="Times New Roman" w:cs="Times New Roman"/>
          <w:i/>
          <w:iCs/>
          <w:kern w:val="0"/>
          <w:sz w:val="24"/>
          <w:szCs w:val="24"/>
          <w:lang w:eastAsia="en-GB"/>
          <w14:ligatures w14:val="none"/>
        </w:rPr>
        <w:t>Youth Justice</w:t>
      </w:r>
      <w:r w:rsidRPr="0052060B">
        <w:rPr>
          <w:rFonts w:ascii="Times New Roman" w:eastAsia="Times New Roman" w:hAnsi="Times New Roman" w:cs="Times New Roman"/>
          <w:kern w:val="0"/>
          <w:sz w:val="24"/>
          <w:szCs w:val="24"/>
          <w:lang w:eastAsia="en-GB"/>
          <w14:ligatures w14:val="none"/>
        </w:rPr>
        <w:t xml:space="preserve">, 1(1). </w:t>
      </w:r>
      <w:proofErr w:type="spellStart"/>
      <w:proofErr w:type="gramStart"/>
      <w:r w:rsidRPr="0052060B">
        <w:rPr>
          <w:rFonts w:ascii="Times New Roman" w:eastAsia="Times New Roman" w:hAnsi="Times New Roman" w:cs="Times New Roman"/>
          <w:kern w:val="0"/>
          <w:sz w:val="24"/>
          <w:szCs w:val="24"/>
          <w:lang w:eastAsia="en-GB"/>
          <w14:ligatures w14:val="none"/>
        </w:rPr>
        <w:t>doi:https</w:t>
      </w:r>
      <w:proofErr w:type="spellEnd"/>
      <w:r w:rsidRPr="0052060B">
        <w:rPr>
          <w:rFonts w:ascii="Times New Roman" w:eastAsia="Times New Roman" w:hAnsi="Times New Roman" w:cs="Times New Roman"/>
          <w:kern w:val="0"/>
          <w:sz w:val="24"/>
          <w:szCs w:val="24"/>
          <w:lang w:eastAsia="en-GB"/>
          <w14:ligatures w14:val="none"/>
        </w:rPr>
        <w:t>://doi.org/10.1177/14732254231202673</w:t>
      </w:r>
      <w:proofErr w:type="gramEnd"/>
      <w:r w:rsidRPr="0052060B">
        <w:rPr>
          <w:rFonts w:ascii="Times New Roman" w:eastAsia="Times New Roman" w:hAnsi="Times New Roman" w:cs="Times New Roman"/>
          <w:kern w:val="0"/>
          <w:sz w:val="24"/>
          <w:szCs w:val="24"/>
          <w:lang w:eastAsia="en-GB"/>
          <w14:ligatures w14:val="none"/>
        </w:rPr>
        <w:t>.</w:t>
      </w:r>
    </w:p>
    <w:p w14:paraId="4AFED92D"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r w:rsidRPr="0052060B">
        <w:rPr>
          <w:rFonts w:ascii="Times New Roman" w:eastAsia="Times New Roman" w:hAnsi="Times New Roman" w:cs="Times New Roman"/>
          <w:kern w:val="0"/>
          <w:sz w:val="24"/>
          <w:szCs w:val="24"/>
          <w:lang w:eastAsia="en-GB"/>
          <w14:ligatures w14:val="none"/>
        </w:rPr>
        <w:t xml:space="preserve">Shaw, J. and Greenhow, S. (2019). Children in Care: Exploitation, Offending and the Denial of Victimhood in a Prosecution-led Culture of Practice. </w:t>
      </w:r>
      <w:r w:rsidRPr="0052060B">
        <w:rPr>
          <w:rFonts w:ascii="Times New Roman" w:eastAsia="Times New Roman" w:hAnsi="Times New Roman" w:cs="Times New Roman"/>
          <w:i/>
          <w:iCs/>
          <w:kern w:val="0"/>
          <w:sz w:val="24"/>
          <w:szCs w:val="24"/>
          <w:lang w:eastAsia="en-GB"/>
          <w14:ligatures w14:val="none"/>
        </w:rPr>
        <w:t>The British Journal of Social Work</w:t>
      </w:r>
      <w:r w:rsidRPr="0052060B">
        <w:rPr>
          <w:rFonts w:ascii="Times New Roman" w:eastAsia="Times New Roman" w:hAnsi="Times New Roman" w:cs="Times New Roman"/>
          <w:kern w:val="0"/>
          <w:sz w:val="24"/>
          <w:szCs w:val="24"/>
          <w:lang w:eastAsia="en-GB"/>
          <w14:ligatures w14:val="none"/>
        </w:rPr>
        <w:t xml:space="preserve">, 50(5), pp.1551–1569. </w:t>
      </w:r>
      <w:proofErr w:type="spellStart"/>
      <w:proofErr w:type="gramStart"/>
      <w:r w:rsidRPr="0052060B">
        <w:rPr>
          <w:rFonts w:ascii="Times New Roman" w:eastAsia="Times New Roman" w:hAnsi="Times New Roman" w:cs="Times New Roman"/>
          <w:kern w:val="0"/>
          <w:sz w:val="24"/>
          <w:szCs w:val="24"/>
          <w:lang w:eastAsia="en-GB"/>
          <w14:ligatures w14:val="none"/>
        </w:rPr>
        <w:t>doi:https</w:t>
      </w:r>
      <w:proofErr w:type="spellEnd"/>
      <w:r w:rsidRPr="0052060B">
        <w:rPr>
          <w:rFonts w:ascii="Times New Roman" w:eastAsia="Times New Roman" w:hAnsi="Times New Roman" w:cs="Times New Roman"/>
          <w:kern w:val="0"/>
          <w:sz w:val="24"/>
          <w:szCs w:val="24"/>
          <w:lang w:eastAsia="en-GB"/>
          <w14:ligatures w14:val="none"/>
        </w:rPr>
        <w:t>://doi.org/10.1093/</w:t>
      </w:r>
      <w:proofErr w:type="spellStart"/>
      <w:r w:rsidRPr="0052060B">
        <w:rPr>
          <w:rFonts w:ascii="Times New Roman" w:eastAsia="Times New Roman" w:hAnsi="Times New Roman" w:cs="Times New Roman"/>
          <w:kern w:val="0"/>
          <w:sz w:val="24"/>
          <w:szCs w:val="24"/>
          <w:lang w:eastAsia="en-GB"/>
          <w14:ligatures w14:val="none"/>
        </w:rPr>
        <w:t>bjsw</w:t>
      </w:r>
      <w:proofErr w:type="spellEnd"/>
      <w:r w:rsidRPr="0052060B">
        <w:rPr>
          <w:rFonts w:ascii="Times New Roman" w:eastAsia="Times New Roman" w:hAnsi="Times New Roman" w:cs="Times New Roman"/>
          <w:kern w:val="0"/>
          <w:sz w:val="24"/>
          <w:szCs w:val="24"/>
          <w:lang w:eastAsia="en-GB"/>
          <w14:ligatures w14:val="none"/>
        </w:rPr>
        <w:t>/bcz137</w:t>
      </w:r>
      <w:proofErr w:type="gramEnd"/>
      <w:r w:rsidRPr="0052060B">
        <w:rPr>
          <w:rFonts w:ascii="Times New Roman" w:eastAsia="Times New Roman" w:hAnsi="Times New Roman" w:cs="Times New Roman"/>
          <w:kern w:val="0"/>
          <w:sz w:val="24"/>
          <w:szCs w:val="24"/>
          <w:lang w:eastAsia="en-GB"/>
          <w14:ligatures w14:val="none"/>
        </w:rPr>
        <w:t>.</w:t>
      </w:r>
    </w:p>
    <w:p w14:paraId="2DDE7295"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r w:rsidRPr="0052060B">
        <w:rPr>
          <w:rFonts w:ascii="Times New Roman" w:eastAsia="Times New Roman" w:hAnsi="Times New Roman" w:cs="Times New Roman"/>
          <w:kern w:val="0"/>
          <w:sz w:val="24"/>
          <w:szCs w:val="24"/>
          <w:lang w:eastAsia="en-GB"/>
          <w14:ligatures w14:val="none"/>
        </w:rPr>
        <w:t xml:space="preserve">Spicer, J. (2019). </w:t>
      </w:r>
      <w:r w:rsidRPr="0052060B">
        <w:rPr>
          <w:rFonts w:ascii="Times New Roman" w:eastAsia="Times New Roman" w:hAnsi="Times New Roman" w:cs="Times New Roman"/>
          <w:i/>
          <w:iCs/>
          <w:kern w:val="0"/>
          <w:sz w:val="24"/>
          <w:szCs w:val="24"/>
          <w:lang w:eastAsia="en-GB"/>
          <w14:ligatures w14:val="none"/>
        </w:rPr>
        <w:t>The Policing of ‘County Lines’ in Affected Import town: Exploring Local Responses to Evolving Heroin and Crack Markets</w:t>
      </w:r>
      <w:r w:rsidRPr="0052060B">
        <w:rPr>
          <w:rFonts w:ascii="Times New Roman" w:eastAsia="Times New Roman" w:hAnsi="Times New Roman" w:cs="Times New Roman"/>
          <w:kern w:val="0"/>
          <w:sz w:val="24"/>
          <w:szCs w:val="24"/>
          <w:lang w:eastAsia="en-GB"/>
          <w14:ligatures w14:val="none"/>
        </w:rPr>
        <w:t>.</w:t>
      </w:r>
    </w:p>
    <w:p w14:paraId="49DE92CC"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r w:rsidRPr="0052060B">
        <w:rPr>
          <w:rFonts w:ascii="Times New Roman" w:eastAsia="Times New Roman" w:hAnsi="Times New Roman" w:cs="Times New Roman"/>
          <w:kern w:val="0"/>
          <w:sz w:val="24"/>
          <w:szCs w:val="24"/>
          <w:lang w:eastAsia="en-GB"/>
          <w14:ligatures w14:val="none"/>
        </w:rPr>
        <w:lastRenderedPageBreak/>
        <w:t xml:space="preserve">Spicer, J. (2021). The Policing of Cuckooing in ‘County Lines’ Drug dealing: an Ethnographic Study of an Amplification Spiral. </w:t>
      </w:r>
      <w:r w:rsidRPr="0052060B">
        <w:rPr>
          <w:rFonts w:ascii="Times New Roman" w:eastAsia="Times New Roman" w:hAnsi="Times New Roman" w:cs="Times New Roman"/>
          <w:i/>
          <w:iCs/>
          <w:kern w:val="0"/>
          <w:sz w:val="24"/>
          <w:szCs w:val="24"/>
          <w:lang w:eastAsia="en-GB"/>
          <w14:ligatures w14:val="none"/>
        </w:rPr>
        <w:t>British Journal of Criminology</w:t>
      </w:r>
      <w:r w:rsidRPr="0052060B">
        <w:rPr>
          <w:rFonts w:ascii="Times New Roman" w:eastAsia="Times New Roman" w:hAnsi="Times New Roman" w:cs="Times New Roman"/>
          <w:kern w:val="0"/>
          <w:sz w:val="24"/>
          <w:szCs w:val="24"/>
          <w:lang w:eastAsia="en-GB"/>
          <w14:ligatures w14:val="none"/>
        </w:rPr>
        <w:t xml:space="preserve">, 61(5). </w:t>
      </w:r>
      <w:proofErr w:type="spellStart"/>
      <w:proofErr w:type="gramStart"/>
      <w:r w:rsidRPr="0052060B">
        <w:rPr>
          <w:rFonts w:ascii="Times New Roman" w:eastAsia="Times New Roman" w:hAnsi="Times New Roman" w:cs="Times New Roman"/>
          <w:kern w:val="0"/>
          <w:sz w:val="24"/>
          <w:szCs w:val="24"/>
          <w:lang w:eastAsia="en-GB"/>
          <w14:ligatures w14:val="none"/>
        </w:rPr>
        <w:t>doi:https</w:t>
      </w:r>
      <w:proofErr w:type="spellEnd"/>
      <w:r w:rsidRPr="0052060B">
        <w:rPr>
          <w:rFonts w:ascii="Times New Roman" w:eastAsia="Times New Roman" w:hAnsi="Times New Roman" w:cs="Times New Roman"/>
          <w:kern w:val="0"/>
          <w:sz w:val="24"/>
          <w:szCs w:val="24"/>
          <w:lang w:eastAsia="en-GB"/>
          <w14:ligatures w14:val="none"/>
        </w:rPr>
        <w:t>://doi.org/10.1093/</w:t>
      </w:r>
      <w:proofErr w:type="spellStart"/>
      <w:r w:rsidRPr="0052060B">
        <w:rPr>
          <w:rFonts w:ascii="Times New Roman" w:eastAsia="Times New Roman" w:hAnsi="Times New Roman" w:cs="Times New Roman"/>
          <w:kern w:val="0"/>
          <w:sz w:val="24"/>
          <w:szCs w:val="24"/>
          <w:lang w:eastAsia="en-GB"/>
          <w14:ligatures w14:val="none"/>
        </w:rPr>
        <w:t>bjc</w:t>
      </w:r>
      <w:proofErr w:type="spellEnd"/>
      <w:r w:rsidRPr="0052060B">
        <w:rPr>
          <w:rFonts w:ascii="Times New Roman" w:eastAsia="Times New Roman" w:hAnsi="Times New Roman" w:cs="Times New Roman"/>
          <w:kern w:val="0"/>
          <w:sz w:val="24"/>
          <w:szCs w:val="24"/>
          <w:lang w:eastAsia="en-GB"/>
          <w14:ligatures w14:val="none"/>
        </w:rPr>
        <w:t>/azab027</w:t>
      </w:r>
      <w:proofErr w:type="gramEnd"/>
      <w:r w:rsidRPr="0052060B">
        <w:rPr>
          <w:rFonts w:ascii="Times New Roman" w:eastAsia="Times New Roman" w:hAnsi="Times New Roman" w:cs="Times New Roman"/>
          <w:kern w:val="0"/>
          <w:sz w:val="24"/>
          <w:szCs w:val="24"/>
          <w:lang w:eastAsia="en-GB"/>
          <w14:ligatures w14:val="none"/>
        </w:rPr>
        <w:t>.</w:t>
      </w:r>
    </w:p>
    <w:p w14:paraId="7AB27FB0"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r w:rsidRPr="0052060B">
        <w:rPr>
          <w:rFonts w:ascii="Times New Roman" w:eastAsia="Times New Roman" w:hAnsi="Times New Roman" w:cs="Times New Roman"/>
          <w:kern w:val="0"/>
          <w:sz w:val="24"/>
          <w:szCs w:val="24"/>
          <w:lang w:eastAsia="en-GB"/>
          <w14:ligatures w14:val="none"/>
        </w:rPr>
        <w:t xml:space="preserve">Stone, N. (2018). Child Criminal Exploitation: ‘County Lines’, Trafficking and Cuckooing. </w:t>
      </w:r>
      <w:r w:rsidRPr="0052060B">
        <w:rPr>
          <w:rFonts w:ascii="Times New Roman" w:eastAsia="Times New Roman" w:hAnsi="Times New Roman" w:cs="Times New Roman"/>
          <w:i/>
          <w:iCs/>
          <w:kern w:val="0"/>
          <w:sz w:val="24"/>
          <w:szCs w:val="24"/>
          <w:lang w:eastAsia="en-GB"/>
          <w14:ligatures w14:val="none"/>
        </w:rPr>
        <w:t>Youth Justice</w:t>
      </w:r>
      <w:r w:rsidRPr="0052060B">
        <w:rPr>
          <w:rFonts w:ascii="Times New Roman" w:eastAsia="Times New Roman" w:hAnsi="Times New Roman" w:cs="Times New Roman"/>
          <w:kern w:val="0"/>
          <w:sz w:val="24"/>
          <w:szCs w:val="24"/>
          <w:lang w:eastAsia="en-GB"/>
          <w14:ligatures w14:val="none"/>
        </w:rPr>
        <w:t>, 18(3), pp.285–293.</w:t>
      </w:r>
    </w:p>
    <w:p w14:paraId="2CD96C23"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r w:rsidRPr="0052060B">
        <w:rPr>
          <w:rFonts w:ascii="Times New Roman" w:eastAsia="Times New Roman" w:hAnsi="Times New Roman" w:cs="Times New Roman"/>
          <w:kern w:val="0"/>
          <w:sz w:val="24"/>
          <w:szCs w:val="24"/>
          <w:lang w:eastAsia="en-GB"/>
          <w14:ligatures w14:val="none"/>
        </w:rPr>
        <w:t xml:space="preserve">Sturrock, R. and Holmes, L. (2015). </w:t>
      </w:r>
      <w:r w:rsidRPr="0052060B">
        <w:rPr>
          <w:rFonts w:ascii="Times New Roman" w:eastAsia="Times New Roman" w:hAnsi="Times New Roman" w:cs="Times New Roman"/>
          <w:i/>
          <w:iCs/>
          <w:kern w:val="0"/>
          <w:sz w:val="24"/>
          <w:szCs w:val="24"/>
          <w:lang w:eastAsia="en-GB"/>
          <w14:ligatures w14:val="none"/>
        </w:rPr>
        <w:t xml:space="preserve">Running the Risks: </w:t>
      </w:r>
      <w:proofErr w:type="gramStart"/>
      <w:r w:rsidRPr="0052060B">
        <w:rPr>
          <w:rFonts w:ascii="Times New Roman" w:eastAsia="Times New Roman" w:hAnsi="Times New Roman" w:cs="Times New Roman"/>
          <w:i/>
          <w:iCs/>
          <w:kern w:val="0"/>
          <w:sz w:val="24"/>
          <w:szCs w:val="24"/>
          <w:lang w:eastAsia="en-GB"/>
          <w14:ligatures w14:val="none"/>
        </w:rPr>
        <w:t>the</w:t>
      </w:r>
      <w:proofErr w:type="gramEnd"/>
      <w:r w:rsidRPr="0052060B">
        <w:rPr>
          <w:rFonts w:ascii="Times New Roman" w:eastAsia="Times New Roman" w:hAnsi="Times New Roman" w:cs="Times New Roman"/>
          <w:i/>
          <w:iCs/>
          <w:kern w:val="0"/>
          <w:sz w:val="24"/>
          <w:szCs w:val="24"/>
          <w:lang w:eastAsia="en-GB"/>
          <w14:ligatures w14:val="none"/>
        </w:rPr>
        <w:t xml:space="preserve"> Links between Gang Involvement and Young People Going Missing</w:t>
      </w:r>
      <w:r w:rsidRPr="0052060B">
        <w:rPr>
          <w:rFonts w:ascii="Times New Roman" w:eastAsia="Times New Roman" w:hAnsi="Times New Roman" w:cs="Times New Roman"/>
          <w:kern w:val="0"/>
          <w:sz w:val="24"/>
          <w:szCs w:val="24"/>
          <w:lang w:eastAsia="en-GB"/>
          <w14:ligatures w14:val="none"/>
        </w:rPr>
        <w:t>. [online] Available at: https://www.oscb.org.uk/wp-content/uploads/2019/04/Catch22-Running-The-Risks.pdf.</w:t>
      </w:r>
    </w:p>
    <w:p w14:paraId="2C165574"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r w:rsidRPr="0052060B">
        <w:rPr>
          <w:rFonts w:ascii="Times New Roman" w:eastAsia="Times New Roman" w:hAnsi="Times New Roman" w:cs="Times New Roman"/>
          <w:kern w:val="0"/>
          <w:sz w:val="24"/>
          <w:szCs w:val="24"/>
          <w:lang w:eastAsia="en-GB"/>
          <w14:ligatures w14:val="none"/>
        </w:rPr>
        <w:t xml:space="preserve">Turner, A., Belcher, L. and </w:t>
      </w:r>
      <w:proofErr w:type="gramStart"/>
      <w:r w:rsidRPr="0052060B">
        <w:rPr>
          <w:rFonts w:ascii="Times New Roman" w:eastAsia="Times New Roman" w:hAnsi="Times New Roman" w:cs="Times New Roman"/>
          <w:kern w:val="0"/>
          <w:sz w:val="24"/>
          <w:szCs w:val="24"/>
          <w:lang w:eastAsia="en-GB"/>
          <w14:ligatures w14:val="none"/>
        </w:rPr>
        <w:t>Pona ,</w:t>
      </w:r>
      <w:proofErr w:type="gramEnd"/>
      <w:r w:rsidRPr="0052060B">
        <w:rPr>
          <w:rFonts w:ascii="Times New Roman" w:eastAsia="Times New Roman" w:hAnsi="Times New Roman" w:cs="Times New Roman"/>
          <w:kern w:val="0"/>
          <w:sz w:val="24"/>
          <w:szCs w:val="24"/>
          <w:lang w:eastAsia="en-GB"/>
          <w14:ligatures w14:val="none"/>
        </w:rPr>
        <w:t xml:space="preserve"> I. (2019). </w:t>
      </w:r>
      <w:r w:rsidRPr="0052060B">
        <w:rPr>
          <w:rFonts w:ascii="Times New Roman" w:eastAsia="Times New Roman" w:hAnsi="Times New Roman" w:cs="Times New Roman"/>
          <w:i/>
          <w:iCs/>
          <w:kern w:val="0"/>
          <w:sz w:val="24"/>
          <w:szCs w:val="24"/>
          <w:lang w:eastAsia="en-GB"/>
          <w14:ligatures w14:val="none"/>
        </w:rPr>
        <w:t>Counting Lives Report | the Children’s Society</w:t>
      </w:r>
      <w:r w:rsidRPr="0052060B">
        <w:rPr>
          <w:rFonts w:ascii="Times New Roman" w:eastAsia="Times New Roman" w:hAnsi="Times New Roman" w:cs="Times New Roman"/>
          <w:kern w:val="0"/>
          <w:sz w:val="24"/>
          <w:szCs w:val="24"/>
          <w:lang w:eastAsia="en-GB"/>
          <w14:ligatures w14:val="none"/>
        </w:rPr>
        <w:t>. [online] www.childrenssociety.org.uk. Available at: https://www.childrenssociety.org.uk/information/professionals/resources/counting-lives.</w:t>
      </w:r>
    </w:p>
    <w:p w14:paraId="6FD91BB4"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r w:rsidRPr="0052060B">
        <w:rPr>
          <w:rFonts w:ascii="Times New Roman" w:eastAsia="Times New Roman" w:hAnsi="Times New Roman" w:cs="Times New Roman"/>
          <w:kern w:val="0"/>
          <w:sz w:val="24"/>
          <w:szCs w:val="24"/>
          <w:lang w:eastAsia="en-GB"/>
          <w14:ligatures w14:val="none"/>
        </w:rPr>
        <w:t xml:space="preserve">Windle, J. and Briggs, D. (2015). ‘It’s like Working Away for Two weeks’: the Harms Associated with Young Drug Dealers Commuting from a Saturated London Drug Market. </w:t>
      </w:r>
      <w:r w:rsidRPr="0052060B">
        <w:rPr>
          <w:rFonts w:ascii="Times New Roman" w:eastAsia="Times New Roman" w:hAnsi="Times New Roman" w:cs="Times New Roman"/>
          <w:i/>
          <w:iCs/>
          <w:kern w:val="0"/>
          <w:sz w:val="24"/>
          <w:szCs w:val="24"/>
          <w:lang w:eastAsia="en-GB"/>
          <w14:ligatures w14:val="none"/>
        </w:rPr>
        <w:t>Crime Prevention and Community Safety</w:t>
      </w:r>
      <w:r w:rsidRPr="0052060B">
        <w:rPr>
          <w:rFonts w:ascii="Times New Roman" w:eastAsia="Times New Roman" w:hAnsi="Times New Roman" w:cs="Times New Roman"/>
          <w:kern w:val="0"/>
          <w:sz w:val="24"/>
          <w:szCs w:val="24"/>
          <w:lang w:eastAsia="en-GB"/>
          <w14:ligatures w14:val="none"/>
        </w:rPr>
        <w:t xml:space="preserve">, 17(2), pp.105–119. </w:t>
      </w:r>
      <w:proofErr w:type="spellStart"/>
      <w:proofErr w:type="gramStart"/>
      <w:r w:rsidRPr="0052060B">
        <w:rPr>
          <w:rFonts w:ascii="Times New Roman" w:eastAsia="Times New Roman" w:hAnsi="Times New Roman" w:cs="Times New Roman"/>
          <w:kern w:val="0"/>
          <w:sz w:val="24"/>
          <w:szCs w:val="24"/>
          <w:lang w:eastAsia="en-GB"/>
          <w14:ligatures w14:val="none"/>
        </w:rPr>
        <w:t>doi:https</w:t>
      </w:r>
      <w:proofErr w:type="spellEnd"/>
      <w:r w:rsidRPr="0052060B">
        <w:rPr>
          <w:rFonts w:ascii="Times New Roman" w:eastAsia="Times New Roman" w:hAnsi="Times New Roman" w:cs="Times New Roman"/>
          <w:kern w:val="0"/>
          <w:sz w:val="24"/>
          <w:szCs w:val="24"/>
          <w:lang w:eastAsia="en-GB"/>
          <w14:ligatures w14:val="none"/>
        </w:rPr>
        <w:t>://doi.org/10.1057/cpcs.2015.2</w:t>
      </w:r>
      <w:proofErr w:type="gramEnd"/>
      <w:r w:rsidRPr="0052060B">
        <w:rPr>
          <w:rFonts w:ascii="Times New Roman" w:eastAsia="Times New Roman" w:hAnsi="Times New Roman" w:cs="Times New Roman"/>
          <w:kern w:val="0"/>
          <w:sz w:val="24"/>
          <w:szCs w:val="24"/>
          <w:lang w:eastAsia="en-GB"/>
          <w14:ligatures w14:val="none"/>
        </w:rPr>
        <w:t>.</w:t>
      </w:r>
    </w:p>
    <w:p w14:paraId="7708BD0D" w14:textId="77777777" w:rsidR="0052060B" w:rsidRPr="0052060B" w:rsidRDefault="0052060B" w:rsidP="0052060B">
      <w:pPr>
        <w:spacing w:after="240" w:line="360" w:lineRule="auto"/>
        <w:rPr>
          <w:rFonts w:ascii="Times New Roman" w:eastAsia="Times New Roman" w:hAnsi="Times New Roman" w:cs="Times New Roman"/>
          <w:kern w:val="0"/>
          <w:sz w:val="24"/>
          <w:szCs w:val="24"/>
          <w:lang w:eastAsia="en-GB"/>
          <w14:ligatures w14:val="none"/>
        </w:rPr>
      </w:pPr>
      <w:r w:rsidRPr="0052060B">
        <w:rPr>
          <w:rFonts w:ascii="Times New Roman" w:eastAsia="Times New Roman" w:hAnsi="Times New Roman" w:cs="Times New Roman"/>
          <w:kern w:val="0"/>
          <w:sz w:val="24"/>
          <w:szCs w:val="24"/>
          <w:lang w:eastAsia="en-GB"/>
          <w14:ligatures w14:val="none"/>
        </w:rPr>
        <w:t xml:space="preserve">Windle, J., Moyle, L. and Coomber, R. (2020). ‘Vulnerable’ Kids Going Country: Children and Young People’s Involvement in County Lines Drug Dealing. </w:t>
      </w:r>
      <w:r w:rsidRPr="0052060B">
        <w:rPr>
          <w:rFonts w:ascii="Times New Roman" w:eastAsia="Times New Roman" w:hAnsi="Times New Roman" w:cs="Times New Roman"/>
          <w:i/>
          <w:iCs/>
          <w:kern w:val="0"/>
          <w:sz w:val="24"/>
          <w:szCs w:val="24"/>
          <w:lang w:eastAsia="en-GB"/>
          <w14:ligatures w14:val="none"/>
        </w:rPr>
        <w:t>Youth Justice</w:t>
      </w:r>
      <w:r w:rsidRPr="0052060B">
        <w:rPr>
          <w:rFonts w:ascii="Times New Roman" w:eastAsia="Times New Roman" w:hAnsi="Times New Roman" w:cs="Times New Roman"/>
          <w:kern w:val="0"/>
          <w:sz w:val="24"/>
          <w:szCs w:val="24"/>
          <w:lang w:eastAsia="en-GB"/>
          <w14:ligatures w14:val="none"/>
        </w:rPr>
        <w:t>, 20(1-2), pp.64–78.</w:t>
      </w:r>
    </w:p>
    <w:p w14:paraId="2BD32D99" w14:textId="77777777" w:rsidR="0052060B" w:rsidRPr="007E2014" w:rsidRDefault="0052060B">
      <w:pPr>
        <w:rPr>
          <w:b/>
          <w:bCs/>
          <w:u w:val="single"/>
        </w:rPr>
      </w:pPr>
    </w:p>
    <w:sectPr w:rsidR="0052060B" w:rsidRPr="007E20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67E19"/>
    <w:multiLevelType w:val="multilevel"/>
    <w:tmpl w:val="9F287088"/>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20E530C5"/>
    <w:multiLevelType w:val="multilevel"/>
    <w:tmpl w:val="44C0F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1901BAE"/>
    <w:multiLevelType w:val="hybridMultilevel"/>
    <w:tmpl w:val="64CECA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3E5937"/>
    <w:multiLevelType w:val="hybridMultilevel"/>
    <w:tmpl w:val="DD6E464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65289753">
    <w:abstractNumId w:val="2"/>
  </w:num>
  <w:num w:numId="2" w16cid:durableId="430707838">
    <w:abstractNumId w:val="1"/>
  </w:num>
  <w:num w:numId="3" w16cid:durableId="817847383">
    <w:abstractNumId w:val="0"/>
  </w:num>
  <w:num w:numId="4" w16cid:durableId="5144195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014"/>
    <w:rsid w:val="00017FF6"/>
    <w:rsid w:val="0003640B"/>
    <w:rsid w:val="00042C90"/>
    <w:rsid w:val="00057CC2"/>
    <w:rsid w:val="000731AF"/>
    <w:rsid w:val="00093B1B"/>
    <w:rsid w:val="000B6A20"/>
    <w:rsid w:val="000F3CB2"/>
    <w:rsid w:val="00112919"/>
    <w:rsid w:val="00131B8D"/>
    <w:rsid w:val="00135B86"/>
    <w:rsid w:val="00144BFC"/>
    <w:rsid w:val="00184298"/>
    <w:rsid w:val="001978E1"/>
    <w:rsid w:val="001A5B20"/>
    <w:rsid w:val="001A676C"/>
    <w:rsid w:val="001C13FB"/>
    <w:rsid w:val="001C5881"/>
    <w:rsid w:val="001C5972"/>
    <w:rsid w:val="001D0F64"/>
    <w:rsid w:val="001E2FE2"/>
    <w:rsid w:val="001E3CC6"/>
    <w:rsid w:val="001E5B6B"/>
    <w:rsid w:val="001F394D"/>
    <w:rsid w:val="00204B7C"/>
    <w:rsid w:val="002208E0"/>
    <w:rsid w:val="00225ECD"/>
    <w:rsid w:val="00250758"/>
    <w:rsid w:val="00260AB3"/>
    <w:rsid w:val="00267CFE"/>
    <w:rsid w:val="00282EAA"/>
    <w:rsid w:val="002A10B4"/>
    <w:rsid w:val="002D1684"/>
    <w:rsid w:val="002E679F"/>
    <w:rsid w:val="002F0A50"/>
    <w:rsid w:val="003104F6"/>
    <w:rsid w:val="003129EE"/>
    <w:rsid w:val="00314C48"/>
    <w:rsid w:val="00333C89"/>
    <w:rsid w:val="00361C21"/>
    <w:rsid w:val="003A2F2B"/>
    <w:rsid w:val="003B792F"/>
    <w:rsid w:val="003C1471"/>
    <w:rsid w:val="003C6472"/>
    <w:rsid w:val="003D325F"/>
    <w:rsid w:val="003E5206"/>
    <w:rsid w:val="003F566A"/>
    <w:rsid w:val="0040493C"/>
    <w:rsid w:val="00411D87"/>
    <w:rsid w:val="004456B1"/>
    <w:rsid w:val="00446F09"/>
    <w:rsid w:val="00456845"/>
    <w:rsid w:val="00457BCF"/>
    <w:rsid w:val="00461361"/>
    <w:rsid w:val="00464ADC"/>
    <w:rsid w:val="0046691B"/>
    <w:rsid w:val="00483A9D"/>
    <w:rsid w:val="004A35CB"/>
    <w:rsid w:val="004A6A94"/>
    <w:rsid w:val="004B0805"/>
    <w:rsid w:val="004C77A7"/>
    <w:rsid w:val="004D3D27"/>
    <w:rsid w:val="004F1009"/>
    <w:rsid w:val="004F6D68"/>
    <w:rsid w:val="00501AC2"/>
    <w:rsid w:val="0052060B"/>
    <w:rsid w:val="00525FC7"/>
    <w:rsid w:val="0053197C"/>
    <w:rsid w:val="00537429"/>
    <w:rsid w:val="0054036E"/>
    <w:rsid w:val="0054285C"/>
    <w:rsid w:val="00545B5B"/>
    <w:rsid w:val="00556A31"/>
    <w:rsid w:val="00561877"/>
    <w:rsid w:val="00563AAA"/>
    <w:rsid w:val="00575A7B"/>
    <w:rsid w:val="00577DB3"/>
    <w:rsid w:val="00590CC9"/>
    <w:rsid w:val="00592BB3"/>
    <w:rsid w:val="0059456C"/>
    <w:rsid w:val="005A0158"/>
    <w:rsid w:val="005B038D"/>
    <w:rsid w:val="005B44F2"/>
    <w:rsid w:val="005C4221"/>
    <w:rsid w:val="005C78DA"/>
    <w:rsid w:val="005E0AE6"/>
    <w:rsid w:val="005E6C40"/>
    <w:rsid w:val="005F5774"/>
    <w:rsid w:val="0063093D"/>
    <w:rsid w:val="00652553"/>
    <w:rsid w:val="006626B5"/>
    <w:rsid w:val="00662DCD"/>
    <w:rsid w:val="006669CC"/>
    <w:rsid w:val="006710F9"/>
    <w:rsid w:val="00673353"/>
    <w:rsid w:val="00681108"/>
    <w:rsid w:val="00694389"/>
    <w:rsid w:val="006A4407"/>
    <w:rsid w:val="006B4B1F"/>
    <w:rsid w:val="006C1185"/>
    <w:rsid w:val="006C356C"/>
    <w:rsid w:val="006C4B59"/>
    <w:rsid w:val="006E01BD"/>
    <w:rsid w:val="006E3E79"/>
    <w:rsid w:val="006F068B"/>
    <w:rsid w:val="006F0F34"/>
    <w:rsid w:val="006F310C"/>
    <w:rsid w:val="0071142E"/>
    <w:rsid w:val="0071243D"/>
    <w:rsid w:val="007159E0"/>
    <w:rsid w:val="0073423C"/>
    <w:rsid w:val="00756600"/>
    <w:rsid w:val="00766CAA"/>
    <w:rsid w:val="00771460"/>
    <w:rsid w:val="00774544"/>
    <w:rsid w:val="0077464D"/>
    <w:rsid w:val="00774988"/>
    <w:rsid w:val="00777FD0"/>
    <w:rsid w:val="007826AC"/>
    <w:rsid w:val="00793613"/>
    <w:rsid w:val="007B12E4"/>
    <w:rsid w:val="007D2B4A"/>
    <w:rsid w:val="007D5BE0"/>
    <w:rsid w:val="007D65DE"/>
    <w:rsid w:val="007E2014"/>
    <w:rsid w:val="007F6195"/>
    <w:rsid w:val="0080640D"/>
    <w:rsid w:val="008228E4"/>
    <w:rsid w:val="0083314A"/>
    <w:rsid w:val="00835DD4"/>
    <w:rsid w:val="0085081E"/>
    <w:rsid w:val="00852865"/>
    <w:rsid w:val="00853702"/>
    <w:rsid w:val="00873EB4"/>
    <w:rsid w:val="00886AA6"/>
    <w:rsid w:val="008913E9"/>
    <w:rsid w:val="008A1E7E"/>
    <w:rsid w:val="008A2E03"/>
    <w:rsid w:val="008A37A6"/>
    <w:rsid w:val="008B2B28"/>
    <w:rsid w:val="008D5DE6"/>
    <w:rsid w:val="008E2996"/>
    <w:rsid w:val="008F12ED"/>
    <w:rsid w:val="00906121"/>
    <w:rsid w:val="00921486"/>
    <w:rsid w:val="0092782C"/>
    <w:rsid w:val="00942D29"/>
    <w:rsid w:val="009519CB"/>
    <w:rsid w:val="00962503"/>
    <w:rsid w:val="00964660"/>
    <w:rsid w:val="009A20B5"/>
    <w:rsid w:val="009B1771"/>
    <w:rsid w:val="009C2B08"/>
    <w:rsid w:val="009C534A"/>
    <w:rsid w:val="009C7C83"/>
    <w:rsid w:val="009F3AF7"/>
    <w:rsid w:val="009F65E2"/>
    <w:rsid w:val="00A05795"/>
    <w:rsid w:val="00A12346"/>
    <w:rsid w:val="00A21152"/>
    <w:rsid w:val="00A36EE0"/>
    <w:rsid w:val="00A4242A"/>
    <w:rsid w:val="00A42707"/>
    <w:rsid w:val="00A42A5A"/>
    <w:rsid w:val="00A42B29"/>
    <w:rsid w:val="00A702E5"/>
    <w:rsid w:val="00A719E5"/>
    <w:rsid w:val="00A76E06"/>
    <w:rsid w:val="00A91D7F"/>
    <w:rsid w:val="00A95AC6"/>
    <w:rsid w:val="00AA3A10"/>
    <w:rsid w:val="00AF2584"/>
    <w:rsid w:val="00B05626"/>
    <w:rsid w:val="00B11950"/>
    <w:rsid w:val="00B17CF1"/>
    <w:rsid w:val="00B359A9"/>
    <w:rsid w:val="00B36030"/>
    <w:rsid w:val="00B45A50"/>
    <w:rsid w:val="00B54804"/>
    <w:rsid w:val="00B56B85"/>
    <w:rsid w:val="00B62684"/>
    <w:rsid w:val="00B82057"/>
    <w:rsid w:val="00B84878"/>
    <w:rsid w:val="00BA199F"/>
    <w:rsid w:val="00BA26FB"/>
    <w:rsid w:val="00BB0C02"/>
    <w:rsid w:val="00BB1792"/>
    <w:rsid w:val="00BB40D3"/>
    <w:rsid w:val="00BF3DCC"/>
    <w:rsid w:val="00C05B34"/>
    <w:rsid w:val="00C0628D"/>
    <w:rsid w:val="00C11E90"/>
    <w:rsid w:val="00C17D55"/>
    <w:rsid w:val="00C33E51"/>
    <w:rsid w:val="00C45377"/>
    <w:rsid w:val="00C60406"/>
    <w:rsid w:val="00C63905"/>
    <w:rsid w:val="00C768EA"/>
    <w:rsid w:val="00C874C0"/>
    <w:rsid w:val="00CA28DE"/>
    <w:rsid w:val="00CA5062"/>
    <w:rsid w:val="00CB3741"/>
    <w:rsid w:val="00CB75DF"/>
    <w:rsid w:val="00CC200F"/>
    <w:rsid w:val="00CC79B1"/>
    <w:rsid w:val="00CC7EC8"/>
    <w:rsid w:val="00CE6073"/>
    <w:rsid w:val="00CF799D"/>
    <w:rsid w:val="00D05DAA"/>
    <w:rsid w:val="00D11D23"/>
    <w:rsid w:val="00D2358A"/>
    <w:rsid w:val="00D40804"/>
    <w:rsid w:val="00D57791"/>
    <w:rsid w:val="00D60A35"/>
    <w:rsid w:val="00D65885"/>
    <w:rsid w:val="00D735C4"/>
    <w:rsid w:val="00D7364F"/>
    <w:rsid w:val="00D87EE4"/>
    <w:rsid w:val="00D90DED"/>
    <w:rsid w:val="00DA43E1"/>
    <w:rsid w:val="00DA73BE"/>
    <w:rsid w:val="00DF6F7E"/>
    <w:rsid w:val="00E20F1E"/>
    <w:rsid w:val="00E27649"/>
    <w:rsid w:val="00E35F89"/>
    <w:rsid w:val="00E37853"/>
    <w:rsid w:val="00E51135"/>
    <w:rsid w:val="00E71F56"/>
    <w:rsid w:val="00EA3E89"/>
    <w:rsid w:val="00EB433B"/>
    <w:rsid w:val="00EB7790"/>
    <w:rsid w:val="00EE1639"/>
    <w:rsid w:val="00EE5789"/>
    <w:rsid w:val="00EF14F7"/>
    <w:rsid w:val="00EF56FB"/>
    <w:rsid w:val="00F23E37"/>
    <w:rsid w:val="00F27DD2"/>
    <w:rsid w:val="00F427B1"/>
    <w:rsid w:val="00F427D1"/>
    <w:rsid w:val="00F83362"/>
    <w:rsid w:val="00F854E6"/>
    <w:rsid w:val="00F86FEA"/>
    <w:rsid w:val="00F901FD"/>
    <w:rsid w:val="00F90E33"/>
    <w:rsid w:val="00FB0440"/>
    <w:rsid w:val="00FB5AC4"/>
    <w:rsid w:val="00FC690A"/>
    <w:rsid w:val="00FC74CA"/>
    <w:rsid w:val="00FD492A"/>
    <w:rsid w:val="00FE36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803C3"/>
  <w15:chartTrackingRefBased/>
  <w15:docId w15:val="{8DD54A78-3055-4452-B113-BBC5E367C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2060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CE6073"/>
    <w:pPr>
      <w:ind w:left="720"/>
      <w:contextualSpacing/>
    </w:pPr>
  </w:style>
  <w:style w:type="paragraph" w:styleId="NormalWeb">
    <w:name w:val="Normal (Web)"/>
    <w:basedOn w:val="Normal"/>
    <w:uiPriority w:val="99"/>
    <w:unhideWhenUsed/>
    <w:rsid w:val="00CE607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906121"/>
    <w:rPr>
      <w:color w:val="0000FF"/>
      <w:u w:val="single"/>
    </w:rPr>
  </w:style>
  <w:style w:type="character" w:customStyle="1" w:styleId="lookup-resultcontent">
    <w:name w:val="lookup-result__content"/>
    <w:rsid w:val="00A42707"/>
  </w:style>
  <w:style w:type="paragraph" w:styleId="PlainText">
    <w:name w:val="Plain Text"/>
    <w:basedOn w:val="Normal"/>
    <w:link w:val="PlainTextChar"/>
    <w:uiPriority w:val="99"/>
    <w:semiHidden/>
    <w:unhideWhenUsed/>
    <w:rsid w:val="00411D87"/>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411D87"/>
    <w:rPr>
      <w:rFonts w:ascii="Calibri" w:hAnsi="Calibri"/>
      <w:szCs w:val="21"/>
    </w:rPr>
  </w:style>
  <w:style w:type="character" w:customStyle="1" w:styleId="Heading1Char">
    <w:name w:val="Heading 1 Char"/>
    <w:basedOn w:val="DefaultParagraphFont"/>
    <w:link w:val="Heading1"/>
    <w:uiPriority w:val="9"/>
    <w:rsid w:val="0052060B"/>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867380">
      <w:bodyDiv w:val="1"/>
      <w:marLeft w:val="0"/>
      <w:marRight w:val="0"/>
      <w:marTop w:val="0"/>
      <w:marBottom w:val="0"/>
      <w:divBdr>
        <w:top w:val="none" w:sz="0" w:space="0" w:color="auto"/>
        <w:left w:val="none" w:sz="0" w:space="0" w:color="auto"/>
        <w:bottom w:val="none" w:sz="0" w:space="0" w:color="auto"/>
        <w:right w:val="none" w:sz="0" w:space="0" w:color="auto"/>
      </w:divBdr>
    </w:div>
    <w:div w:id="313996958">
      <w:bodyDiv w:val="1"/>
      <w:marLeft w:val="0"/>
      <w:marRight w:val="0"/>
      <w:marTop w:val="0"/>
      <w:marBottom w:val="0"/>
      <w:divBdr>
        <w:top w:val="none" w:sz="0" w:space="0" w:color="auto"/>
        <w:left w:val="none" w:sz="0" w:space="0" w:color="auto"/>
        <w:bottom w:val="none" w:sz="0" w:space="0" w:color="auto"/>
        <w:right w:val="none" w:sz="0" w:space="0" w:color="auto"/>
      </w:divBdr>
    </w:div>
    <w:div w:id="681395171">
      <w:bodyDiv w:val="1"/>
      <w:marLeft w:val="0"/>
      <w:marRight w:val="0"/>
      <w:marTop w:val="0"/>
      <w:marBottom w:val="0"/>
      <w:divBdr>
        <w:top w:val="none" w:sz="0" w:space="0" w:color="auto"/>
        <w:left w:val="none" w:sz="0" w:space="0" w:color="auto"/>
        <w:bottom w:val="none" w:sz="0" w:space="0" w:color="auto"/>
        <w:right w:val="none" w:sz="0" w:space="0" w:color="auto"/>
      </w:divBdr>
    </w:div>
    <w:div w:id="792753774">
      <w:bodyDiv w:val="1"/>
      <w:marLeft w:val="0"/>
      <w:marRight w:val="0"/>
      <w:marTop w:val="0"/>
      <w:marBottom w:val="0"/>
      <w:divBdr>
        <w:top w:val="none" w:sz="0" w:space="0" w:color="auto"/>
        <w:left w:val="none" w:sz="0" w:space="0" w:color="auto"/>
        <w:bottom w:val="none" w:sz="0" w:space="0" w:color="auto"/>
        <w:right w:val="none" w:sz="0" w:space="0" w:color="auto"/>
      </w:divBdr>
    </w:div>
    <w:div w:id="823005371">
      <w:bodyDiv w:val="1"/>
      <w:marLeft w:val="0"/>
      <w:marRight w:val="0"/>
      <w:marTop w:val="0"/>
      <w:marBottom w:val="0"/>
      <w:divBdr>
        <w:top w:val="none" w:sz="0" w:space="0" w:color="auto"/>
        <w:left w:val="none" w:sz="0" w:space="0" w:color="auto"/>
        <w:bottom w:val="none" w:sz="0" w:space="0" w:color="auto"/>
        <w:right w:val="none" w:sz="0" w:space="0" w:color="auto"/>
      </w:divBdr>
    </w:div>
    <w:div w:id="1040667629">
      <w:bodyDiv w:val="1"/>
      <w:marLeft w:val="0"/>
      <w:marRight w:val="0"/>
      <w:marTop w:val="0"/>
      <w:marBottom w:val="0"/>
      <w:divBdr>
        <w:top w:val="none" w:sz="0" w:space="0" w:color="auto"/>
        <w:left w:val="none" w:sz="0" w:space="0" w:color="auto"/>
        <w:bottom w:val="none" w:sz="0" w:space="0" w:color="auto"/>
        <w:right w:val="none" w:sz="0" w:space="0" w:color="auto"/>
      </w:divBdr>
    </w:div>
    <w:div w:id="1107771478">
      <w:bodyDiv w:val="1"/>
      <w:marLeft w:val="0"/>
      <w:marRight w:val="0"/>
      <w:marTop w:val="0"/>
      <w:marBottom w:val="0"/>
      <w:divBdr>
        <w:top w:val="none" w:sz="0" w:space="0" w:color="auto"/>
        <w:left w:val="none" w:sz="0" w:space="0" w:color="auto"/>
        <w:bottom w:val="none" w:sz="0" w:space="0" w:color="auto"/>
        <w:right w:val="none" w:sz="0" w:space="0" w:color="auto"/>
      </w:divBdr>
    </w:div>
    <w:div w:id="1126587768">
      <w:bodyDiv w:val="1"/>
      <w:marLeft w:val="0"/>
      <w:marRight w:val="0"/>
      <w:marTop w:val="0"/>
      <w:marBottom w:val="0"/>
      <w:divBdr>
        <w:top w:val="none" w:sz="0" w:space="0" w:color="auto"/>
        <w:left w:val="none" w:sz="0" w:space="0" w:color="auto"/>
        <w:bottom w:val="none" w:sz="0" w:space="0" w:color="auto"/>
        <w:right w:val="none" w:sz="0" w:space="0" w:color="auto"/>
      </w:divBdr>
    </w:div>
    <w:div w:id="1313951120">
      <w:bodyDiv w:val="1"/>
      <w:marLeft w:val="0"/>
      <w:marRight w:val="0"/>
      <w:marTop w:val="0"/>
      <w:marBottom w:val="0"/>
      <w:divBdr>
        <w:top w:val="none" w:sz="0" w:space="0" w:color="auto"/>
        <w:left w:val="none" w:sz="0" w:space="0" w:color="auto"/>
        <w:bottom w:val="none" w:sz="0" w:space="0" w:color="auto"/>
        <w:right w:val="none" w:sz="0" w:space="0" w:color="auto"/>
      </w:divBdr>
    </w:div>
    <w:div w:id="1358039481">
      <w:bodyDiv w:val="1"/>
      <w:marLeft w:val="0"/>
      <w:marRight w:val="0"/>
      <w:marTop w:val="0"/>
      <w:marBottom w:val="0"/>
      <w:divBdr>
        <w:top w:val="none" w:sz="0" w:space="0" w:color="auto"/>
        <w:left w:val="none" w:sz="0" w:space="0" w:color="auto"/>
        <w:bottom w:val="none" w:sz="0" w:space="0" w:color="auto"/>
        <w:right w:val="none" w:sz="0" w:space="0" w:color="auto"/>
      </w:divBdr>
      <w:divsChild>
        <w:div w:id="1769230937">
          <w:marLeft w:val="0"/>
          <w:marRight w:val="0"/>
          <w:marTop w:val="0"/>
          <w:marBottom w:val="0"/>
          <w:divBdr>
            <w:top w:val="none" w:sz="0" w:space="0" w:color="auto"/>
            <w:left w:val="none" w:sz="0" w:space="0" w:color="auto"/>
            <w:bottom w:val="none" w:sz="0" w:space="0" w:color="auto"/>
            <w:right w:val="none" w:sz="0" w:space="0" w:color="auto"/>
          </w:divBdr>
        </w:div>
      </w:divsChild>
    </w:div>
    <w:div w:id="1680112744">
      <w:bodyDiv w:val="1"/>
      <w:marLeft w:val="0"/>
      <w:marRight w:val="0"/>
      <w:marTop w:val="0"/>
      <w:marBottom w:val="0"/>
      <w:divBdr>
        <w:top w:val="none" w:sz="0" w:space="0" w:color="auto"/>
        <w:left w:val="none" w:sz="0" w:space="0" w:color="auto"/>
        <w:bottom w:val="none" w:sz="0" w:space="0" w:color="auto"/>
        <w:right w:val="none" w:sz="0" w:space="0" w:color="auto"/>
      </w:divBdr>
    </w:div>
    <w:div w:id="1976713335">
      <w:bodyDiv w:val="1"/>
      <w:marLeft w:val="0"/>
      <w:marRight w:val="0"/>
      <w:marTop w:val="0"/>
      <w:marBottom w:val="0"/>
      <w:divBdr>
        <w:top w:val="none" w:sz="0" w:space="0" w:color="auto"/>
        <w:left w:val="none" w:sz="0" w:space="0" w:color="auto"/>
        <w:bottom w:val="none" w:sz="0" w:space="0" w:color="auto"/>
        <w:right w:val="none" w:sz="0" w:space="0" w:color="auto"/>
      </w:divBdr>
    </w:div>
    <w:div w:id="1979453400">
      <w:bodyDiv w:val="1"/>
      <w:marLeft w:val="0"/>
      <w:marRight w:val="0"/>
      <w:marTop w:val="0"/>
      <w:marBottom w:val="0"/>
      <w:divBdr>
        <w:top w:val="none" w:sz="0" w:space="0" w:color="auto"/>
        <w:left w:val="none" w:sz="0" w:space="0" w:color="auto"/>
        <w:bottom w:val="none" w:sz="0" w:space="0" w:color="auto"/>
        <w:right w:val="none" w:sz="0" w:space="0" w:color="auto"/>
      </w:divBdr>
    </w:div>
    <w:div w:id="2140757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4990</TotalTime>
  <Pages>7</Pages>
  <Words>2893</Words>
  <Characters>16495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Davies,Vicky swp6978</dc:creator>
  <cp:keywords/>
  <dc:description/>
  <cp:lastModifiedBy>Davies,Vicky swp6978</cp:lastModifiedBy>
  <cp:revision>242</cp:revision>
  <dcterms:created xsi:type="dcterms:W3CDTF">2023-10-25T16:06:00Z</dcterms:created>
  <dcterms:modified xsi:type="dcterms:W3CDTF">2023-12-01T14:39:00Z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2023-10-26T07:33:02Z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93191d78-6a45-4dd5-81f2-e518f7306676</vt:lpwstr>
  </property>
  <property fmtid="{D5CDD505-2E9C-101B-9397-08002B2CF9AE}" pid="8" name="MSIP_Label_66cf8fe5-b7b7-4df7-b38d-1c61ac2f6639_ContentBits">
    <vt:lpwstr>0</vt:lpwstr>
  </property>
</Properties>
</file>