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96B5E7" w14:textId="6EC8B527" w:rsidR="00FD29EF" w:rsidRPr="00FD29EF" w:rsidRDefault="001C46F7" w:rsidP="00FD29EF">
      <w:pPr>
        <w:rPr>
          <w:sz w:val="16"/>
          <w:szCs w:val="16"/>
          <w:lang w:val="en" w:eastAsia="en-IN" w:bidi="bn-IN"/>
        </w:rPr>
      </w:pPr>
      <w:r w:rsidRPr="001C46F7">
        <w:rPr>
          <w:noProof/>
          <w:sz w:val="16"/>
          <w:szCs w:val="16"/>
          <w14:ligatures w14:val="standardContextual"/>
        </w:rPr>
        <w:drawing>
          <wp:inline distT="0" distB="0" distL="0" distR="0" wp14:anchorId="24DA8B96" wp14:editId="113A883C">
            <wp:extent cx="1992630" cy="996315"/>
            <wp:effectExtent l="0" t="0" r="7620" b="0"/>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92630" cy="996315"/>
                    </a:xfrm>
                    <a:prstGeom prst="rect">
                      <a:avLst/>
                    </a:prstGeom>
                  </pic:spPr>
                </pic:pic>
              </a:graphicData>
            </a:graphic>
          </wp:inline>
        </w:drawing>
      </w:r>
      <w:r w:rsidR="00FD29EF">
        <w:rPr>
          <w:lang w:val="en" w:eastAsia="en-IN" w:bidi="bn-IN"/>
        </w:rPr>
        <w:t xml:space="preserve">              </w:t>
      </w:r>
      <w:r w:rsidR="00FD29EF" w:rsidRPr="00FD29EF">
        <w:rPr>
          <w:sz w:val="16"/>
          <w:szCs w:val="16"/>
          <w:lang w:val="en" w:eastAsia="en-IN" w:bidi="bn-IN"/>
        </w:rPr>
        <w:t xml:space="preserve">               </w:t>
      </w:r>
    </w:p>
    <w:p w14:paraId="4CD84C45" w14:textId="77777777" w:rsidR="00FD29EF" w:rsidRDefault="00FD29EF" w:rsidP="00FD29EF">
      <w:pPr>
        <w:rPr>
          <w:lang w:val="en" w:eastAsia="en-IN" w:bidi="bn-IN"/>
        </w:rPr>
      </w:pPr>
    </w:p>
    <w:p w14:paraId="37994110" w14:textId="4B419A0B" w:rsidR="00FD29EF" w:rsidRPr="006F6EE9" w:rsidRDefault="001C46F7" w:rsidP="00FD29EF">
      <w:pPr>
        <w:rPr>
          <w:sz w:val="36"/>
          <w:szCs w:val="36"/>
          <w:lang w:val="en" w:eastAsia="en-IN" w:bidi="bn-IN"/>
        </w:rPr>
      </w:pPr>
      <w:r>
        <w:rPr>
          <w:lang w:val="en" w:eastAsia="en-IN" w:bidi="bn-IN"/>
        </w:rPr>
        <w:t xml:space="preserve">                       </w:t>
      </w:r>
      <w:r w:rsidR="00FD29EF">
        <w:rPr>
          <w:sz w:val="36"/>
          <w:szCs w:val="36"/>
          <w:lang w:val="en" w:eastAsia="en-IN" w:bidi="bn-IN"/>
        </w:rPr>
        <w:t xml:space="preserve">  </w:t>
      </w:r>
      <w:r w:rsidR="00FD29EF" w:rsidRPr="006F6EE9">
        <w:rPr>
          <w:sz w:val="36"/>
          <w:szCs w:val="36"/>
          <w:lang w:val="en" w:eastAsia="en-IN" w:bidi="bn-IN"/>
        </w:rPr>
        <w:t>University of Wales Trinity Saint David</w:t>
      </w:r>
    </w:p>
    <w:p w14:paraId="1E9E9D79" w14:textId="27DB9F7D" w:rsidR="00FD29EF" w:rsidRPr="006F6EE9" w:rsidRDefault="00FD29EF" w:rsidP="00FD29EF">
      <w:pPr>
        <w:rPr>
          <w:sz w:val="36"/>
          <w:szCs w:val="36"/>
          <w:lang w:val="en" w:eastAsia="en-IN" w:bidi="bn-IN"/>
        </w:rPr>
      </w:pPr>
      <w:r w:rsidRPr="006F6EE9">
        <w:rPr>
          <w:sz w:val="36"/>
          <w:szCs w:val="36"/>
          <w:lang w:val="en" w:eastAsia="en-IN" w:bidi="bn-IN"/>
        </w:rPr>
        <w:t xml:space="preserve">                          BA (Hons) Business Management</w:t>
      </w:r>
    </w:p>
    <w:p w14:paraId="331DD884" w14:textId="0396B9F1" w:rsidR="00106192" w:rsidRDefault="000F33CD" w:rsidP="00FD29EF">
      <w:pPr>
        <w:spacing w:before="240"/>
        <w:jc w:val="center"/>
        <w:rPr>
          <w:b/>
          <w:sz w:val="32"/>
          <w:szCs w:val="32"/>
        </w:rPr>
      </w:pPr>
      <w:r>
        <w:rPr>
          <w:b/>
          <w:sz w:val="32"/>
          <w:szCs w:val="32"/>
        </w:rPr>
        <w:t xml:space="preserve"> MODULE NAME: INTERNATIONAL BUSINESS COMMUNICATIONS</w:t>
      </w:r>
    </w:p>
    <w:p w14:paraId="2FDDFA37" w14:textId="3BE399F0" w:rsidR="00106192" w:rsidRDefault="000F33CD" w:rsidP="00FD29EF">
      <w:pPr>
        <w:spacing w:before="240"/>
        <w:jc w:val="center"/>
        <w:rPr>
          <w:b/>
          <w:sz w:val="32"/>
          <w:szCs w:val="32"/>
        </w:rPr>
      </w:pPr>
      <w:r>
        <w:rPr>
          <w:b/>
          <w:sz w:val="32"/>
          <w:szCs w:val="32"/>
        </w:rPr>
        <w:t xml:space="preserve"> MODULE CODE: LCBB6001</w:t>
      </w:r>
    </w:p>
    <w:p w14:paraId="608E957A" w14:textId="065BB6B6" w:rsidR="00106192" w:rsidRDefault="000F33CD" w:rsidP="00FD29EF">
      <w:pPr>
        <w:spacing w:before="240"/>
        <w:jc w:val="center"/>
        <w:rPr>
          <w:b/>
          <w:sz w:val="32"/>
          <w:szCs w:val="32"/>
        </w:rPr>
      </w:pPr>
      <w:r>
        <w:rPr>
          <w:b/>
          <w:sz w:val="32"/>
          <w:szCs w:val="32"/>
        </w:rPr>
        <w:t xml:space="preserve">  ASSIGNMENT TITLE: COMPONENT 1 COURSEWORK: ESSAY</w:t>
      </w:r>
    </w:p>
    <w:p w14:paraId="62589269" w14:textId="3C923AEB" w:rsidR="00FD29EF" w:rsidRDefault="00FD29EF" w:rsidP="00FD29EF">
      <w:pPr>
        <w:spacing w:before="240"/>
        <w:jc w:val="center"/>
        <w:rPr>
          <w:b/>
          <w:sz w:val="32"/>
          <w:szCs w:val="32"/>
        </w:rPr>
      </w:pPr>
      <w:proofErr w:type="gramStart"/>
      <w:r>
        <w:rPr>
          <w:b/>
          <w:sz w:val="32"/>
          <w:szCs w:val="32"/>
        </w:rPr>
        <w:t>LECTURER:DR</w:t>
      </w:r>
      <w:proofErr w:type="gramEnd"/>
      <w:r>
        <w:rPr>
          <w:b/>
          <w:sz w:val="32"/>
          <w:szCs w:val="32"/>
        </w:rPr>
        <w:t>.CHARLES NWOGWUGWU</w:t>
      </w:r>
    </w:p>
    <w:p w14:paraId="55E67B9C" w14:textId="125F40C4" w:rsidR="00106192" w:rsidRDefault="00FD29EF" w:rsidP="00FD29EF">
      <w:pPr>
        <w:spacing w:before="240"/>
        <w:rPr>
          <w:b/>
          <w:sz w:val="32"/>
          <w:szCs w:val="32"/>
        </w:rPr>
      </w:pPr>
      <w:r>
        <w:rPr>
          <w:b/>
          <w:sz w:val="32"/>
          <w:szCs w:val="32"/>
        </w:rPr>
        <w:t xml:space="preserve">                          </w:t>
      </w:r>
      <w:r w:rsidR="000F33CD">
        <w:rPr>
          <w:b/>
          <w:sz w:val="32"/>
          <w:szCs w:val="32"/>
        </w:rPr>
        <w:t>STUDENT NAME: OVIDIU CALIN</w:t>
      </w:r>
    </w:p>
    <w:p w14:paraId="120C4E09" w14:textId="77777777" w:rsidR="00FD29EF" w:rsidRDefault="000F33CD">
      <w:pPr>
        <w:spacing w:before="240"/>
        <w:jc w:val="center"/>
        <w:rPr>
          <w:b/>
          <w:sz w:val="32"/>
          <w:szCs w:val="32"/>
        </w:rPr>
      </w:pPr>
      <w:r>
        <w:rPr>
          <w:b/>
          <w:sz w:val="32"/>
          <w:szCs w:val="32"/>
        </w:rPr>
        <w:t>STUDENT ID:</w:t>
      </w:r>
      <w:r w:rsidR="00FD29EF">
        <w:rPr>
          <w:b/>
          <w:sz w:val="32"/>
          <w:szCs w:val="32"/>
        </w:rPr>
        <w:t>2131059</w:t>
      </w:r>
    </w:p>
    <w:p w14:paraId="06210264" w14:textId="647A92B8" w:rsidR="00106192" w:rsidRDefault="00FD29EF">
      <w:pPr>
        <w:spacing w:before="240"/>
        <w:jc w:val="center"/>
        <w:rPr>
          <w:b/>
          <w:sz w:val="32"/>
          <w:szCs w:val="32"/>
        </w:rPr>
      </w:pPr>
      <w:r>
        <w:rPr>
          <w:b/>
          <w:sz w:val="32"/>
          <w:szCs w:val="32"/>
        </w:rPr>
        <w:t>DATA</w:t>
      </w:r>
      <w:r w:rsidR="000F33CD">
        <w:rPr>
          <w:b/>
          <w:sz w:val="32"/>
          <w:szCs w:val="32"/>
        </w:rPr>
        <w:t xml:space="preserve"> </w:t>
      </w:r>
      <w:r>
        <w:rPr>
          <w:b/>
          <w:sz w:val="32"/>
          <w:szCs w:val="32"/>
        </w:rPr>
        <w:t xml:space="preserve">:31/08/2024                                                                   </w:t>
      </w:r>
    </w:p>
    <w:p w14:paraId="3B656D53" w14:textId="77777777" w:rsidR="00106192" w:rsidRDefault="000F33CD">
      <w:pPr>
        <w:rPr>
          <w:b/>
          <w:sz w:val="28"/>
          <w:szCs w:val="28"/>
        </w:rPr>
      </w:pPr>
      <w:r>
        <w:br w:type="page"/>
      </w:r>
    </w:p>
    <w:p w14:paraId="3D1FEF6E" w14:textId="77777777" w:rsidR="00106192" w:rsidRDefault="000F33CD">
      <w:pPr>
        <w:rPr>
          <w:b/>
          <w:sz w:val="28"/>
          <w:szCs w:val="28"/>
        </w:rPr>
      </w:pPr>
      <w:r>
        <w:rPr>
          <w:b/>
          <w:sz w:val="28"/>
          <w:szCs w:val="28"/>
        </w:rPr>
        <w:lastRenderedPageBreak/>
        <w:t xml:space="preserve">Introduction </w:t>
      </w:r>
    </w:p>
    <w:p w14:paraId="0D31267B" w14:textId="77777777" w:rsidR="00106192" w:rsidRDefault="000F33CD">
      <w:r>
        <w:t xml:space="preserve">As opined by </w:t>
      </w:r>
      <w:proofErr w:type="spellStart"/>
      <w:r>
        <w:rPr>
          <w:color w:val="222222"/>
          <w:highlight w:val="white"/>
        </w:rPr>
        <w:t>Kalogiannidis</w:t>
      </w:r>
      <w:proofErr w:type="spellEnd"/>
      <w:r>
        <w:rPr>
          <w:color w:val="222222"/>
          <w:highlight w:val="white"/>
        </w:rPr>
        <w:t xml:space="preserve"> (2020), b</w:t>
      </w:r>
      <w:r>
        <w:t xml:space="preserve">usiness communication is a method for expanding the business internationally. Communication enables companies to share all values and missions to all other countries around the globe. This study will discuss the business communication of British business. This study will choose the British multinational consumer goods company of John Lewis. The essay will describe the cultural differences between two countries, Sweden, and Germany. The study will evaluate the barriers of communication in business. This essay will provide recommendations for expansion of British business. Moreover, this study will examine the strategies to resolve the communication challenges to build a positive environment. </w:t>
      </w:r>
    </w:p>
    <w:p w14:paraId="319DF628" w14:textId="77777777" w:rsidR="00106192" w:rsidRDefault="000F33CD">
      <w:pPr>
        <w:rPr>
          <w:b/>
          <w:sz w:val="28"/>
          <w:szCs w:val="28"/>
        </w:rPr>
      </w:pPr>
      <w:r>
        <w:rPr>
          <w:b/>
          <w:sz w:val="28"/>
          <w:szCs w:val="28"/>
        </w:rPr>
        <w:t>Main body</w:t>
      </w:r>
    </w:p>
    <w:p w14:paraId="13F91C39" w14:textId="77777777" w:rsidR="00106192" w:rsidRDefault="000F33CD">
      <w:pPr>
        <w:rPr>
          <w:b/>
        </w:rPr>
      </w:pPr>
      <w:r>
        <w:rPr>
          <w:b/>
        </w:rPr>
        <w:t xml:space="preserve">Organisation Overview  </w:t>
      </w:r>
    </w:p>
    <w:p w14:paraId="56BC7951" w14:textId="77777777" w:rsidR="00106192" w:rsidRDefault="000F33CD">
      <w:r>
        <w:t>As per the opinion of johnlewispartnership.co.uk (2024), the company John Lewis &amp; Partners is a British brand operating in a high-store department in the UK. This is a retail company developed in 1864 by John Lewis whose headquarters are in England, London. The number of staff employed in this company is 38100. In addition to this, the products sold by this retail company are clothing, homewares, jewellery, financial services, and grocery items. The chairman of this company is Sharon White and Nish Kanchwala is the CEO of this company. The operating income for this company in 2024 is £170 million and the revenue earned by this company in 2024 is £7.7 billion (johnlewispartnership.co.uk, 2024). The company John Lewis Partnership was stated as the first department supply founded in the UK and adopted central buying, creating the 'Jonell(e)' name for their own-brand stock in the year 1937.</w:t>
      </w:r>
    </w:p>
    <w:p w14:paraId="178704A0" w14:textId="77777777" w:rsidR="00106192" w:rsidRDefault="000F33CD">
      <w:pPr>
        <w:rPr>
          <w:b/>
        </w:rPr>
      </w:pPr>
      <w:r>
        <w:rPr>
          <w:b/>
        </w:rPr>
        <w:t xml:space="preserve">Analysing the cultural differences between two EU countries </w:t>
      </w:r>
    </w:p>
    <w:p w14:paraId="31C92CB1" w14:textId="77777777" w:rsidR="00106192" w:rsidRDefault="000F33CD">
      <w:r>
        <w:t>The cultural differences between the two EU countries of Sweden and Germany includes -</w:t>
      </w:r>
    </w:p>
    <w:p w14:paraId="0DC44F7B" w14:textId="77777777" w:rsidR="00106192" w:rsidRDefault="000F33CD">
      <w:pPr>
        <w:rPr>
          <w:b/>
          <w:i/>
        </w:rPr>
      </w:pPr>
      <w:r>
        <w:rPr>
          <w:b/>
          <w:i/>
        </w:rPr>
        <w:t>Power distance</w:t>
      </w:r>
    </w:p>
    <w:p w14:paraId="3F29D89B" w14:textId="77777777" w:rsidR="00106192" w:rsidRDefault="000F33CD">
      <w:r>
        <w:t>As per the opinion of Kuhlmann</w:t>
      </w:r>
      <w:r>
        <w:rPr>
          <w:i/>
        </w:rPr>
        <w:t xml:space="preserve"> et al.</w:t>
      </w:r>
      <w:r>
        <w:t xml:space="preserve"> (2021), Germany is the lower power distance country, score is 35 and is highly decentralised while Sweden’s score as low power distant country is 31. Sweden’s power is decentralised where the managers count on team member’s experiences. In Germany the management takes the account of co determinant powers. In Germany the middle class facilitates the powers while in Sweden the leader, superior hierarchical positions facilitate the power and Sweden is independent. The attitude towards the managers is formal in Germany while in Sweden the attitude towards the managers is informal. In Germany the </w:t>
      </w:r>
      <w:r>
        <w:lastRenderedPageBreak/>
        <w:t xml:space="preserve">control is disliked and the leadership is also challenged while in Sweden the control is disliked by the powers of leaders are not challenged. </w:t>
      </w:r>
    </w:p>
    <w:p w14:paraId="4367919E" w14:textId="77777777" w:rsidR="00106192" w:rsidRDefault="000F33CD">
      <w:pPr>
        <w:rPr>
          <w:b/>
          <w:i/>
        </w:rPr>
      </w:pPr>
      <w:r>
        <w:rPr>
          <w:b/>
          <w:i/>
        </w:rPr>
        <w:t>Individualism</w:t>
      </w:r>
    </w:p>
    <w:p w14:paraId="774A3608" w14:textId="3DB0472C" w:rsidR="00106192" w:rsidRDefault="000F33CD">
      <w:r>
        <w:t xml:space="preserve">In Germany the society is an individualistic one with a score of 79 while Sweden is also an individualistic one with a score of 87. Germany always focuses on parent-child relationships other than extended ones. As opined by Heinze </w:t>
      </w:r>
      <w:r>
        <w:rPr>
          <w:i/>
        </w:rPr>
        <w:t>et al.</w:t>
      </w:r>
      <w:r>
        <w:t xml:space="preserve"> (2022), Sweden focuses on a knit social framework where children take care of themselves and their instant families. In Germany there is the existence of </w:t>
      </w:r>
      <w:r w:rsidR="009119A7">
        <w:t>self-actualisation</w:t>
      </w:r>
      <w:r>
        <w:t xml:space="preserve"> while in Sweden there is loss of self-esteem. In Germany the employees seem to remain loyal towards their employers while in Sweden the contract exists between the employee and employers. Germany gives a fair chance to employees to learn from mistakes while in Sweden the promotions are based on employees’ merits. </w:t>
      </w:r>
    </w:p>
    <w:p w14:paraId="7507D6BA" w14:textId="77777777" w:rsidR="00106192" w:rsidRDefault="000F33CD">
      <w:pPr>
        <w:rPr>
          <w:b/>
          <w:i/>
        </w:rPr>
      </w:pPr>
      <w:r>
        <w:rPr>
          <w:b/>
          <w:i/>
        </w:rPr>
        <w:t>Motivation towards success</w:t>
      </w:r>
    </w:p>
    <w:p w14:paraId="48C5874B" w14:textId="77777777" w:rsidR="00106192" w:rsidRDefault="000F33CD">
      <w:r>
        <w:t xml:space="preserve">As per motivation in achieving success Germany score is 66 and is termed as the Decisive society while Sweden scores 5 and is termed as Consensus society. In addition to this, in Germany the managers are decisive and assertive and in Sweden the motivation score is low so the managers look for consensus.in Sweden the managers are supportive towards employees while in Germany the employees already got huge managerial support (Yan </w:t>
      </w:r>
      <w:r>
        <w:rPr>
          <w:i/>
        </w:rPr>
        <w:t xml:space="preserve">et al., </w:t>
      </w:r>
      <w:r>
        <w:t xml:space="preserve">2020). In Germany there is limited chance of conflicts while in Sweden the conflicts are mitigated by negotiation. Germany lacks in providing employee incentives while Sweden provides the employee incentives as flexible hours. </w:t>
      </w:r>
    </w:p>
    <w:p w14:paraId="5CE42D79" w14:textId="77777777" w:rsidR="00106192" w:rsidRDefault="000F33CD">
      <w:pPr>
        <w:rPr>
          <w:b/>
          <w:i/>
        </w:rPr>
      </w:pPr>
      <w:r>
        <w:rPr>
          <w:b/>
          <w:i/>
        </w:rPr>
        <w:t>Avoidance of uncertainty</w:t>
      </w:r>
    </w:p>
    <w:p w14:paraId="38B16402" w14:textId="77777777" w:rsidR="00106192" w:rsidRDefault="000F33CD">
      <w:r>
        <w:t xml:space="preserve">According to the uncertainty avoidance countries the score of Germany is 65 while Sweden’s score is 29. Hence Sweden is having a low preference to avoid uncertainty. In addition to this, Germany is abided by the legal system where there is the existence of important rules while Sweden believes that the rules which do not work should be changed and abandoned (Wang and Mao, 2021). For the high level of uncertainty Germany is ready to give compensation while Sweden does not have such provision. In Germany the decision's certainty is not under the boss's responsibility but in Sweden the level of uncertainty is resolved by the boss. </w:t>
      </w:r>
    </w:p>
    <w:p w14:paraId="08566D88" w14:textId="77777777" w:rsidR="00106192" w:rsidRDefault="000F33CD">
      <w:pPr>
        <w:rPr>
          <w:b/>
          <w:i/>
        </w:rPr>
      </w:pPr>
      <w:r>
        <w:rPr>
          <w:b/>
          <w:i/>
        </w:rPr>
        <w:t>Long Term orientation</w:t>
      </w:r>
    </w:p>
    <w:p w14:paraId="76B4B4D9" w14:textId="77777777" w:rsidR="00106192" w:rsidRDefault="000F33CD">
      <w:r>
        <w:t xml:space="preserve">Germany is a pragmatic country with a score of 57 while Sweden as per this long-term orientation scoreless which is 53. German people believe truth is dependent on context, situation and time and Sweden believes truth is unchangeable. The traditions are accepted by German people as per changing circumstances while in Sweden it becomes difficult for people </w:t>
      </w:r>
      <w:r>
        <w:lastRenderedPageBreak/>
        <w:t>to adapt to the changing circumstances. However, Sweden has not expressed a clear preference for this long-term orientation (Demertzis. and Eyerman, 2020).</w:t>
      </w:r>
    </w:p>
    <w:p w14:paraId="0D8ADCC0" w14:textId="77777777" w:rsidR="00106192" w:rsidRDefault="000F33CD">
      <w:pPr>
        <w:rPr>
          <w:b/>
          <w:i/>
        </w:rPr>
      </w:pPr>
      <w:r>
        <w:rPr>
          <w:b/>
          <w:i/>
        </w:rPr>
        <w:t xml:space="preserve">Indulgence </w:t>
      </w:r>
    </w:p>
    <w:p w14:paraId="2343653A" w14:textId="77777777" w:rsidR="00106192" w:rsidRDefault="000F33CD">
      <w:r>
        <w:t>Germany has a low score of 40 that designates that German culture is controlled in nature. Moreover, the low score in this measurement has the propensity to cynicism and pessimism. In addition to this, the score Sweden possesses is 78 that is higher which states that Swedish culture is one of Indulgence. In addition to this, the people residing in societies have been segmented by this highest Indulgence score. In Sweden they have an encouraging attitude and have a leaning towards optimism. However, in Germany the restrained societies have not emphasised on their leisure time and have a control over their desire gratification.</w:t>
      </w:r>
    </w:p>
    <w:p w14:paraId="6B8F33BD" w14:textId="77777777" w:rsidR="00106192" w:rsidRDefault="000F33CD">
      <w:pPr>
        <w:jc w:val="center"/>
        <w:rPr>
          <w:b/>
        </w:rPr>
      </w:pPr>
      <w:r>
        <w:rPr>
          <w:b/>
          <w:noProof/>
        </w:rPr>
        <w:drawing>
          <wp:inline distT="0" distB="0" distL="0" distR="0" wp14:anchorId="4F662FAB" wp14:editId="1E3FA610">
            <wp:extent cx="5651433" cy="299502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51433" cy="2995028"/>
                    </a:xfrm>
                    <a:prstGeom prst="rect">
                      <a:avLst/>
                    </a:prstGeom>
                    <a:ln w="12700">
                      <a:solidFill>
                        <a:srgbClr val="000000"/>
                      </a:solidFill>
                      <a:prstDash val="solid"/>
                    </a:ln>
                  </pic:spPr>
                </pic:pic>
              </a:graphicData>
            </a:graphic>
          </wp:inline>
        </w:drawing>
      </w:r>
    </w:p>
    <w:p w14:paraId="6FC0D969" w14:textId="77777777" w:rsidR="00106192" w:rsidRDefault="000F33CD">
      <w:pPr>
        <w:jc w:val="center"/>
        <w:rPr>
          <w:b/>
        </w:rPr>
      </w:pPr>
      <w:r>
        <w:rPr>
          <w:b/>
        </w:rPr>
        <w:t>Figure 1: Cultural Difference Using Hofstede Model</w:t>
      </w:r>
    </w:p>
    <w:p w14:paraId="546185CF" w14:textId="77777777" w:rsidR="00106192" w:rsidRDefault="000F33CD">
      <w:pPr>
        <w:jc w:val="center"/>
        <w:rPr>
          <w:b/>
        </w:rPr>
      </w:pPr>
      <w:r>
        <w:rPr>
          <w:b/>
        </w:rPr>
        <w:t xml:space="preserve">(Source: </w:t>
      </w:r>
      <w:r>
        <w:rPr>
          <w:b/>
          <w:color w:val="222222"/>
          <w:highlight w:val="white"/>
        </w:rPr>
        <w:t>hofstede-insights.com, 2024)</w:t>
      </w:r>
    </w:p>
    <w:p w14:paraId="3C5728FF" w14:textId="77777777" w:rsidR="00106192" w:rsidRDefault="000F33CD">
      <w:pPr>
        <w:rPr>
          <w:b/>
        </w:rPr>
      </w:pPr>
      <w:r>
        <w:rPr>
          <w:b/>
        </w:rPr>
        <w:t xml:space="preserve">Cultural Barriers to be Faced by John Lewis during Expansion </w:t>
      </w:r>
    </w:p>
    <w:p w14:paraId="76CC8D75" w14:textId="77777777" w:rsidR="00106192" w:rsidRDefault="000F33CD">
      <w:r>
        <w:t xml:space="preserve">As per the report of hofstede-insights.com (2024), in Sweden there includes the barrier of decentralised control due to higher power index values, which lead to </w:t>
      </w:r>
      <w:r>
        <w:rPr>
          <w:b/>
        </w:rPr>
        <w:t>loss of control over management decisions</w:t>
      </w:r>
      <w:r>
        <w:t xml:space="preserve">. In Germany the </w:t>
      </w:r>
      <w:r>
        <w:rPr>
          <w:b/>
        </w:rPr>
        <w:t xml:space="preserve">communication barriers </w:t>
      </w:r>
      <w:r>
        <w:t xml:space="preserve">can be the biggest cultural difference as communication is an integral part between employees and employers.  In addition to this, in Sweden the motivation towards achievement scores is very low which shows that employees are not directed towards the performance, showing that John Lewis might face </w:t>
      </w:r>
      <w:r>
        <w:rPr>
          <w:b/>
        </w:rPr>
        <w:t>struggle to manage performance levels</w:t>
      </w:r>
      <w:r>
        <w:t xml:space="preserve"> of employees. Thus, there might be complications with </w:t>
      </w:r>
      <w:r>
        <w:rPr>
          <w:b/>
        </w:rPr>
        <w:t>employee motivation</w:t>
      </w:r>
      <w:r>
        <w:t xml:space="preserve"> as well. In addition to this, the uncertainty avoidance in Germany is high that can result in </w:t>
      </w:r>
      <w:r>
        <w:rPr>
          <w:b/>
        </w:rPr>
        <w:t>inflexibility to overcome the cultural barriers</w:t>
      </w:r>
      <w:r>
        <w:t xml:space="preserve">. Due to the level of </w:t>
      </w:r>
      <w:r>
        <w:lastRenderedPageBreak/>
        <w:t xml:space="preserve">inflexibility Germany will be facing some problems to adopt innovation (Woods, 2021). In addition to this, this can be a hurdle for the business in Germany. In Sweden the long-term orientation score is low so there will be </w:t>
      </w:r>
      <w:r>
        <w:rPr>
          <w:b/>
        </w:rPr>
        <w:t>instability for organisational growth</w:t>
      </w:r>
      <w:r>
        <w:t xml:space="preserve"> in the longer time period which will be the biggest cultural difference. The people and the societies will remain unstable to adopt the new advanced changing traditions and approaches (</w:t>
      </w:r>
      <w:r>
        <w:rPr>
          <w:color w:val="222222"/>
          <w:highlight w:val="white"/>
        </w:rPr>
        <w:t xml:space="preserve">Delling </w:t>
      </w:r>
      <w:r>
        <w:rPr>
          <w:i/>
          <w:color w:val="222222"/>
          <w:highlight w:val="white"/>
        </w:rPr>
        <w:t>et al.,</w:t>
      </w:r>
      <w:r>
        <w:rPr>
          <w:color w:val="222222"/>
          <w:highlight w:val="white"/>
        </w:rPr>
        <w:t xml:space="preserve"> 2022)</w:t>
      </w:r>
      <w:r>
        <w:t xml:space="preserve">. In addition to this, this will </w:t>
      </w:r>
      <w:r>
        <w:rPr>
          <w:b/>
        </w:rPr>
        <w:t>lack in bringing innovation</w:t>
      </w:r>
      <w:r>
        <w:t xml:space="preserve">.  Moreover, in Germany the </w:t>
      </w:r>
      <w:r>
        <w:rPr>
          <w:b/>
        </w:rPr>
        <w:t>culture is restrained</w:t>
      </w:r>
      <w:r>
        <w:t xml:space="preserve"> in nature so there is no room for leisure time, which might lead to intense work pressure and make employee management difficult for the company. Thus, people feel themselves to be indulged and restrained by social norms. </w:t>
      </w:r>
    </w:p>
    <w:p w14:paraId="205BC501" w14:textId="77777777" w:rsidR="00106192" w:rsidRDefault="000F33CD">
      <w:pPr>
        <w:rPr>
          <w:b/>
        </w:rPr>
      </w:pPr>
      <w:r>
        <w:rPr>
          <w:b/>
        </w:rPr>
        <w:t xml:space="preserve">Evaluating communication barriers in business </w:t>
      </w:r>
    </w:p>
    <w:p w14:paraId="7BA188CF" w14:textId="77777777" w:rsidR="00106192" w:rsidRDefault="000F33CD">
      <w:pPr>
        <w:rPr>
          <w:b/>
          <w:i/>
        </w:rPr>
      </w:pPr>
      <w:r>
        <w:rPr>
          <w:b/>
          <w:i/>
        </w:rPr>
        <w:t>Language Barriers</w:t>
      </w:r>
    </w:p>
    <w:p w14:paraId="7F0A580B" w14:textId="77777777" w:rsidR="00106192" w:rsidRDefault="000F33CD">
      <w:r>
        <w:t xml:space="preserve">As per the opinion of Al Shamsi </w:t>
      </w:r>
      <w:r>
        <w:rPr>
          <w:i/>
        </w:rPr>
        <w:t xml:space="preserve">et al. </w:t>
      </w:r>
      <w:r>
        <w:t>(2020), the language barriers are the key communication barriers in business, it includes various types of factors, which are linguistic. For example, utilising the advanced jargon for business can make the message of the organisation hard to understand. Other examples, slang, abbreviations or unfamiliar expressions. In addition to this, these barriers to the impactful communication are the incapability to understand one another due to not sharing the similar language as well as misunderstanding due to the variety of the knowledge in language (</w:t>
      </w:r>
      <w:proofErr w:type="spellStart"/>
      <w:r>
        <w:t>Tohidast</w:t>
      </w:r>
      <w:proofErr w:type="spellEnd"/>
      <w:r>
        <w:t xml:space="preserve"> </w:t>
      </w:r>
      <w:r>
        <w:rPr>
          <w:i/>
        </w:rPr>
        <w:t xml:space="preserve">et al., </w:t>
      </w:r>
      <w:r>
        <w:t>2020). In addition to this, it is obvious that if two or more individuals do not speak the similar language, they might struggle to share many ideas in a meaningful path accordingly as well.</w:t>
      </w:r>
    </w:p>
    <w:p w14:paraId="4AE09F19" w14:textId="77777777" w:rsidR="00106192" w:rsidRDefault="000F33CD">
      <w:pPr>
        <w:rPr>
          <w:b/>
          <w:i/>
        </w:rPr>
      </w:pPr>
      <w:r>
        <w:rPr>
          <w:b/>
          <w:i/>
        </w:rPr>
        <w:t>Cultural Barriers</w:t>
      </w:r>
    </w:p>
    <w:p w14:paraId="26445AB9" w14:textId="77777777" w:rsidR="00106192" w:rsidRDefault="000F33CD">
      <w:r>
        <w:t xml:space="preserve">As per the view of </w:t>
      </w:r>
      <w:proofErr w:type="spellStart"/>
      <w:r>
        <w:t>Sovacool</w:t>
      </w:r>
      <w:proofErr w:type="spellEnd"/>
      <w:r>
        <w:t xml:space="preserve"> and Griffiths (2020), the cultural barriers in the communication are known to be the misunderstanding among individuals with various cultures. In addition to this, it occurs due to the way individuals see the world as well as tackle the situation, as where they have socialised and brought up accordingly as well. Apart from that, these cultural barriers mainly come from various taboos, beliefs along with meanings allocated to signs accordingly as well. </w:t>
      </w:r>
    </w:p>
    <w:p w14:paraId="2759407A" w14:textId="77777777" w:rsidR="00106192" w:rsidRDefault="000F33CD">
      <w:pPr>
        <w:rPr>
          <w:b/>
          <w:i/>
        </w:rPr>
      </w:pPr>
      <w:r>
        <w:rPr>
          <w:b/>
          <w:i/>
        </w:rPr>
        <w:t>Psychological Barriers</w:t>
      </w:r>
    </w:p>
    <w:p w14:paraId="260B56EC" w14:textId="77777777" w:rsidR="00106192" w:rsidRDefault="000F33CD">
      <w:r>
        <w:t xml:space="preserve">As per the opinion of Desrochers and Zelenski (2023), psychological barriers also refer to a key communication barrier. This includes facing complexities in receiving and sending data caused due to the lack of one or many cognitive capabilities. In addition to this, it includes hearing difficulties, poor eyesight, along with general ill-health. Apart from that, some individuals struggle with various types of disabilities, however, they can bring anyone else if the psychological barriers will be removed. For instance, if the firm can have its workers learn </w:t>
      </w:r>
      <w:r>
        <w:lastRenderedPageBreak/>
        <w:t xml:space="preserve">sign language to make the relying individuals on its conversation part accordingly as well (Sandstrom, Boothby, and Cooney, 2022). </w:t>
      </w:r>
    </w:p>
    <w:p w14:paraId="1C1263F8" w14:textId="77777777" w:rsidR="00106192" w:rsidRDefault="000F33CD">
      <w:pPr>
        <w:rPr>
          <w:b/>
          <w:i/>
        </w:rPr>
      </w:pPr>
      <w:r>
        <w:rPr>
          <w:b/>
          <w:i/>
        </w:rPr>
        <w:t>Physical Barriers</w:t>
      </w:r>
    </w:p>
    <w:p w14:paraId="0891D878" w14:textId="77777777" w:rsidR="00106192" w:rsidRDefault="000F33CD">
      <w:r>
        <w:t xml:space="preserve">As mentioned by Chen </w:t>
      </w:r>
      <w:r>
        <w:rPr>
          <w:i/>
        </w:rPr>
        <w:t>et al.</w:t>
      </w:r>
      <w:r>
        <w:t xml:space="preserve"> (2020), the physical communication barrier also refers to a communication barrier, including any physical obstacles, which could hinder communication. For example, if a manager works in a distinct office, workers might not communicate with the manager in a frequent manner. In addition to this, the other physical barriers types include office layout, closed doors, and where individuals sit within the office. Apart from that, these barriers are anything touchable in the real world, whose absence or presence might make communication complex or hard. In the world before advanced technology, these barriers were the key communication barriers (Wang </w:t>
      </w:r>
      <w:r>
        <w:rPr>
          <w:i/>
        </w:rPr>
        <w:t>et al.,</w:t>
      </w:r>
      <w:r>
        <w:t xml:space="preserve"> 2022). </w:t>
      </w:r>
    </w:p>
    <w:p w14:paraId="5E2A2FFC" w14:textId="77777777" w:rsidR="00106192" w:rsidRDefault="000F33CD">
      <w:pPr>
        <w:rPr>
          <w:b/>
          <w:i/>
        </w:rPr>
      </w:pPr>
      <w:r>
        <w:rPr>
          <w:b/>
          <w:i/>
        </w:rPr>
        <w:t>Emotional Barriers</w:t>
      </w:r>
    </w:p>
    <w:p w14:paraId="137FBFD3" w14:textId="77777777" w:rsidR="00106192" w:rsidRDefault="000F33CD">
      <w:r>
        <w:t>As per the view of Kimberley and Thursby (2020), the emotional barriers are also a big communication barrier, which includes lack of confidence, distrust, or feeling unsupported. In addition to this, these types of barriers could impact other working aspects accordingly as well. In addition to this, if the business recognises an emotional barrier, might consider planning a meeting with that person so the business can determine a great solution together. Apart from that, these barriers to impactful communication are the feeling that the business has that could become a barrier to hear what others say from sharing new ideas to others. Besides that, the emotional state along with the attitudes could be shaped by both the individual communicating with or the content of the message (</w:t>
      </w:r>
      <w:proofErr w:type="spellStart"/>
      <w:r>
        <w:t>Scaglioni</w:t>
      </w:r>
      <w:proofErr w:type="spellEnd"/>
      <w:r>
        <w:t xml:space="preserve"> </w:t>
      </w:r>
      <w:r>
        <w:rPr>
          <w:i/>
        </w:rPr>
        <w:t xml:space="preserve">et al., </w:t>
      </w:r>
      <w:r>
        <w:t>2024).</w:t>
      </w:r>
    </w:p>
    <w:p w14:paraId="1E73B741" w14:textId="77777777" w:rsidR="009119A7" w:rsidRDefault="000F33CD">
      <w:r>
        <w:rPr>
          <w:b/>
          <w:i/>
        </w:rPr>
        <w:t>Hierarchical Barriers</w:t>
      </w:r>
    </w:p>
    <w:p w14:paraId="4D02B16E" w14:textId="77777777" w:rsidR="008C537B" w:rsidRDefault="000F33CD">
      <w:r>
        <w:t xml:space="preserve">As per the opinion of Mahmood </w:t>
      </w:r>
      <w:r>
        <w:rPr>
          <w:i/>
        </w:rPr>
        <w:t>et al.</w:t>
      </w:r>
      <w:r>
        <w:t xml:space="preserve"> (2021), hierarchies are significant in organisations to ensure the organisational structure, however, communication can be complicated among the workers of differing status levels. In addition to this, hierarchical barriers could also be identified as communication barriers as these are likely more widespread in organisations where hierarchy is respected and enforced strictly, as well as workers of various statuses could only converse by the ‘official’ communication channels such as emails.</w:t>
      </w:r>
    </w:p>
    <w:p w14:paraId="26EEBCFF" w14:textId="2D0251A3" w:rsidR="00106192" w:rsidRDefault="000F33CD">
      <w:pPr>
        <w:rPr>
          <w:b/>
        </w:rPr>
      </w:pPr>
      <w:r>
        <w:rPr>
          <w:b/>
        </w:rPr>
        <w:t xml:space="preserve">Recommendation </w:t>
      </w:r>
    </w:p>
    <w:p w14:paraId="2FD55715" w14:textId="77777777" w:rsidR="00106192" w:rsidRDefault="000F33CD">
      <w:pPr>
        <w:rPr>
          <w:b/>
          <w:i/>
        </w:rPr>
      </w:pPr>
      <w:r>
        <w:rPr>
          <w:b/>
          <w:i/>
        </w:rPr>
        <w:t xml:space="preserve">Ways for British business expansion </w:t>
      </w:r>
    </w:p>
    <w:p w14:paraId="267A8F4E" w14:textId="77777777" w:rsidR="00106192" w:rsidRDefault="000F33CD">
      <w:r>
        <w:t xml:space="preserve">The company John Lewis for expanding its business in Sweden should mitigate the barriers of decentralised control so that the management can take necessary decisions. There is room for the management to </w:t>
      </w:r>
      <w:r>
        <w:rPr>
          <w:b/>
        </w:rPr>
        <w:t>improve in their decision-making process</w:t>
      </w:r>
      <w:r>
        <w:t xml:space="preserve">. Moreover, in order to expand in Germany, John Lewis should mitigate the barriers of communication so that the works can </w:t>
      </w:r>
      <w:r>
        <w:lastRenderedPageBreak/>
        <w:t xml:space="preserve">be manifested easily. In addition to this, a </w:t>
      </w:r>
      <w:r>
        <w:rPr>
          <w:b/>
        </w:rPr>
        <w:t>clear concise interaction</w:t>
      </w:r>
      <w:r>
        <w:t xml:space="preserve"> between employers and employees will enable this company to increase their profitability. For expansion in Sweden John Lewis must mitigate the challenge of performance level of the employees. The company in order to bring the employee motion and to enhance </w:t>
      </w:r>
      <w:r>
        <w:rPr>
          <w:b/>
        </w:rPr>
        <w:t>performance driven goals</w:t>
      </w:r>
      <w:r>
        <w:t xml:space="preserve">. This must provide </w:t>
      </w:r>
      <w:r>
        <w:rPr>
          <w:b/>
        </w:rPr>
        <w:t>flexible work hours and incentives</w:t>
      </w:r>
      <w:r>
        <w:t xml:space="preserve">. This can also help this company to reduce the inflexibility level in the barriers of culture. Moreover, the instability in organisational growth in Sweden should be resolved for this company John Lewis to make its expansion. The </w:t>
      </w:r>
      <w:r>
        <w:rPr>
          <w:b/>
        </w:rPr>
        <w:t>strategic partnerships</w:t>
      </w:r>
      <w:r>
        <w:t xml:space="preserve"> must be maintained by John Lewis in order to reduce this flexibility in business growth. In addition to this, the company John Lewis must use some innovative approaches like AI in order to resolve the issue of innovation in Sweden for increasing its business expansion there. The culture restrained issue in Germany should be mitigated by John Lewis for expanding its business there. This company should </w:t>
      </w:r>
      <w:r>
        <w:rPr>
          <w:b/>
        </w:rPr>
        <w:t xml:space="preserve">reduce work pressure </w:t>
      </w:r>
      <w:r>
        <w:t xml:space="preserve">among employees and should </w:t>
      </w:r>
      <w:r>
        <w:rPr>
          <w:b/>
        </w:rPr>
        <w:t xml:space="preserve">improve the employee trust, appreciation, work -life balance </w:t>
      </w:r>
      <w:r>
        <w:t xml:space="preserve">so that there is an increase in management of employees. </w:t>
      </w:r>
    </w:p>
    <w:p w14:paraId="46D87289" w14:textId="77777777" w:rsidR="00106192" w:rsidRDefault="000F33CD">
      <w:pPr>
        <w:rPr>
          <w:b/>
          <w:i/>
        </w:rPr>
      </w:pPr>
      <w:r>
        <w:rPr>
          <w:b/>
          <w:i/>
        </w:rPr>
        <w:t xml:space="preserve">Examining strategies to resolve communication challenges and making positive environment </w:t>
      </w:r>
    </w:p>
    <w:p w14:paraId="78AECB61" w14:textId="1489B98C" w:rsidR="00106192" w:rsidRDefault="000F33CD">
      <w:r>
        <w:t xml:space="preserve">The way to resolve language barriers is to seek the help of a </w:t>
      </w:r>
      <w:r w:rsidR="009119A7">
        <w:t>translator,</w:t>
      </w:r>
      <w:r>
        <w:t xml:space="preserve"> when necessary, mainly in formal settings. In addition to this, within an organisation, the solution might be having a great policy on what language needs to be used while tackling official matters like talking to clients or meetings (Al Shamsi </w:t>
      </w:r>
      <w:r>
        <w:rPr>
          <w:i/>
        </w:rPr>
        <w:t>et al.,</w:t>
      </w:r>
      <w:r>
        <w:t xml:space="preserve"> 2020). On the other hand, the cultural barriers can be resolved by encouraging team members to learn about the various cultures, mainly those they need to be contacted accordingly. Apart from that, the </w:t>
      </w:r>
      <w:r w:rsidR="009119A7">
        <w:t>organisation</w:t>
      </w:r>
      <w:r>
        <w:t xml:space="preserve"> needs to make an environment, which enables various types of cultures to co-exists. On the other hand, the key way to resolve the psychological barriers is to make the firm aware of this as well as improve their policies, which take care of their business accordingly. In addition to this, it might also develop by using exact software, which makes the digital content more usable to individuals with sight disability. On the other hand, physical barriers could be solved by identifying as much as possible ideas along with setting aside the required budget (Chen </w:t>
      </w:r>
      <w:r>
        <w:rPr>
          <w:i/>
        </w:rPr>
        <w:t xml:space="preserve">et al., </w:t>
      </w:r>
      <w:r>
        <w:t xml:space="preserve">2020). In addition to this, it also includes planning new ideas for dealing with the problems to do with the regular habits. On the other hand, emotional barriers could be resolved by identifying and acknowledging the feelings about the individuals along with the messages shared by them accordingly as well. On the other hand, the key ways to resolve hierarchical barriers to communication barriers includes encouraging open communication, fostering teamwork and collaboration, fostering a great learning culture. In addition to this, it could also be resolved by </w:t>
      </w:r>
      <w:r>
        <w:lastRenderedPageBreak/>
        <w:t xml:space="preserve">empowering workers, and provide development to the leadership accordingly as well (Mahmood </w:t>
      </w:r>
      <w:r>
        <w:rPr>
          <w:i/>
        </w:rPr>
        <w:t>et al.,</w:t>
      </w:r>
      <w:r>
        <w:t xml:space="preserve"> 2021). </w:t>
      </w:r>
    </w:p>
    <w:p w14:paraId="64BD51BB" w14:textId="77777777" w:rsidR="00106192" w:rsidRDefault="000F33CD">
      <w:pPr>
        <w:rPr>
          <w:b/>
          <w:sz w:val="28"/>
          <w:szCs w:val="28"/>
        </w:rPr>
      </w:pPr>
      <w:r>
        <w:rPr>
          <w:b/>
          <w:sz w:val="28"/>
          <w:szCs w:val="28"/>
        </w:rPr>
        <w:t xml:space="preserve">Conclusion </w:t>
      </w:r>
    </w:p>
    <w:p w14:paraId="4DF558C3" w14:textId="77777777" w:rsidR="00106192" w:rsidRDefault="000F33CD">
      <w:r>
        <w:t xml:space="preserve">From the above-conducted essay, it can be concluded that the chosen company, John Lewis, is a British multinational consumer goods company which wanted to expand among the two European countries like Sweden and Germany. The cultural differences between Sweden and Germany have been elaborated in this essay. The cultural barriers faced by John Lewis included lack of innovation, communication barrier, lack of employee performance level, inflexibility, instability in business growth and cultural restraints. The recommendation has been provided for this company to resolve these barriers and to expand their business in these countries Sweden and Germany. </w:t>
      </w:r>
      <w:r>
        <w:br w:type="page"/>
      </w:r>
    </w:p>
    <w:p w14:paraId="585B04E9" w14:textId="77777777" w:rsidR="00106192" w:rsidRDefault="000F33CD">
      <w:pPr>
        <w:rPr>
          <w:b/>
          <w:sz w:val="28"/>
          <w:szCs w:val="28"/>
        </w:rPr>
      </w:pPr>
      <w:r>
        <w:rPr>
          <w:b/>
          <w:sz w:val="28"/>
          <w:szCs w:val="28"/>
        </w:rPr>
        <w:lastRenderedPageBreak/>
        <w:t>References</w:t>
      </w:r>
    </w:p>
    <w:p w14:paraId="433AAE9E" w14:textId="77777777" w:rsidR="00E2115B" w:rsidRDefault="00E2115B">
      <w:r>
        <w:t xml:space="preserve">Al Shamsi, H., Almutairi, A.G., Al Mashrafi, S. and Al </w:t>
      </w:r>
      <w:proofErr w:type="spellStart"/>
      <w:r>
        <w:t>Kalbani</w:t>
      </w:r>
      <w:proofErr w:type="spellEnd"/>
      <w:r>
        <w:t xml:space="preserve">, T., 2020. Implications of language barriers for healthcare: a systematic review. </w:t>
      </w:r>
      <w:r>
        <w:rPr>
          <w:i/>
        </w:rPr>
        <w:t>Oman medical journal, 35</w:t>
      </w:r>
      <w:r>
        <w:t>(2), p.e122.</w:t>
      </w:r>
    </w:p>
    <w:p w14:paraId="3D49C5DB" w14:textId="77777777" w:rsidR="00E2115B" w:rsidRDefault="00E2115B">
      <w:r>
        <w:t xml:space="preserve">Chen, S.C., Wu, P.C., Wang, C.Y. and Kuo, P.L., 2020. Evaluation of cytotoxic T lymphocyte-mediated anticancer response against </w:t>
      </w:r>
      <w:proofErr w:type="spellStart"/>
      <w:r>
        <w:t>tumor</w:t>
      </w:r>
      <w:proofErr w:type="spellEnd"/>
      <w:r>
        <w:t xml:space="preserve"> </w:t>
      </w:r>
      <w:proofErr w:type="spellStart"/>
      <w:r>
        <w:t>interstitium</w:t>
      </w:r>
      <w:proofErr w:type="spellEnd"/>
      <w:r>
        <w:t xml:space="preserve">-simulating physical barriers. </w:t>
      </w:r>
      <w:r>
        <w:rPr>
          <w:i/>
        </w:rPr>
        <w:t>Scientific reports, 10</w:t>
      </w:r>
      <w:r>
        <w:t>(1), p.13662.</w:t>
      </w:r>
    </w:p>
    <w:p w14:paraId="52382FF5" w14:textId="77777777" w:rsidR="00E2115B" w:rsidRDefault="00E2115B">
      <w:pPr>
        <w:rPr>
          <w:color w:val="222222"/>
          <w:highlight w:val="white"/>
        </w:rPr>
      </w:pPr>
      <w:r>
        <w:rPr>
          <w:color w:val="222222"/>
          <w:highlight w:val="white"/>
        </w:rPr>
        <w:t xml:space="preserve">Delling, F.N., Noseworthy, P.A., Adams, D.H., Basso, C., Borger, M., </w:t>
      </w:r>
      <w:proofErr w:type="spellStart"/>
      <w:r>
        <w:rPr>
          <w:color w:val="222222"/>
          <w:highlight w:val="white"/>
        </w:rPr>
        <w:t>Bouatia</w:t>
      </w:r>
      <w:proofErr w:type="spellEnd"/>
      <w:r>
        <w:rPr>
          <w:color w:val="222222"/>
          <w:highlight w:val="white"/>
        </w:rPr>
        <w:t xml:space="preserve">-Naji, N., </w:t>
      </w:r>
      <w:proofErr w:type="spellStart"/>
      <w:r>
        <w:rPr>
          <w:color w:val="222222"/>
          <w:highlight w:val="white"/>
        </w:rPr>
        <w:t>Elmariah</w:t>
      </w:r>
      <w:proofErr w:type="spellEnd"/>
      <w:r>
        <w:rPr>
          <w:color w:val="222222"/>
          <w:highlight w:val="white"/>
        </w:rPr>
        <w:t>, S., Evans, F., Gerstenfeld, E., Hung, J. and Le Tourneau, T., (2022). Research opportunities in the treatment of mitral valve prolapse: JACC expert panel. </w:t>
      </w:r>
      <w:r>
        <w:rPr>
          <w:i/>
          <w:color w:val="222222"/>
          <w:highlight w:val="white"/>
        </w:rPr>
        <w:t>Journal of the American College of Cardiology</w:t>
      </w:r>
      <w:r>
        <w:rPr>
          <w:color w:val="222222"/>
          <w:highlight w:val="white"/>
        </w:rPr>
        <w:t>, </w:t>
      </w:r>
      <w:r>
        <w:rPr>
          <w:i/>
          <w:color w:val="222222"/>
          <w:highlight w:val="white"/>
        </w:rPr>
        <w:t>80</w:t>
      </w:r>
      <w:r>
        <w:rPr>
          <w:color w:val="222222"/>
          <w:highlight w:val="white"/>
        </w:rPr>
        <w:t>(24), pp.2331-2347.</w:t>
      </w:r>
    </w:p>
    <w:p w14:paraId="5094BC32" w14:textId="77777777" w:rsidR="00E2115B" w:rsidRDefault="00E2115B">
      <w:pPr>
        <w:rPr>
          <w:color w:val="222222"/>
          <w:highlight w:val="white"/>
        </w:rPr>
      </w:pPr>
      <w:r>
        <w:rPr>
          <w:color w:val="222222"/>
          <w:highlight w:val="white"/>
        </w:rPr>
        <w:t xml:space="preserve">Demertzis, N. and Eyerman, R., (2020). Covid-19 as cultural trauma. </w:t>
      </w:r>
      <w:r>
        <w:rPr>
          <w:i/>
          <w:color w:val="222222"/>
          <w:highlight w:val="white"/>
        </w:rPr>
        <w:t>American journal of cultural sociology</w:t>
      </w:r>
      <w:r>
        <w:rPr>
          <w:color w:val="222222"/>
          <w:highlight w:val="white"/>
        </w:rPr>
        <w:t xml:space="preserve">, </w:t>
      </w:r>
      <w:r>
        <w:rPr>
          <w:i/>
          <w:color w:val="222222"/>
          <w:highlight w:val="white"/>
        </w:rPr>
        <w:t>8</w:t>
      </w:r>
      <w:r>
        <w:rPr>
          <w:color w:val="222222"/>
          <w:highlight w:val="white"/>
        </w:rPr>
        <w:t>, pp.428-450.</w:t>
      </w:r>
    </w:p>
    <w:p w14:paraId="75049D1B" w14:textId="77777777" w:rsidR="00E2115B" w:rsidRDefault="00E2115B">
      <w:r>
        <w:t xml:space="preserve">Desrochers, J.E. and Zelenski, J.M., 2023. Why are males not doing these environmental </w:t>
      </w:r>
      <w:proofErr w:type="spellStart"/>
      <w:proofErr w:type="gramStart"/>
      <w:r>
        <w:t>behaviors</w:t>
      </w:r>
      <w:proofErr w:type="spellEnd"/>
      <w:r>
        <w:t>?:</w:t>
      </w:r>
      <w:proofErr w:type="gramEnd"/>
      <w:r>
        <w:t xml:space="preserve"> Exploring males’ psychological barriers to environmental action. </w:t>
      </w:r>
      <w:r>
        <w:rPr>
          <w:i/>
        </w:rPr>
        <w:t>Current Psychology, 42</w:t>
      </w:r>
      <w:r>
        <w:t>(29), pp.25042-25060.</w:t>
      </w:r>
    </w:p>
    <w:p w14:paraId="4D0C17EF" w14:textId="77777777" w:rsidR="00E2115B" w:rsidRDefault="00E2115B">
      <w:pPr>
        <w:rPr>
          <w:color w:val="222222"/>
          <w:highlight w:val="white"/>
        </w:rPr>
      </w:pPr>
      <w:r>
        <w:rPr>
          <w:color w:val="222222"/>
          <w:highlight w:val="white"/>
        </w:rPr>
        <w:t xml:space="preserve">Heinze, I., Boers, B., Stellmacher, M. and Platt, K.F., (2022). Is it just about me? A comparison between individual and cultural strategies of learning from failure. </w:t>
      </w:r>
      <w:r>
        <w:rPr>
          <w:i/>
          <w:color w:val="222222"/>
          <w:highlight w:val="white"/>
        </w:rPr>
        <w:t>International Journal of Educational Research Open</w:t>
      </w:r>
      <w:r>
        <w:rPr>
          <w:color w:val="222222"/>
          <w:highlight w:val="white"/>
        </w:rPr>
        <w:t xml:space="preserve">, </w:t>
      </w:r>
      <w:r>
        <w:rPr>
          <w:i/>
          <w:color w:val="222222"/>
          <w:highlight w:val="white"/>
        </w:rPr>
        <w:t>3</w:t>
      </w:r>
      <w:r>
        <w:rPr>
          <w:color w:val="222222"/>
          <w:highlight w:val="white"/>
        </w:rPr>
        <w:t>, p.100209.</w:t>
      </w:r>
    </w:p>
    <w:p w14:paraId="63FF00DE" w14:textId="77777777" w:rsidR="00E2115B" w:rsidRDefault="00E2115B">
      <w:r>
        <w:rPr>
          <w:color w:val="222222"/>
          <w:highlight w:val="white"/>
        </w:rPr>
        <w:t>hofstede-insights.com (2024)</w:t>
      </w:r>
      <w:r>
        <w:rPr>
          <w:i/>
          <w:color w:val="222222"/>
          <w:highlight w:val="white"/>
        </w:rPr>
        <w:t xml:space="preserve"> COUNTRY COMPARISON TOOL </w:t>
      </w:r>
      <w:r>
        <w:rPr>
          <w:color w:val="222222"/>
          <w:highlight w:val="white"/>
        </w:rPr>
        <w:t xml:space="preserve">Available at: https://www.hofstede-insights.com/country-comparison-tool?countries=germany%2Csweden </w:t>
      </w:r>
      <w:r>
        <w:t>[Accessed on 13th July 2024]</w:t>
      </w:r>
    </w:p>
    <w:p w14:paraId="48D124B5" w14:textId="77777777" w:rsidR="00E2115B" w:rsidRDefault="00E2115B">
      <w:r>
        <w:t xml:space="preserve">johnlewispartnership.co.uk (2024) </w:t>
      </w:r>
      <w:r>
        <w:rPr>
          <w:i/>
        </w:rPr>
        <w:t>About the organisation</w:t>
      </w:r>
      <w:r>
        <w:t xml:space="preserve"> Available at: https://www.johnlewispartnership.co.uk/content/dam/cws/pdfs/Juniper/FYR/John-Lewis-Partnership-plc-Full-Year-Results-14-March-2024.pdf [Accessed on 13th July 2024]</w:t>
      </w:r>
    </w:p>
    <w:p w14:paraId="1A7A085A" w14:textId="77777777" w:rsidR="00E2115B" w:rsidRDefault="00E2115B">
      <w:proofErr w:type="spellStart"/>
      <w:r>
        <w:rPr>
          <w:color w:val="222222"/>
          <w:highlight w:val="white"/>
        </w:rPr>
        <w:t>Kalogiannidis</w:t>
      </w:r>
      <w:proofErr w:type="spellEnd"/>
      <w:r>
        <w:rPr>
          <w:color w:val="222222"/>
          <w:highlight w:val="white"/>
        </w:rPr>
        <w:t>, S., (2020). Impact of effective business communication on employee performance. </w:t>
      </w:r>
      <w:r>
        <w:rPr>
          <w:i/>
          <w:color w:val="222222"/>
          <w:highlight w:val="white"/>
        </w:rPr>
        <w:t>European Journal of Business and Management Research</w:t>
      </w:r>
      <w:r>
        <w:rPr>
          <w:color w:val="222222"/>
          <w:highlight w:val="white"/>
        </w:rPr>
        <w:t>, </w:t>
      </w:r>
      <w:r>
        <w:rPr>
          <w:i/>
          <w:color w:val="222222"/>
          <w:highlight w:val="white"/>
        </w:rPr>
        <w:t>5</w:t>
      </w:r>
      <w:r>
        <w:rPr>
          <w:color w:val="222222"/>
          <w:highlight w:val="white"/>
        </w:rPr>
        <w:t>(6).</w:t>
      </w:r>
    </w:p>
    <w:p w14:paraId="569F1AF1" w14:textId="77777777" w:rsidR="00E2115B" w:rsidRDefault="00E2115B">
      <w:r>
        <w:t xml:space="preserve">Kimberley, E. and Thursby, M., 2020. Framing the text: Understanding emotional barriers to academic reading. </w:t>
      </w:r>
      <w:r>
        <w:rPr>
          <w:i/>
        </w:rPr>
        <w:t>Journal of University Teaching &amp; Learning Practice, 17</w:t>
      </w:r>
      <w:r>
        <w:t>(2), p.2.</w:t>
      </w:r>
    </w:p>
    <w:p w14:paraId="30D97CDF" w14:textId="77777777" w:rsidR="00E2115B" w:rsidRDefault="00E2115B">
      <w:pPr>
        <w:rPr>
          <w:color w:val="222222"/>
          <w:highlight w:val="white"/>
        </w:rPr>
      </w:pPr>
      <w:r>
        <w:rPr>
          <w:color w:val="222222"/>
          <w:highlight w:val="white"/>
        </w:rPr>
        <w:t xml:space="preserve">Kuhlmann, S., Hellström, M., Ramberg, U. and Reiter, R., (2021). Tracing divergence in crisis governance: responses to the COVID-19 pandemic in France, Germany and Sweden compared. </w:t>
      </w:r>
      <w:r>
        <w:rPr>
          <w:i/>
          <w:color w:val="222222"/>
          <w:highlight w:val="white"/>
        </w:rPr>
        <w:t>International Review of Administrative Sciences</w:t>
      </w:r>
      <w:r>
        <w:rPr>
          <w:color w:val="222222"/>
          <w:highlight w:val="white"/>
        </w:rPr>
        <w:t xml:space="preserve">, </w:t>
      </w:r>
      <w:r>
        <w:rPr>
          <w:i/>
          <w:color w:val="222222"/>
          <w:highlight w:val="white"/>
        </w:rPr>
        <w:t>87</w:t>
      </w:r>
      <w:r>
        <w:rPr>
          <w:color w:val="222222"/>
          <w:highlight w:val="white"/>
        </w:rPr>
        <w:t>(3), pp.556-575.</w:t>
      </w:r>
    </w:p>
    <w:p w14:paraId="22985161" w14:textId="77777777" w:rsidR="00E2115B" w:rsidRDefault="00E2115B">
      <w:r>
        <w:lastRenderedPageBreak/>
        <w:t xml:space="preserve">Mahmood, A., Arshad Ali, A., Nazam, M. and Nazim, M., 2021. Developing an interplay among the psychological barriers for the adoption of industry 4.0 phenomenon. </w:t>
      </w:r>
      <w:proofErr w:type="spellStart"/>
      <w:r>
        <w:rPr>
          <w:i/>
        </w:rPr>
        <w:t>PloS</w:t>
      </w:r>
      <w:proofErr w:type="spellEnd"/>
      <w:r>
        <w:rPr>
          <w:i/>
        </w:rPr>
        <w:t xml:space="preserve"> one, 16</w:t>
      </w:r>
      <w:r>
        <w:t>(8), p.e0255115.</w:t>
      </w:r>
    </w:p>
    <w:p w14:paraId="4876ABF6" w14:textId="77777777" w:rsidR="00E2115B" w:rsidRDefault="00E2115B">
      <w:r>
        <w:t xml:space="preserve">Sandstrom, G.M., Boothby, E.J. and Cooney, G., 2022. Talking to strangers: A week-long intervention reduces psychological barriers to social connection. </w:t>
      </w:r>
      <w:r>
        <w:rPr>
          <w:i/>
        </w:rPr>
        <w:t>Journal of Experimental Social Psychology, 102</w:t>
      </w:r>
      <w:r>
        <w:t>, p.104356.</w:t>
      </w:r>
    </w:p>
    <w:p w14:paraId="0BAFDF47" w14:textId="77777777" w:rsidR="00E2115B" w:rsidRDefault="00E2115B">
      <w:proofErr w:type="spellStart"/>
      <w:r>
        <w:t>Scaglioni</w:t>
      </w:r>
      <w:proofErr w:type="spellEnd"/>
      <w:r>
        <w:t xml:space="preserve">, G., Capasso, M., Bianchi, M., Caso, D. and </w:t>
      </w:r>
      <w:proofErr w:type="spellStart"/>
      <w:r>
        <w:t>Cavazza</w:t>
      </w:r>
      <w:proofErr w:type="spellEnd"/>
      <w:r>
        <w:t xml:space="preserve">, N., 2024. Facing the Emotional Barriers to Colorectal Cancer Screening. The Roles of Reappraisal and Situation Selection. </w:t>
      </w:r>
      <w:r>
        <w:rPr>
          <w:i/>
        </w:rPr>
        <w:t xml:space="preserve">International journal of </w:t>
      </w:r>
      <w:proofErr w:type="spellStart"/>
      <w:r>
        <w:rPr>
          <w:i/>
        </w:rPr>
        <w:t>behavioral</w:t>
      </w:r>
      <w:proofErr w:type="spellEnd"/>
      <w:r>
        <w:rPr>
          <w:i/>
        </w:rPr>
        <w:t xml:space="preserve"> medicine</w:t>
      </w:r>
      <w:r>
        <w:t>, pp.1-10.</w:t>
      </w:r>
    </w:p>
    <w:p w14:paraId="75155146" w14:textId="77777777" w:rsidR="00E2115B" w:rsidRDefault="00E2115B">
      <w:proofErr w:type="spellStart"/>
      <w:r>
        <w:t>Sovacool</w:t>
      </w:r>
      <w:proofErr w:type="spellEnd"/>
      <w:r>
        <w:t xml:space="preserve">, B.K. and Griffiths, S., 2020. The cultural barriers to a low-carbon future: A review of six mobility and energy transitions across 28 countries. </w:t>
      </w:r>
      <w:r>
        <w:rPr>
          <w:i/>
        </w:rPr>
        <w:t>Renewable and Sustainable Energy Reviews, 119,</w:t>
      </w:r>
      <w:r>
        <w:t xml:space="preserve"> p.109569.</w:t>
      </w:r>
    </w:p>
    <w:p w14:paraId="4DDBEA42" w14:textId="77777777" w:rsidR="00E2115B" w:rsidRDefault="00E2115B">
      <w:proofErr w:type="spellStart"/>
      <w:r>
        <w:t>Tohidast</w:t>
      </w:r>
      <w:proofErr w:type="spellEnd"/>
      <w:r>
        <w:t xml:space="preserve">, S.A., Mansuri, B., Bagheri, R. and Azimi, H., 2020. Provision of speech-language pathology services for the treatment of speech and language disorders in children during the COVID-19 pandemic: Problems, concerns, and solutions. </w:t>
      </w:r>
      <w:r>
        <w:rPr>
          <w:i/>
        </w:rPr>
        <w:t xml:space="preserve">International journal of </w:t>
      </w:r>
      <w:proofErr w:type="spellStart"/>
      <w:r>
        <w:rPr>
          <w:i/>
        </w:rPr>
        <w:t>pediatric</w:t>
      </w:r>
      <w:proofErr w:type="spellEnd"/>
      <w:r>
        <w:rPr>
          <w:i/>
        </w:rPr>
        <w:t xml:space="preserve"> otorhinolaryngology, 138</w:t>
      </w:r>
      <w:r>
        <w:t>, p.110262.</w:t>
      </w:r>
    </w:p>
    <w:p w14:paraId="08B6BB53" w14:textId="77777777" w:rsidR="00E2115B" w:rsidRDefault="00E2115B">
      <w:pPr>
        <w:rPr>
          <w:color w:val="222222"/>
          <w:highlight w:val="white"/>
        </w:rPr>
      </w:pPr>
      <w:r>
        <w:rPr>
          <w:color w:val="222222"/>
          <w:highlight w:val="white"/>
        </w:rPr>
        <w:t xml:space="preserve">Wang, D. and Mao, Z., (2021). A comparative study of public health and social measures of COVID-19 advocated in different countries. </w:t>
      </w:r>
      <w:r>
        <w:rPr>
          <w:i/>
          <w:color w:val="222222"/>
          <w:highlight w:val="white"/>
        </w:rPr>
        <w:t>Health Policy</w:t>
      </w:r>
      <w:r>
        <w:rPr>
          <w:color w:val="222222"/>
          <w:highlight w:val="white"/>
        </w:rPr>
        <w:t xml:space="preserve">, </w:t>
      </w:r>
      <w:r>
        <w:rPr>
          <w:i/>
          <w:color w:val="222222"/>
          <w:highlight w:val="white"/>
        </w:rPr>
        <w:t>125</w:t>
      </w:r>
      <w:r>
        <w:rPr>
          <w:color w:val="222222"/>
          <w:highlight w:val="white"/>
        </w:rPr>
        <w:t>(8), pp.957-971.</w:t>
      </w:r>
    </w:p>
    <w:p w14:paraId="653D0E5B" w14:textId="77777777" w:rsidR="00E2115B" w:rsidRDefault="00E2115B">
      <w:r>
        <w:t xml:space="preserve">Wang, Y., Xie, H., Wu, Y., Xu, S., Li, Y., Li, J., Xu, X., Wang, S., Li, Y. and Zhang, Z., 2022. Bioinspired Lipoproteins of Furoxans–Oxaliplatin Remodel Physical Barriers in </w:t>
      </w:r>
      <w:proofErr w:type="spellStart"/>
      <w:r>
        <w:t>Tumor</w:t>
      </w:r>
      <w:proofErr w:type="spellEnd"/>
      <w:r>
        <w:t xml:space="preserve"> to Potentiate T‐Cell Infiltration. </w:t>
      </w:r>
      <w:r>
        <w:rPr>
          <w:i/>
        </w:rPr>
        <w:t>Advanced Materials, 34</w:t>
      </w:r>
      <w:r>
        <w:t>(14), p.2110614.</w:t>
      </w:r>
    </w:p>
    <w:p w14:paraId="725CA387" w14:textId="77777777" w:rsidR="00E2115B" w:rsidRDefault="00E2115B">
      <w:r>
        <w:t>Woods, R.B., 2021. A Black Odyssey: John Lewis Waller and the Promise of American Life, 1878–1900. University Press of Kansas.</w:t>
      </w:r>
    </w:p>
    <w:p w14:paraId="66FA7684" w14:textId="77777777" w:rsidR="00E2115B" w:rsidRDefault="00E2115B">
      <w:r>
        <w:rPr>
          <w:color w:val="222222"/>
          <w:highlight w:val="white"/>
        </w:rPr>
        <w:t xml:space="preserve">Yan, B., Zhang, X., Wu, L., Zhu, H. and Chen, B., (2020). Why do countries respond differently to COVID-19? A comparative study of Sweden, China, France, and Japan. </w:t>
      </w:r>
      <w:r>
        <w:rPr>
          <w:i/>
          <w:color w:val="222222"/>
          <w:highlight w:val="white"/>
        </w:rPr>
        <w:t>The American review of public administration</w:t>
      </w:r>
      <w:r>
        <w:rPr>
          <w:color w:val="222222"/>
          <w:highlight w:val="white"/>
        </w:rPr>
        <w:t xml:space="preserve">, </w:t>
      </w:r>
      <w:r>
        <w:rPr>
          <w:i/>
          <w:color w:val="222222"/>
          <w:highlight w:val="white"/>
        </w:rPr>
        <w:t>50</w:t>
      </w:r>
      <w:r>
        <w:rPr>
          <w:color w:val="222222"/>
          <w:highlight w:val="white"/>
        </w:rPr>
        <w:t>(6-7), pp.762-769.</w:t>
      </w:r>
    </w:p>
    <w:sectPr w:rsidR="00E2115B">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0F01EF" w14:textId="77777777" w:rsidR="00C15895" w:rsidRDefault="00C15895">
      <w:pPr>
        <w:spacing w:line="240" w:lineRule="auto"/>
      </w:pPr>
      <w:r>
        <w:separator/>
      </w:r>
    </w:p>
  </w:endnote>
  <w:endnote w:type="continuationSeparator" w:id="0">
    <w:p w14:paraId="42BFC8FB" w14:textId="77777777" w:rsidR="00C15895" w:rsidRDefault="00C158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8ACC0F" w14:textId="77777777" w:rsidR="00106192" w:rsidRDefault="000F33CD">
    <w:pPr>
      <w:jc w:val="right"/>
    </w:pPr>
    <w:r>
      <w:fldChar w:fldCharType="begin"/>
    </w:r>
    <w:r>
      <w:instrText>PAGE</w:instrText>
    </w:r>
    <w:r>
      <w:fldChar w:fldCharType="separate"/>
    </w:r>
    <w:r w:rsidR="009119A7">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4E3E31" w14:textId="77777777" w:rsidR="00106192" w:rsidRDefault="0010619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38A9D1" w14:textId="77777777" w:rsidR="00C15895" w:rsidRDefault="00C15895">
      <w:pPr>
        <w:spacing w:line="240" w:lineRule="auto"/>
      </w:pPr>
      <w:r>
        <w:separator/>
      </w:r>
    </w:p>
  </w:footnote>
  <w:footnote w:type="continuationSeparator" w:id="0">
    <w:p w14:paraId="60C946B6" w14:textId="77777777" w:rsidR="00C15895" w:rsidRDefault="00C158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192"/>
    <w:rsid w:val="000F33CD"/>
    <w:rsid w:val="00106192"/>
    <w:rsid w:val="001C46F7"/>
    <w:rsid w:val="001E51B9"/>
    <w:rsid w:val="00212D0E"/>
    <w:rsid w:val="002F47EC"/>
    <w:rsid w:val="003120F8"/>
    <w:rsid w:val="008C537B"/>
    <w:rsid w:val="009119A7"/>
    <w:rsid w:val="00B42D74"/>
    <w:rsid w:val="00C15895"/>
    <w:rsid w:val="00D4543B"/>
    <w:rsid w:val="00E2115B"/>
    <w:rsid w:val="00FD29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A93CC"/>
  <w15:docId w15:val="{657D2E18-47D4-4EDD-B4DA-081690801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3097</Words>
  <Characters>17654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Muresan Ovidiu</cp:lastModifiedBy>
  <cp:revision>9</cp:revision>
  <dcterms:created xsi:type="dcterms:W3CDTF">2024-07-15T12:37:00Z</dcterms:created>
  <dcterms:modified xsi:type="dcterms:W3CDTF">2024-08-18T18:32:00Z</dcterms:modified>
</cp:coreProperties>
</file>