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Default Extension="wmf" ContentType="image/x-wmf"/>
  <Override PartName="/word/styles.xml" ContentType="application/vnd.openxmlformats-officedocument.wordprocessingml.styles+xml"/>
  <Override PartName="/word/numbering.xml" ContentType="application/vnd.openxmlformats-officedocument.wordprocessingml.numbering+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1910"/>
        <w:gridCol w:w="4039"/>
        <w:gridCol w:w="2538"/>
        <w:gridCol w:w="2111"/>
      </w:tblGrid>
      <w:tr>
        <w:trPr>
          <w:trHeight w:val="793" w:hRule="auto"/>
          <w:jc w:val="left"/>
        </w:trPr>
        <w:tc>
          <w:tcPr>
            <w:tcW w:w="10598" w:type="dxa"/>
            <w:gridSpan w:val="4"/>
            <w:tcBorders>
              <w:top w:val="single" w:color="000000" w:sz="4"/>
              <w:left w:val="single" w:color="000000" w:sz="4"/>
              <w:bottom w:val="single" w:color="000000" w:sz="4"/>
              <w:right w:val="single" w:color="000000" w:sz="4"/>
            </w:tcBorders>
            <w:shd w:color="auto" w:fill="c0c0c0" w:val="clear"/>
            <w:tcMar>
              <w:left w:w="108" w:type="dxa"/>
              <w:right w:w="108" w:type="dxa"/>
            </w:tcMar>
            <w:vAlign w:val="top"/>
          </w:tcPr>
          <w:p>
            <w:pPr>
              <w:keepNext w:val="true"/>
              <w:spacing w:before="0" w:after="0" w:line="240"/>
              <w:ind w:right="0" w:left="0" w:firstLine="0"/>
              <w:jc w:val="center"/>
              <w:rPr>
                <w:rFonts w:ascii="Calibri" w:hAnsi="Calibri" w:cs="Calibri" w:eastAsia="Calibri"/>
                <w:b/>
                <w:color w:val="auto"/>
                <w:spacing w:val="0"/>
                <w:position w:val="0"/>
                <w:sz w:val="44"/>
                <w:shd w:fill="auto" w:val="clear"/>
              </w:rPr>
            </w:pPr>
            <w:r>
              <w:rPr>
                <w:rFonts w:ascii="Calibri" w:hAnsi="Calibri" w:cs="Calibri" w:eastAsia="Calibri"/>
                <w:b/>
                <w:color w:val="auto"/>
                <w:spacing w:val="0"/>
                <w:position w:val="0"/>
                <w:sz w:val="44"/>
                <w:shd w:fill="auto" w:val="clear"/>
              </w:rPr>
              <w:t xml:space="preserve">BA DEGREE ASSIGNMENT SPECIFICATION</w:t>
            </w:r>
          </w:p>
          <w:p>
            <w:pPr>
              <w:spacing w:before="0" w:after="200" w:line="276"/>
              <w:ind w:right="0" w:left="0" w:firstLine="0"/>
              <w:jc w:val="center"/>
              <w:rPr>
                <w:rFonts w:ascii="Calibri" w:hAnsi="Calibri" w:cs="Calibri" w:eastAsia="Calibri"/>
                <w:color w:val="auto"/>
                <w:spacing w:val="0"/>
                <w:position w:val="0"/>
                <w:shd w:fill="auto" w:val="clear"/>
              </w:rPr>
            </w:pPr>
            <w:r>
              <w:rPr>
                <w:rFonts w:ascii="Calibri" w:hAnsi="Calibri" w:cs="Calibri" w:eastAsia="Calibri"/>
                <w:color w:val="auto"/>
                <w:spacing w:val="0"/>
                <w:position w:val="0"/>
                <w:sz w:val="28"/>
                <w:shd w:fill="auto" w:val="clear"/>
              </w:rPr>
              <w:t xml:space="preserve">SCHOOL OF HOSPITALITY &amp; TOURISM MANAGEMENT</w:t>
            </w:r>
          </w:p>
        </w:tc>
      </w:tr>
      <w:tr>
        <w:trPr>
          <w:trHeight w:val="1" w:hRule="atLeast"/>
          <w:jc w:val="left"/>
        </w:trPr>
        <w:tc>
          <w:tcPr>
            <w:tcW w:w="1910"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76"/>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Student name:</w:t>
            </w:r>
          </w:p>
        </w:tc>
        <w:tc>
          <w:tcPr>
            <w:tcW w:w="403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RALUCA SUCIU</w:t>
            </w:r>
          </w:p>
        </w:tc>
        <w:tc>
          <w:tcPr>
            <w:tcW w:w="253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120" w:after="120" w:line="276"/>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Student  number:</w:t>
            </w:r>
          </w:p>
        </w:tc>
        <w:tc>
          <w:tcPr>
            <w:tcW w:w="211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76"/>
              <w:ind w:right="0" w:left="0" w:firstLine="0"/>
              <w:jc w:val="both"/>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2"/>
                <w:shd w:fill="auto" w:val="clear"/>
              </w:rPr>
              <w:t xml:space="preserve">2022597</w:t>
            </w:r>
          </w:p>
        </w:tc>
      </w:tr>
      <w:tr>
        <w:trPr>
          <w:trHeight w:val="1" w:hRule="atLeast"/>
          <w:jc w:val="left"/>
        </w:trPr>
        <w:tc>
          <w:tcPr>
            <w:tcW w:w="1910"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76"/>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Programmes:</w:t>
            </w:r>
          </w:p>
        </w:tc>
        <w:tc>
          <w:tcPr>
            <w:tcW w:w="8688"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76"/>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BA (Hons) International Hotel Management</w:t>
            </w:r>
          </w:p>
        </w:tc>
      </w:tr>
      <w:tr>
        <w:trPr>
          <w:trHeight w:val="1" w:hRule="atLeast"/>
          <w:jc w:val="left"/>
        </w:trPr>
        <w:tc>
          <w:tcPr>
            <w:tcW w:w="1910"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76"/>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Module:</w:t>
            </w:r>
          </w:p>
        </w:tc>
        <w:tc>
          <w:tcPr>
            <w:tcW w:w="403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76"/>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Sustainable Hospitality &amp; Tourism Management</w:t>
            </w:r>
          </w:p>
        </w:tc>
        <w:tc>
          <w:tcPr>
            <w:tcW w:w="253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120" w:after="120" w:line="276"/>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Module Level (4, 5, 6):</w:t>
            </w:r>
          </w:p>
        </w:tc>
        <w:tc>
          <w:tcPr>
            <w:tcW w:w="211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76"/>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5</w:t>
            </w:r>
          </w:p>
        </w:tc>
      </w:tr>
      <w:tr>
        <w:trPr>
          <w:trHeight w:val="1" w:hRule="atLeast"/>
          <w:jc w:val="left"/>
        </w:trPr>
        <w:tc>
          <w:tcPr>
            <w:tcW w:w="1910"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76"/>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Module code:</w:t>
            </w:r>
          </w:p>
        </w:tc>
        <w:tc>
          <w:tcPr>
            <w:tcW w:w="403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76"/>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BMIH5006</w:t>
            </w:r>
          </w:p>
        </w:tc>
        <w:tc>
          <w:tcPr>
            <w:tcW w:w="253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keepNext w:val="true"/>
              <w:spacing w:before="0" w:after="0" w:line="240"/>
              <w:ind w:right="0" w:left="0" w:firstLine="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Contribution to Overall </w:t>
            </w:r>
          </w:p>
          <w:p>
            <w:pPr>
              <w:spacing w:before="0" w:after="0" w:line="240"/>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Module Assessment (%):</w:t>
            </w:r>
          </w:p>
        </w:tc>
        <w:tc>
          <w:tcPr>
            <w:tcW w:w="211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40"/>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50%</w:t>
            </w:r>
          </w:p>
        </w:tc>
      </w:tr>
      <w:tr>
        <w:trPr>
          <w:trHeight w:val="1" w:hRule="atLeast"/>
          <w:jc w:val="left"/>
        </w:trPr>
        <w:tc>
          <w:tcPr>
            <w:tcW w:w="1910"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76"/>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Lecturer:</w:t>
            </w:r>
          </w:p>
        </w:tc>
        <w:tc>
          <w:tcPr>
            <w:tcW w:w="403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Dr. Huw Thomas</w:t>
            </w:r>
          </w:p>
        </w:tc>
        <w:tc>
          <w:tcPr>
            <w:tcW w:w="2538" w:type="dxa"/>
            <w:tcBorders>
              <w:top w:val="single" w:color="000000" w:sz="4"/>
              <w:left w:val="single" w:color="000000" w:sz="4"/>
              <w:bottom w:val="single" w:color="000000" w:sz="4"/>
              <w:right w:val="single" w:color="000000" w:sz="4"/>
            </w:tcBorders>
            <w:shd w:color="auto" w:fill="d9d9d9" w:val="clear"/>
            <w:tcMar>
              <w:left w:w="108" w:type="dxa"/>
              <w:right w:w="108" w:type="dxa"/>
            </w:tcMar>
            <w:vAlign w:val="top"/>
          </w:tcPr>
          <w:p>
            <w:pPr>
              <w:spacing w:before="120" w:after="120" w:line="276"/>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Internal Verifier:</w:t>
            </w:r>
          </w:p>
        </w:tc>
        <w:tc>
          <w:tcPr>
            <w:tcW w:w="211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Robyn Griffiths</w:t>
            </w:r>
          </w:p>
          <w:p>
            <w:pPr>
              <w:spacing w:before="0" w:after="0" w:line="240"/>
              <w:ind w:right="0" w:left="0" w:firstLine="0"/>
              <w:jc w:val="both"/>
              <w:rPr>
                <w:rFonts w:ascii="Calibri" w:hAnsi="Calibri" w:cs="Calibri" w:eastAsia="Calibri"/>
                <w:color w:val="auto"/>
                <w:spacing w:val="0"/>
                <w:position w:val="0"/>
                <w:shd w:fill="auto" w:val="clear"/>
              </w:rPr>
            </w:pPr>
          </w:p>
        </w:tc>
      </w:tr>
      <w:tr>
        <w:trPr>
          <w:trHeight w:val="1" w:hRule="atLeast"/>
          <w:jc w:val="left"/>
        </w:trPr>
        <w:tc>
          <w:tcPr>
            <w:tcW w:w="1910"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76"/>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Assignment Title:</w:t>
            </w:r>
          </w:p>
        </w:tc>
        <w:tc>
          <w:tcPr>
            <w:tcW w:w="403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Report:</w:t>
            </w:r>
          </w:p>
          <w:p>
            <w:pPr>
              <w:spacing w:before="0" w:after="0" w:line="240"/>
              <w:ind w:right="0" w:left="0" w:firstLine="0"/>
              <w:jc w:val="both"/>
              <w:rPr>
                <w:rFonts w:ascii="Calibri" w:hAnsi="Calibri" w:cs="Calibri" w:eastAsia="Calibri"/>
                <w:color w:val="auto"/>
                <w:spacing w:val="0"/>
                <w:position w:val="0"/>
                <w:sz w:val="20"/>
                <w:shd w:fill="auto" w:val="clear"/>
              </w:rPr>
            </w:pPr>
            <w:r>
              <w:rPr>
                <w:rFonts w:ascii="Calibri" w:hAnsi="Calibri" w:cs="Calibri" w:eastAsia="Calibri"/>
                <w:b/>
                <w:color w:val="auto"/>
                <w:spacing w:val="0"/>
                <w:position w:val="0"/>
                <w:sz w:val="24"/>
                <w:shd w:fill="auto" w:val="clear"/>
              </w:rPr>
              <w:t xml:space="preserve">Destination Management: </w:t>
            </w:r>
            <w:r>
              <w:rPr>
                <w:rFonts w:ascii="Calibri" w:hAnsi="Calibri" w:cs="Calibri" w:eastAsia="Calibri"/>
                <w:i/>
                <w:color w:val="auto"/>
                <w:spacing w:val="0"/>
                <w:position w:val="0"/>
                <w:sz w:val="24"/>
                <w:shd w:fill="auto" w:val="clear"/>
              </w:rPr>
              <w:t xml:space="preserve">Destination of choice </w:t>
            </w:r>
            <w:r>
              <w:rPr>
                <w:rFonts w:ascii="Calibri" w:hAnsi="Calibri" w:cs="Calibri" w:eastAsia="Calibri"/>
                <w:b/>
                <w:i/>
                <w:color w:val="auto"/>
                <w:spacing w:val="0"/>
                <w:position w:val="0"/>
                <w:sz w:val="24"/>
                <w:shd w:fill="auto" w:val="clear"/>
              </w:rPr>
              <w:t xml:space="preserve">(2000 words +/- 10%)</w:t>
            </w:r>
          </w:p>
          <w:p>
            <w:pPr>
              <w:spacing w:before="0" w:after="0" w:line="240"/>
              <w:ind w:right="0" w:left="0" w:firstLine="0"/>
              <w:jc w:val="both"/>
              <w:rPr>
                <w:rFonts w:ascii="Calibri" w:hAnsi="Calibri" w:cs="Calibri" w:eastAsia="Calibri"/>
                <w:color w:val="auto"/>
                <w:spacing w:val="0"/>
                <w:position w:val="0"/>
                <w:shd w:fill="auto" w:val="clear"/>
              </w:rPr>
            </w:pPr>
          </w:p>
        </w:tc>
        <w:tc>
          <w:tcPr>
            <w:tcW w:w="2538"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120" w:after="120" w:line="276"/>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Assignment No:</w:t>
            </w:r>
          </w:p>
        </w:tc>
        <w:tc>
          <w:tcPr>
            <w:tcW w:w="211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120" w:after="120" w:line="276"/>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2 of 2</w:t>
            </w:r>
          </w:p>
        </w:tc>
      </w:tr>
      <w:tr>
        <w:trPr>
          <w:trHeight w:val="1" w:hRule="atLeast"/>
          <w:jc w:val="left"/>
        </w:trPr>
        <w:tc>
          <w:tcPr>
            <w:tcW w:w="1910"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Hand Out Date:</w:t>
            </w:r>
          </w:p>
        </w:tc>
        <w:tc>
          <w:tcPr>
            <w:tcW w:w="4039"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w/c 26 Sept 2022</w:t>
            </w:r>
          </w:p>
        </w:tc>
        <w:tc>
          <w:tcPr>
            <w:tcW w:w="2538" w:type="dxa"/>
            <w:tcBorders>
              <w:top w:val="single" w:color="000000" w:sz="4"/>
              <w:left w:val="single" w:color="000000" w:sz="4"/>
              <w:bottom w:val="single" w:color="000000" w:sz="4"/>
              <w:right w:val="single" w:color="000000" w:sz="4"/>
            </w:tcBorders>
            <w:shd w:color="auto" w:fill="auto" w:val="pct15"/>
            <w:tcMar>
              <w:left w:w="108" w:type="dxa"/>
              <w:right w:w="108" w:type="dxa"/>
            </w:tcMar>
            <w:vAlign w:val="top"/>
          </w:tcPr>
          <w:p>
            <w:pPr>
              <w:spacing w:before="0" w:after="0" w:line="240"/>
              <w:ind w:right="0" w:left="0" w:firstLine="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Submission deadlines:</w:t>
            </w:r>
          </w:p>
          <w:p>
            <w:pPr>
              <w:spacing w:before="0" w:after="0" w:line="240"/>
              <w:ind w:right="0" w:left="0" w:firstLine="0"/>
              <w:jc w:val="both"/>
              <w:rPr>
                <w:rFonts w:ascii="Calibri" w:hAnsi="Calibri" w:cs="Calibri" w:eastAsia="Calibri"/>
                <w:b/>
                <w:color w:val="auto"/>
                <w:spacing w:val="0"/>
                <w:position w:val="0"/>
                <w:sz w:val="20"/>
                <w:shd w:fill="auto" w:val="clear"/>
              </w:rPr>
            </w:pPr>
          </w:p>
          <w:p>
            <w:pPr>
              <w:spacing w:before="0" w:after="0" w:line="240"/>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0"/>
                <w:shd w:fill="auto" w:val="clear"/>
              </w:rPr>
              <w:t xml:space="preserve">Return date of provisional marks &amp; written feedback:</w:t>
            </w:r>
          </w:p>
        </w:tc>
        <w:tc>
          <w:tcPr>
            <w:tcW w:w="2111" w:type="dxa"/>
            <w:tcBorders>
              <w:top w:val="single" w:color="000000" w:sz="4"/>
              <w:left w:val="single" w:color="000000" w:sz="4"/>
              <w:bottom w:val="single" w:color="000000" w:sz="4"/>
              <w:right w:val="single" w:color="000000" w:sz="4"/>
            </w:tcBorders>
            <w:shd w:color="auto" w:fill="auto" w:val="clear"/>
            <w:tcMar>
              <w:left w:w="108" w:type="dxa"/>
              <w:right w:w="108" w:type="dxa"/>
            </w:tcMar>
            <w:vAlign w:val="top"/>
          </w:tcPr>
          <w:p>
            <w:pPr>
              <w:spacing w:before="0" w:after="0" w:line="240"/>
              <w:ind w:right="0" w:left="0" w:firstLine="0"/>
              <w:jc w:val="both"/>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8 Dec 2022 (11.55pm)</w:t>
            </w:r>
          </w:p>
          <w:p>
            <w:pPr>
              <w:spacing w:before="0" w:after="0" w:line="240"/>
              <w:ind w:right="0" w:left="0" w:firstLine="0"/>
              <w:jc w:val="both"/>
              <w:rPr>
                <w:rFonts w:ascii="Calibri" w:hAnsi="Calibri" w:cs="Calibri" w:eastAsia="Calibri"/>
                <w:b/>
                <w:color w:val="auto"/>
                <w:spacing w:val="0"/>
                <w:position w:val="0"/>
                <w:sz w:val="24"/>
                <w:shd w:fill="auto" w:val="clear"/>
              </w:rPr>
            </w:pPr>
          </w:p>
          <w:p>
            <w:pPr>
              <w:spacing w:before="0" w:after="0" w:line="240"/>
              <w:ind w:right="0" w:left="0" w:firstLine="0"/>
              <w:jc w:val="both"/>
              <w:rPr>
                <w:rFonts w:ascii="Calibri" w:hAnsi="Calibri" w:cs="Calibri" w:eastAsia="Calibri"/>
                <w:color w:val="auto"/>
                <w:spacing w:val="0"/>
                <w:position w:val="0"/>
                <w:shd w:fill="auto" w:val="clear"/>
              </w:rPr>
            </w:pPr>
            <w:r>
              <w:rPr>
                <w:rFonts w:ascii="Calibri" w:hAnsi="Calibri" w:cs="Calibri" w:eastAsia="Calibri"/>
                <w:b/>
                <w:color w:val="auto"/>
                <w:spacing w:val="0"/>
                <w:position w:val="0"/>
                <w:sz w:val="24"/>
                <w:shd w:fill="auto" w:val="clear"/>
              </w:rPr>
              <w:t xml:space="preserve">19 Jan 2023</w:t>
            </w:r>
          </w:p>
        </w:tc>
      </w:tr>
    </w:tbl>
    <w:p>
      <w:pPr>
        <w:spacing w:before="0" w:after="0" w:line="360"/>
        <w:ind w:right="0" w:left="0" w:firstLine="0"/>
        <w:jc w:val="left"/>
        <w:rPr>
          <w:rFonts w:ascii="Arial" w:hAnsi="Arial" w:cs="Arial" w:eastAsia="Arial"/>
          <w:b/>
          <w:color w:val="auto"/>
          <w:spacing w:val="0"/>
          <w:position w:val="0"/>
          <w:sz w:val="40"/>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0" w:line="360"/>
        <w:ind w:right="0" w:left="0" w:firstLine="0"/>
        <w:jc w:val="both"/>
        <w:rPr>
          <w:rFonts w:ascii="Arial" w:hAnsi="Arial" w:cs="Arial" w:eastAsia="Arial"/>
          <w:color w:val="auto"/>
          <w:spacing w:val="0"/>
          <w:position w:val="0"/>
          <w:sz w:val="28"/>
          <w:shd w:fill="auto" w:val="clear"/>
        </w:rPr>
      </w:pPr>
      <w:r>
        <w:rPr>
          <w:rFonts w:ascii="Arial" w:hAnsi="Arial" w:cs="Arial" w:eastAsia="Arial"/>
          <w:b/>
          <w:color w:val="auto"/>
          <w:spacing w:val="0"/>
          <w:position w:val="0"/>
          <w:sz w:val="28"/>
          <w:shd w:fill="auto" w:val="clear"/>
        </w:rPr>
        <w:t xml:space="preserve">List of Figures</w:t>
      </w:r>
    </w:p>
    <w:p>
      <w:pPr>
        <w:tabs>
          <w:tab w:val="right" w:pos="9350" w:leader="dot"/>
        </w:tabs>
        <w:spacing w:before="0" w:after="0" w:line="360"/>
        <w:ind w:right="0" w:left="0" w:firstLine="0"/>
        <w:jc w:val="both"/>
        <w:rPr>
          <w:rFonts w:ascii="Calibri" w:hAnsi="Calibri" w:cs="Calibri" w:eastAsia="Calibri"/>
          <w:color w:val="auto"/>
          <w:spacing w:val="0"/>
          <w:position w:val="0"/>
          <w:sz w:val="22"/>
          <w:shd w:fill="auto" w:val="clear"/>
        </w:rPr>
      </w:pPr>
      <w:r>
        <w:rPr>
          <w:rFonts w:ascii="Arial" w:hAnsi="Arial" w:cs="Arial" w:eastAsia="Arial"/>
          <w:color w:val="0563C1"/>
          <w:spacing w:val="0"/>
          <w:position w:val="0"/>
          <w:sz w:val="24"/>
          <w:u w:val="single"/>
          <w:shd w:fill="auto" w:val="clear"/>
        </w:rPr>
        <w:t xml:space="preserve">Figure 1:The Pillars of Sustainability</w:t>
      </w:r>
      <w:r>
        <w:rPr>
          <w:rFonts w:ascii="Arial" w:hAnsi="Arial" w:cs="Arial" w:eastAsia="Arial"/>
          <w:color w:val="auto"/>
          <w:spacing w:val="0"/>
          <w:position w:val="0"/>
          <w:sz w:val="24"/>
          <w:shd w:fill="auto" w:val="clear"/>
        </w:rPr>
        <w:tab/>
        <w:t xml:space="preserve">3</w:t>
      </w:r>
    </w:p>
    <w:p>
      <w:pPr>
        <w:tabs>
          <w:tab w:val="right" w:pos="9350" w:leader="dot"/>
        </w:tabs>
        <w:spacing w:before="0" w:after="0" w:line="360"/>
        <w:ind w:right="0" w:left="0" w:firstLine="0"/>
        <w:jc w:val="both"/>
        <w:rPr>
          <w:rFonts w:ascii="Calibri" w:hAnsi="Calibri" w:cs="Calibri" w:eastAsia="Calibri"/>
          <w:color w:val="auto"/>
          <w:spacing w:val="0"/>
          <w:position w:val="0"/>
          <w:sz w:val="22"/>
          <w:shd w:fill="auto" w:val="clear"/>
        </w:rPr>
      </w:pPr>
      <w:r>
        <w:rPr>
          <w:rFonts w:ascii="Arial" w:hAnsi="Arial" w:cs="Arial" w:eastAsia="Arial"/>
          <w:color w:val="0563C1"/>
          <w:spacing w:val="0"/>
          <w:position w:val="0"/>
          <w:sz w:val="24"/>
          <w:u w:val="single"/>
          <w:shd w:fill="auto" w:val="clear"/>
        </w:rPr>
        <w:t xml:space="preserve">Figure 2: Butler's Model</w:t>
      </w:r>
      <w:r>
        <w:rPr>
          <w:rFonts w:ascii="Arial" w:hAnsi="Arial" w:cs="Arial" w:eastAsia="Arial"/>
          <w:color w:val="auto"/>
          <w:spacing w:val="0"/>
          <w:position w:val="0"/>
          <w:sz w:val="24"/>
          <w:shd w:fill="auto" w:val="clear"/>
        </w:rPr>
        <w:tab/>
        <w:t xml:space="preserve">5</w:t>
      </w:r>
    </w:p>
    <w:p>
      <w:pPr>
        <w:tabs>
          <w:tab w:val="right" w:pos="9350" w:leader="dot"/>
        </w:tabs>
        <w:spacing w:before="0" w:after="0" w:line="360"/>
        <w:ind w:right="0" w:left="0" w:firstLine="0"/>
        <w:jc w:val="both"/>
        <w:rPr>
          <w:rFonts w:ascii="Calibri" w:hAnsi="Calibri" w:cs="Calibri" w:eastAsia="Calibri"/>
          <w:color w:val="auto"/>
          <w:spacing w:val="0"/>
          <w:position w:val="0"/>
          <w:sz w:val="22"/>
          <w:shd w:fill="auto" w:val="clear"/>
        </w:rPr>
      </w:pPr>
      <w:r>
        <w:rPr>
          <w:rFonts w:ascii="Arial" w:hAnsi="Arial" w:cs="Arial" w:eastAsia="Arial"/>
          <w:color w:val="0563C1"/>
          <w:spacing w:val="0"/>
          <w:position w:val="0"/>
          <w:sz w:val="24"/>
          <w:u w:val="single"/>
          <w:shd w:fill="auto" w:val="clear"/>
        </w:rPr>
        <w:t xml:space="preserve">Figure 3: Doxey's Irritation Index</w:t>
      </w:r>
      <w:r>
        <w:rPr>
          <w:rFonts w:ascii="Arial" w:hAnsi="Arial" w:cs="Arial" w:eastAsia="Arial"/>
          <w:color w:val="auto"/>
          <w:spacing w:val="0"/>
          <w:position w:val="0"/>
          <w:sz w:val="24"/>
          <w:shd w:fill="auto" w:val="clear"/>
        </w:rPr>
        <w:tab/>
        <w:t xml:space="preserve">6</w:t>
      </w: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spacing w:before="0" w:after="160" w:line="360"/>
        <w:ind w:right="0" w:left="0" w:firstLine="0"/>
        <w:jc w:val="both"/>
        <w:rPr>
          <w:rFonts w:ascii="Arial" w:hAnsi="Arial" w:cs="Arial" w:eastAsia="Arial"/>
          <w:color w:val="auto"/>
          <w:spacing w:val="0"/>
          <w:position w:val="0"/>
          <w:sz w:val="24"/>
          <w:shd w:fill="auto" w:val="clear"/>
        </w:rPr>
      </w:pPr>
    </w:p>
    <w:p>
      <w:pPr>
        <w:keepNext w:val="true"/>
        <w:keepLines w:val="true"/>
        <w:spacing w:before="0" w:after="0" w:line="360"/>
        <w:ind w:right="0" w:left="0" w:firstLine="0"/>
        <w:jc w:val="both"/>
        <w:rPr>
          <w:rFonts w:ascii="Arial" w:hAnsi="Arial" w:cs="Arial" w:eastAsia="Arial"/>
          <w:b/>
          <w:color w:val="auto"/>
          <w:spacing w:val="0"/>
          <w:position w:val="0"/>
          <w:sz w:val="28"/>
          <w:shd w:fill="auto" w:val="clear"/>
        </w:rPr>
      </w:pPr>
    </w:p>
    <w:p>
      <w:pPr>
        <w:keepNext w:val="true"/>
        <w:keepLines w:val="true"/>
        <w:spacing w:before="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Introduction</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tourism sector is getting massive attention from customers. The sustainability of tourism destinations has also become one of the most demandable factors for customers. Sustainability in tourist destinations means saving wildlife, eco-friendly environments, energy conservation, recyclable raw materials and wildlife preservation (Volgger et al., 2021). Eden Project in Cornwall is an example of a sustainable tourist attraction in the UK. In this report, the sustainable management of the Eden Project will be discussed through the sustainability principles. Also, the contribution of government and authority in destination management will be addressed. To understand the life cycle of tourist destinations, the theory of Butler and Doxey will be discussed to understand the sustainable stage of the project. Finally, the sustainability management of the destination and future improvement will be addressed in the report.</w:t>
      </w:r>
    </w:p>
    <w:p>
      <w:pPr>
        <w:keepNext w:val="true"/>
        <w:keepLines w:val="true"/>
        <w:spacing w:before="40" w:after="0" w:line="360"/>
        <w:ind w:right="0" w:left="0" w:firstLine="0"/>
        <w:jc w:val="both"/>
        <w:rPr>
          <w:rFonts w:ascii="Arial" w:hAnsi="Arial" w:cs="Arial" w:eastAsia="Arial"/>
          <w:b/>
          <w:color w:val="auto"/>
          <w:spacing w:val="0"/>
          <w:position w:val="0"/>
          <w:sz w:val="26"/>
          <w:shd w:fill="auto" w:val="clear"/>
        </w:rPr>
      </w:pPr>
      <w:r>
        <w:rPr>
          <w:rFonts w:ascii="Arial" w:hAnsi="Arial" w:cs="Arial" w:eastAsia="Arial"/>
          <w:b/>
          <w:color w:val="auto"/>
          <w:spacing w:val="0"/>
          <w:position w:val="0"/>
          <w:sz w:val="26"/>
          <w:shd w:fill="auto" w:val="clear"/>
        </w:rPr>
        <w:t xml:space="preserve">The Eden Project, Cornwall, England, UK</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Eden forest is the largest indoor rainforest in the world. The biome houses and the unique plants make it the largest and one of the most significant rainforests in the world. They try to sustain nature in diverse ways. They have reduced using energy. Also, they make soils from dumped waste materials. In the spot, electric vehicles protect the environment from pollution. They collect their daily materials from local markets and also support responsible global trade. The project's main motto is to make people understand revaluating their lifestyle and make them understand recycling, upcycling, repairing and reusing to protect the environment. Huge tourists visit the place, which makes it essential to properly manage the destination's sustainability. The UK authority is already taking huge initiatives so that they can protect their tourism sector. Eden project should also maintain these initiatives to maintain an eco-friendly environment. The unique plants of this place need to be protected, and hence strict rules and regulations are needed so that the vast crowd of tourists don't make any harmful impact on the unique plant's place. To maintain the destination's sustainability, the authority should also take more eco-friendly initiatives (The Guardian, 2019).</w:t>
      </w:r>
    </w:p>
    <w:p>
      <w:pPr>
        <w:keepNext w:val="true"/>
        <w:keepLines w:val="true"/>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Evaluation of sustainable management of Cornwall</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Cornwall was a barren land which was almost unworthy of moving people. Still, the authority took the initiative and turned the place into a rainforest with thousands of plants and unique houses. The biomes make the place beautiful, and tourists who love to see the biggest garden wish to visit this place frequently. Since Cornwall has no fertile soil, the authority uses dumped waste materials to make the soil and as food for the plants (Eden Project, 2021). However, to evaluate the overall sustainability of the place, the pillars of sustainability should be measured, and these are economic, social, and environmental sustainability. To fulfil the </w:t>
      </w:r>
      <w:r>
        <w:rPr>
          <w:rFonts w:ascii="Arial" w:hAnsi="Arial" w:cs="Arial" w:eastAsia="Arial"/>
          <w:b/>
          <w:color w:val="auto"/>
          <w:spacing w:val="0"/>
          <w:position w:val="0"/>
          <w:sz w:val="24"/>
          <w:shd w:fill="auto" w:val="clear"/>
        </w:rPr>
        <w:t xml:space="preserve">economic sustainability</w:t>
      </w:r>
      <w:r>
        <w:rPr>
          <w:rFonts w:ascii="Arial" w:hAnsi="Arial" w:cs="Arial" w:eastAsia="Arial"/>
          <w:color w:val="auto"/>
          <w:spacing w:val="0"/>
          <w:position w:val="0"/>
          <w:sz w:val="24"/>
          <w:shd w:fill="auto" w:val="clear"/>
        </w:rPr>
        <w:t xml:space="preserve"> criteria, the Eden project tries to serve the local community, and they have gained 2 billion for the regional community. They consider themselves as the village hall of Cornwall, where people from different places come and support the local campaigns. They also recruit many local people to work as their employees, which makes a positive impact on the local economy. They support the fundraising activities in their venue as Christmas fairs and sleep. They are also initiating to build of sustainable educational institutions to develop the lifestyle of people. They also manage donations for the local community and their development. The natural resources of Cornwall should be utilized properly to gain long-term benefits (Civelek, 2017).</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project also maintains </w:t>
      </w:r>
      <w:r>
        <w:rPr>
          <w:rFonts w:ascii="Arial" w:hAnsi="Arial" w:cs="Arial" w:eastAsia="Arial"/>
          <w:b/>
          <w:color w:val="auto"/>
          <w:spacing w:val="0"/>
          <w:position w:val="0"/>
          <w:sz w:val="24"/>
          <w:shd w:fill="auto" w:val="clear"/>
        </w:rPr>
        <w:t xml:space="preserve">social sustainability</w:t>
      </w:r>
      <w:r>
        <w:rPr>
          <w:rFonts w:ascii="Arial" w:hAnsi="Arial" w:cs="Arial" w:eastAsia="Arial"/>
          <w:color w:val="auto"/>
          <w:spacing w:val="0"/>
          <w:position w:val="0"/>
          <w:sz w:val="24"/>
          <w:shd w:fill="auto" w:val="clear"/>
        </w:rPr>
        <w:t xml:space="preserve"> in a great way. The project has improved the social sustainability of Cornwall. The authority of the project has already made 18 million to the local economy of Cornwall. Also, the project is making the local community connected through deep roots and new shoots. They are doing many well-being and health activities in nature's way. The authority tries to make sure they are making enough social development. Eden project also focused on </w:t>
      </w:r>
      <w:r>
        <w:rPr>
          <w:rFonts w:ascii="Arial" w:hAnsi="Arial" w:cs="Arial" w:eastAsia="Arial"/>
          <w:b/>
          <w:color w:val="auto"/>
          <w:spacing w:val="0"/>
          <w:position w:val="0"/>
          <w:sz w:val="24"/>
          <w:shd w:fill="auto" w:val="clear"/>
        </w:rPr>
        <w:t xml:space="preserve">Environment Sustainability</w:t>
      </w:r>
      <w:r>
        <w:rPr>
          <w:rFonts w:ascii="Arial" w:hAnsi="Arial" w:cs="Arial" w:eastAsia="Arial"/>
          <w:color w:val="auto"/>
          <w:spacing w:val="0"/>
          <w:position w:val="0"/>
          <w:sz w:val="24"/>
          <w:shd w:fill="auto" w:val="clear"/>
        </w:rPr>
        <w:t xml:space="preserve">. To ensure the protection of the environment, they are trying to reduce the usage of harmful gases and energy. Inside the project, no engine transport is allowed, and all of their carriers are electric vehicles which do not harm the environment (Planet Mark, 2022). Also, they use the raw materials as a fertilizer for the soils and their plants. They collect all their materials from the local community too. The authority also made the whole place green and eco-friendly to reduce carbon emissions. Most of the materials used in their hotels are made from waste materials through recycling. They are also teaching the children and the tourists about recycling and repairing to protect the environment.</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people, profit and plants also get considered in the principles of sustainability. Eden's project focuses on the well-being of the people. For this, they get donations from several groups, which they utilize for the healthy lifestyle and education of the local community. They also focus on protecting the planet through waste management and sustainability of the destination (Benjamin et al., 2021) (Benjamin et al., 2021). The hotels of the Eden project raise profit, and they invest the money in the development of the people. In destination management, the Eden project needs to manage the people and planate appropriately to ensure proper sustainability. According to the principles of sustainability, the sustainability management of the destination is compelling enough, and the spot is entirely eco-friendly. The visitors are pretty satisfied with the eco-friendly environment of the location. But they should make proper progress in sustainability management, and for this, the rules and regulations of the authority should also be adequately maintained.</w:t>
      </w:r>
    </w:p>
    <w:p>
      <w:pPr>
        <w:spacing w:before="0" w:after="160" w:line="360"/>
        <w:ind w:right="0" w:left="0" w:firstLine="0"/>
        <w:jc w:val="center"/>
        <w:rPr>
          <w:rFonts w:ascii="Arial" w:hAnsi="Arial" w:cs="Arial" w:eastAsia="Arial"/>
          <w:color w:val="auto"/>
          <w:spacing w:val="0"/>
          <w:position w:val="0"/>
          <w:sz w:val="24"/>
          <w:shd w:fill="auto" w:val="clear"/>
        </w:rPr>
      </w:pPr>
      <w:r>
        <w:object w:dxaOrig="5778" w:dyaOrig="3852">
          <v:rect xmlns:o="urn:schemas-microsoft-com:office:office" xmlns:v="urn:schemas-microsoft-com:vml" id="rectole0000000000" style="width:288.900000pt;height:192.6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360"/>
        <w:ind w:right="0" w:left="0" w:firstLine="0"/>
        <w:jc w:val="center"/>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Figure 1:The Pillars of Sustainability</w:t>
      </w:r>
    </w:p>
    <w:p>
      <w:pPr>
        <w:spacing w:before="0" w:after="0" w:line="360"/>
        <w:ind w:right="0" w:left="0" w:firstLine="0"/>
        <w:jc w:val="center"/>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Source: </w:t>
      </w:r>
      <w:r>
        <w:rPr>
          <w:rFonts w:ascii="Arial" w:hAnsi="Arial" w:cs="Arial" w:eastAsia="Arial"/>
          <w:b/>
          <w:color w:val="auto"/>
          <w:spacing w:val="0"/>
          <w:position w:val="0"/>
          <w:sz w:val="24"/>
          <w:shd w:fill="auto" w:val="clear"/>
        </w:rPr>
        <w:t xml:space="preserve">(Crowther &amp; Seifi, 2022)</w:t>
      </w:r>
    </w:p>
    <w:p>
      <w:pPr>
        <w:keepNext w:val="true"/>
        <w:keepLines w:val="true"/>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Sustainable development policies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UK government focuses on sustainability in the tourist sector which the destinations have to manage for sustainability; for the sustainability of the tourist destinations and to save natural resources, adequately measured and regulations have to be maintained. The green destination has become one of the top demands of tourists, and the Eden project implements the rules of the UK authority. The Eden Project follows the destination management guidelines of Earth Summit to ensure sustainability in the destination. The </w:t>
      </w:r>
      <w:r>
        <w:rPr>
          <w:rFonts w:ascii="Arial" w:hAnsi="Arial" w:cs="Arial" w:eastAsia="Arial"/>
          <w:b/>
          <w:color w:val="auto"/>
          <w:spacing w:val="0"/>
          <w:position w:val="0"/>
          <w:sz w:val="24"/>
          <w:shd w:fill="auto" w:val="clear"/>
        </w:rPr>
        <w:t xml:space="preserve">Kyoto protocol</w:t>
      </w:r>
      <w:r>
        <w:rPr>
          <w:rFonts w:ascii="Arial" w:hAnsi="Arial" w:cs="Arial" w:eastAsia="Arial"/>
          <w:color w:val="auto"/>
          <w:spacing w:val="0"/>
          <w:position w:val="0"/>
          <w:sz w:val="24"/>
          <w:shd w:fill="auto" w:val="clear"/>
        </w:rPr>
        <w:t xml:space="preserve"> of UNFCCC is also maintained by the project to reduce greenhouse emissions worldwide. UK is a member of </w:t>
      </w:r>
      <w:r>
        <w:rPr>
          <w:rFonts w:ascii="Arial" w:hAnsi="Arial" w:cs="Arial" w:eastAsia="Arial"/>
          <w:b/>
          <w:color w:val="auto"/>
          <w:spacing w:val="0"/>
          <w:position w:val="0"/>
          <w:sz w:val="24"/>
          <w:shd w:fill="auto" w:val="clear"/>
        </w:rPr>
        <w:t xml:space="preserve">UNFCCC,</w:t>
      </w:r>
      <w:r>
        <w:rPr>
          <w:rFonts w:ascii="Arial" w:hAnsi="Arial" w:cs="Arial" w:eastAsia="Arial"/>
          <w:color w:val="auto"/>
          <w:spacing w:val="0"/>
          <w:position w:val="0"/>
          <w:sz w:val="24"/>
          <w:shd w:fill="auto" w:val="clear"/>
        </w:rPr>
        <w:t xml:space="preserve"> and they follow the guidelines of the Kyoto protocol to protect the environment. The </w:t>
      </w:r>
      <w:r>
        <w:rPr>
          <w:rFonts w:ascii="Arial" w:hAnsi="Arial" w:cs="Arial" w:eastAsia="Arial"/>
          <w:b/>
          <w:color w:val="auto"/>
          <w:spacing w:val="0"/>
          <w:position w:val="0"/>
          <w:sz w:val="24"/>
          <w:shd w:fill="auto" w:val="clear"/>
        </w:rPr>
        <w:t xml:space="preserve">millennium development goals</w:t>
      </w:r>
      <w:r>
        <w:rPr>
          <w:rFonts w:ascii="Arial" w:hAnsi="Arial" w:cs="Arial" w:eastAsia="Arial"/>
          <w:color w:val="auto"/>
          <w:spacing w:val="0"/>
          <w:position w:val="0"/>
          <w:sz w:val="24"/>
          <w:shd w:fill="auto" w:val="clear"/>
        </w:rPr>
        <w:t xml:space="preserve"> of sustainability also get focused on by the project to maintain sustainability management in the tourism spots. The Eden Project also implements the </w:t>
      </w:r>
      <w:r>
        <w:rPr>
          <w:rFonts w:ascii="Arial" w:hAnsi="Arial" w:cs="Arial" w:eastAsia="Arial"/>
          <w:b/>
          <w:color w:val="auto"/>
          <w:spacing w:val="0"/>
          <w:position w:val="0"/>
          <w:sz w:val="24"/>
          <w:shd w:fill="auto" w:val="clear"/>
        </w:rPr>
        <w:t xml:space="preserve">sustainable plans of the Paris agreement,</w:t>
      </w:r>
      <w:r>
        <w:rPr>
          <w:rFonts w:ascii="Arial" w:hAnsi="Arial" w:cs="Arial" w:eastAsia="Arial"/>
          <w:color w:val="auto"/>
          <w:spacing w:val="0"/>
          <w:position w:val="0"/>
          <w:sz w:val="24"/>
          <w:shd w:fill="auto" w:val="clear"/>
        </w:rPr>
        <w:t xml:space="preserve"> which make them take huge initiatives to ensure the best destination management in the areas. Implementing sustainable regulations ensures that the projects are eco-friendly and green so that the tourists can enjoy the best experience. Eden Project tries to increase the sustainability of its projects by guaranteeing economic, social and environmental sustainability. Also, the project has made a tremendous impact by reducing carbon footprints.</w:t>
      </w:r>
    </w:p>
    <w:p>
      <w:pPr>
        <w:keepNext w:val="true"/>
        <w:keepLines w:val="true"/>
        <w:spacing w:before="0" w:after="0" w:line="360"/>
        <w:ind w:right="0" w:left="0" w:firstLine="0"/>
        <w:jc w:val="both"/>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24"/>
          <w:shd w:fill="auto" w:val="clear"/>
        </w:rPr>
        <w:t xml:space="preserve">The sustainable strategy of the Eden Project</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main aim of the destination is to maintain sustainability and raise awareness of the sustainable management of the environment among familiar people and visitors. They make awareness among visitors through engaging displays, provoking activities and experiences. They have different engaging activities for the children to make aware and know about the recycling and repairing activities. They also make careful choices of materials and other designs to impact their biomes and buildings less. They are trying to reach their goal by reducing carbon footprints and gas emissions, and they are trying to encourage the local community to cooperate with them to achieve these goals. The demand for sustainable travel is increasing; hence, it is essential to ensure the destination follows all the rules and regulations of destination management.</w:t>
      </w:r>
    </w:p>
    <w:p>
      <w:pPr>
        <w:keepNext w:val="true"/>
        <w:keepLines w:val="true"/>
        <w:spacing w:before="0" w:after="0" w:line="360"/>
        <w:ind w:right="0" w:left="0" w:firstLine="0"/>
        <w:jc w:val="both"/>
        <w:rPr>
          <w:rFonts w:ascii="Arial" w:hAnsi="Arial" w:cs="Arial" w:eastAsia="Arial"/>
          <w:b/>
          <w:color w:val="auto"/>
          <w:spacing w:val="0"/>
          <w:position w:val="0"/>
          <w:sz w:val="26"/>
          <w:shd w:fill="auto" w:val="clear"/>
        </w:rPr>
      </w:pPr>
      <w:r>
        <w:rPr>
          <w:rFonts w:ascii="Arial" w:hAnsi="Arial" w:cs="Arial" w:eastAsia="Arial"/>
          <w:b/>
          <w:color w:val="auto"/>
          <w:spacing w:val="0"/>
          <w:position w:val="0"/>
          <w:sz w:val="26"/>
          <w:shd w:fill="auto" w:val="clear"/>
        </w:rPr>
        <w:t xml:space="preserve">Butler's Model to evaluate the current stage of the Eden project</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In the Model of Butlers, the life cycle of a tourist destination is divided into six stages. The first stage is exploration, and in this stage, the tourism authority and the government start to think about the project and invest in developing the destination. Then, they do the tourism planning and try to engage the tourists with the goal. The second stage is Involvement, and in this stage, foreign and local investors come and start investing in the project, build roads and hotels, and try to attract people to the project (Abdillah et al., 2020). Then, in the development stage, more highways and hotels will be constructed, and colossal marketing and promotional activities will be started. After that, in the Consolidation stage, the number of tourists starts to slow down. Then, in the stagnation stage, the decline of tourists gets started, and lastly, in the rejuvenation stage, actions are taken (Lohmann &amp; Netto, 2017).</w:t>
      </w:r>
    </w:p>
    <w:p>
      <w:pPr>
        <w:spacing w:before="0" w:after="0" w:line="360"/>
        <w:ind w:right="0" w:left="0" w:firstLine="0"/>
        <w:jc w:val="center"/>
        <w:rPr>
          <w:rFonts w:ascii="Arial" w:hAnsi="Arial" w:cs="Arial" w:eastAsia="Arial"/>
          <w:color w:val="auto"/>
          <w:spacing w:val="0"/>
          <w:position w:val="0"/>
          <w:sz w:val="24"/>
          <w:shd w:fill="auto" w:val="clear"/>
        </w:rPr>
      </w:pPr>
      <w:r>
        <w:object w:dxaOrig="5508" w:dyaOrig="3413">
          <v:rect xmlns:o="urn:schemas-microsoft-com:office:office" xmlns:v="urn:schemas-microsoft-com:vml" id="rectole0000000001" style="width:275.400000pt;height:170.65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center"/>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Figure 2: Butler's Model</w:t>
      </w:r>
    </w:p>
    <w:p>
      <w:pPr>
        <w:spacing w:before="0" w:after="0" w:line="360"/>
        <w:ind w:right="0" w:left="0" w:firstLine="0"/>
        <w:jc w:val="center"/>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Source: (Blackpool tourism, 2022)</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Eden Project is currently at the </w:t>
      </w:r>
      <w:r>
        <w:rPr>
          <w:rFonts w:ascii="Arial" w:hAnsi="Arial" w:cs="Arial" w:eastAsia="Arial"/>
          <w:b/>
          <w:color w:val="auto"/>
          <w:spacing w:val="0"/>
          <w:position w:val="0"/>
          <w:sz w:val="24"/>
          <w:shd w:fill="auto" w:val="clear"/>
        </w:rPr>
        <w:t xml:space="preserve">Development stage</w:t>
      </w:r>
      <w:r>
        <w:rPr>
          <w:rFonts w:ascii="Arial" w:hAnsi="Arial" w:cs="Arial" w:eastAsia="Arial"/>
          <w:color w:val="auto"/>
          <w:spacing w:val="0"/>
          <w:position w:val="0"/>
          <w:sz w:val="24"/>
          <w:shd w:fill="auto" w:val="clear"/>
        </w:rPr>
        <w:t xml:space="preserve"> of Butler's Model because the project has already invested a lot to build roads and hotels. Now, they are trying to make their marketing activities stronger to build strong customer engagement and can attract customers. They are also taking new initiatives to make the site more sustainable and launching new projects. All of these factors make sure they are getting enough customer awareness. In addition, the destination's social media and media coverage also increased, proving that the destination is at its development stage. </w:t>
      </w:r>
    </w:p>
    <w:p>
      <w:pPr>
        <w:keepNext w:val="true"/>
        <w:keepLines w:val="true"/>
        <w:spacing w:before="0" w:after="0" w:line="360"/>
        <w:ind w:right="0" w:left="0" w:firstLine="0"/>
        <w:jc w:val="both"/>
        <w:rPr>
          <w:rFonts w:ascii="Arial" w:hAnsi="Arial" w:cs="Arial" w:eastAsia="Arial"/>
          <w:b/>
          <w:color w:val="auto"/>
          <w:spacing w:val="0"/>
          <w:position w:val="0"/>
          <w:sz w:val="26"/>
          <w:shd w:fill="auto" w:val="clear"/>
        </w:rPr>
      </w:pPr>
      <w:r>
        <w:rPr>
          <w:rFonts w:ascii="Arial" w:hAnsi="Arial" w:cs="Arial" w:eastAsia="Arial"/>
          <w:b/>
          <w:color w:val="auto"/>
          <w:spacing w:val="0"/>
          <w:position w:val="0"/>
          <w:sz w:val="26"/>
          <w:shd w:fill="auto" w:val="clear"/>
        </w:rPr>
        <w:t xml:space="preserve">Doxey's irritation index Model in the context of the Eden Project</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Doxey's irritation index Model has analyzed the mindsets of the local people about the destinations. The first feeling is Euphoria since, at this stage, people do not know much about the destination and start learning about it. The local community becomes apathetic after that because of the number of visitors and the benefit they receive. In the third stage, they get irritated because of the significant number of visitors, and the crowd arises from the arrival of the visitors. In the fourth stage, the local community get upset because of the destruction of the destinations. The local community of Cornwall are currently </w:t>
      </w:r>
      <w:r>
        <w:rPr>
          <w:rFonts w:ascii="Arial" w:hAnsi="Arial" w:cs="Arial" w:eastAsia="Arial"/>
          <w:b/>
          <w:color w:val="auto"/>
          <w:spacing w:val="0"/>
          <w:position w:val="0"/>
          <w:sz w:val="24"/>
          <w:shd w:fill="auto" w:val="clear"/>
        </w:rPr>
        <w:t xml:space="preserve">apathetic</w:t>
      </w:r>
      <w:r>
        <w:rPr>
          <w:rFonts w:ascii="Arial" w:hAnsi="Arial" w:cs="Arial" w:eastAsia="Arial"/>
          <w:color w:val="auto"/>
          <w:spacing w:val="0"/>
          <w:position w:val="0"/>
          <w:sz w:val="24"/>
          <w:shd w:fill="auto" w:val="clear"/>
        </w:rPr>
        <w:t xml:space="preserve"> because of the considerate number of customers and the benefits from the project (Pavli</w:t>
      </w:r>
      <w:r>
        <w:rPr>
          <w:rFonts w:ascii="Arial" w:hAnsi="Arial" w:cs="Arial" w:eastAsia="Arial"/>
          <w:color w:val="auto"/>
          <w:spacing w:val="0"/>
          <w:position w:val="0"/>
          <w:sz w:val="24"/>
          <w:shd w:fill="auto" w:val="clear"/>
        </w:rPr>
        <w:t xml:space="preserve">ć &amp; Portolan, 2015).</w:t>
      </w:r>
    </w:p>
    <w:p>
      <w:pPr>
        <w:spacing w:before="0" w:after="0" w:line="360"/>
        <w:ind w:right="0" w:left="0" w:firstLine="0"/>
        <w:jc w:val="center"/>
        <w:rPr>
          <w:rFonts w:ascii="Arial" w:hAnsi="Arial" w:cs="Arial" w:eastAsia="Arial"/>
          <w:b/>
          <w:color w:val="000000"/>
          <w:spacing w:val="0"/>
          <w:position w:val="0"/>
          <w:sz w:val="24"/>
          <w:shd w:fill="auto" w:val="clear"/>
        </w:rPr>
      </w:pPr>
      <w:r>
        <w:object w:dxaOrig="5040" w:dyaOrig="3780">
          <v:rect xmlns:o="urn:schemas-microsoft-com:office:office" xmlns:v="urn:schemas-microsoft-com:vml" id="rectole0000000002" style="width:252.000000pt;height:189.0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360"/>
        <w:ind w:right="0" w:left="0" w:firstLine="0"/>
        <w:jc w:val="center"/>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Figure 3: Doxey's Irritation Index</w:t>
      </w:r>
    </w:p>
    <w:p>
      <w:pPr>
        <w:spacing w:before="0" w:after="0" w:line="360"/>
        <w:ind w:right="0" w:left="0" w:firstLine="0"/>
        <w:jc w:val="center"/>
        <w:rPr>
          <w:rFonts w:ascii="Arial" w:hAnsi="Arial" w:cs="Arial" w:eastAsia="Arial"/>
          <w:b/>
          <w:color w:val="000000"/>
          <w:spacing w:val="0"/>
          <w:position w:val="0"/>
          <w:sz w:val="24"/>
          <w:shd w:fill="auto" w:val="clear"/>
        </w:rPr>
      </w:pPr>
      <w:r>
        <w:rPr>
          <w:rFonts w:ascii="Arial" w:hAnsi="Arial" w:cs="Arial" w:eastAsia="Arial"/>
          <w:b/>
          <w:color w:val="000000"/>
          <w:spacing w:val="0"/>
          <w:position w:val="0"/>
          <w:sz w:val="24"/>
          <w:shd w:fill="auto" w:val="clear"/>
        </w:rPr>
        <w:t xml:space="preserve">Source: </w:t>
      </w:r>
      <w:r>
        <w:rPr>
          <w:rFonts w:ascii="Arial" w:hAnsi="Arial" w:cs="Arial" w:eastAsia="Arial"/>
          <w:color w:val="auto"/>
          <w:spacing w:val="0"/>
          <w:position w:val="0"/>
          <w:sz w:val="24"/>
          <w:shd w:fill="auto" w:val="clear"/>
        </w:rPr>
        <w:t xml:space="preserve">(</w:t>
      </w:r>
      <w:r>
        <w:rPr>
          <w:rFonts w:ascii="Arial" w:hAnsi="Arial" w:cs="Arial" w:eastAsia="Arial"/>
          <w:b/>
          <w:color w:val="000000"/>
          <w:spacing w:val="0"/>
          <w:position w:val="0"/>
          <w:sz w:val="24"/>
          <w:shd w:fill="auto" w:val="clear"/>
        </w:rPr>
        <w:t xml:space="preserve">Stumpf et al., 2022)</w:t>
      </w:r>
    </w:p>
    <w:p>
      <w:pPr>
        <w:keepNext w:val="true"/>
        <w:keepLines w:val="true"/>
        <w:spacing w:before="40" w:after="0" w:line="360"/>
        <w:ind w:right="0" w:left="0" w:firstLine="0"/>
        <w:jc w:val="both"/>
        <w:rPr>
          <w:rFonts w:ascii="Arial" w:hAnsi="Arial" w:cs="Arial" w:eastAsia="Arial"/>
          <w:b/>
          <w:color w:val="auto"/>
          <w:spacing w:val="0"/>
          <w:position w:val="0"/>
          <w:sz w:val="26"/>
          <w:shd w:fill="auto" w:val="clear"/>
        </w:rPr>
      </w:pPr>
      <w:r>
        <w:rPr>
          <w:rFonts w:ascii="Arial" w:hAnsi="Arial" w:cs="Arial" w:eastAsia="Arial"/>
          <w:b/>
          <w:color w:val="auto"/>
          <w:spacing w:val="0"/>
          <w:position w:val="0"/>
          <w:sz w:val="26"/>
          <w:shd w:fill="auto" w:val="clear"/>
        </w:rPr>
        <w:t xml:space="preserve">Recommendations </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Below are some recommendations in this respect to improve the issue further: </w:t>
      </w:r>
    </w:p>
    <w:p>
      <w:pPr>
        <w:numPr>
          <w:ilvl w:val="0"/>
          <w:numId w:val="58"/>
        </w:numPr>
        <w:spacing w:before="0" w:after="0" w:line="360"/>
        <w:ind w:right="0" w:left="36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project can build some restaurants and more roads so that the visitors can easily spend more days at this spot.</w:t>
      </w:r>
    </w:p>
    <w:p>
      <w:pPr>
        <w:numPr>
          <w:ilvl w:val="0"/>
          <w:numId w:val="58"/>
        </w:numPr>
        <w:spacing w:before="0" w:after="0" w:line="360"/>
        <w:ind w:right="0" w:left="36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They should follow and implement all the rules and regulations regarding sustainability management so that it can be easier for them to manage the destination</w:t>
      </w:r>
    </w:p>
    <w:p>
      <w:pPr>
        <w:numPr>
          <w:ilvl w:val="0"/>
          <w:numId w:val="58"/>
        </w:numPr>
        <w:spacing w:before="0" w:after="0" w:line="360"/>
        <w:ind w:right="0" w:left="36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They should strengthen their social and media coverage to increase customer awareness.</w:t>
      </w:r>
    </w:p>
    <w:p>
      <w:pPr>
        <w:numPr>
          <w:ilvl w:val="0"/>
          <w:numId w:val="58"/>
        </w:numPr>
        <w:spacing w:before="0" w:after="0" w:line="360"/>
        <w:ind w:right="0" w:left="36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They should take more sustainable initiatives to make the spot more eco-friend.</w:t>
      </w:r>
    </w:p>
    <w:p>
      <w:pPr>
        <w:numPr>
          <w:ilvl w:val="0"/>
          <w:numId w:val="58"/>
        </w:numPr>
        <w:spacing w:before="0" w:after="0" w:line="360"/>
        <w:ind w:right="0" w:left="360" w:hanging="36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Awareness among the visitors needs to be developed to promote the sustainability of the destination and preach it to potential visitors also. </w:t>
      </w:r>
    </w:p>
    <w:p>
      <w:pPr>
        <w:keepNext w:val="true"/>
        <w:keepLines w:val="true"/>
        <w:spacing w:before="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Conclusion</w:t>
      </w:r>
    </w:p>
    <w:p>
      <w:pPr>
        <w:spacing w:before="0" w:after="16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Destination management is significant in managing eco-friendly and green travel destinations. Almost all the goals in the UK are focused on sustainability to attract customers and positively impact the environment. The Eden project of Cornwall is an example of an eco-friendly travel destination that is taking considerable initiatives to make the destination sustainable. Also, they are making sure the local community gets advantages from their initiatives. The sustainability principles prove that they are successful at every pillar of sustainability. They should maintain this progress and be more innovative in destination management.</w:t>
      </w:r>
    </w:p>
    <w:p>
      <w:pPr>
        <w:keepNext w:val="true"/>
        <w:keepLines w:val="true"/>
        <w:spacing w:before="0" w:after="0" w:line="360"/>
        <w:ind w:right="0" w:left="0" w:firstLine="0"/>
        <w:jc w:val="both"/>
        <w:rPr>
          <w:rFonts w:ascii="Arial" w:hAnsi="Arial" w:cs="Arial" w:eastAsia="Arial"/>
          <w:b/>
          <w:color w:val="auto"/>
          <w:spacing w:val="0"/>
          <w:position w:val="0"/>
          <w:sz w:val="28"/>
          <w:shd w:fill="auto" w:val="clear"/>
        </w:rPr>
      </w:pPr>
      <w:r>
        <w:rPr>
          <w:rFonts w:ascii="Arial" w:hAnsi="Arial" w:cs="Arial" w:eastAsia="Arial"/>
          <w:b/>
          <w:color w:val="auto"/>
          <w:spacing w:val="0"/>
          <w:position w:val="0"/>
          <w:sz w:val="28"/>
          <w:shd w:fill="auto" w:val="clear"/>
        </w:rPr>
        <w:t xml:space="preserve">References</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Abdillah, F., Leewellyn, V. and Yadisaputra, M. (2020) "Local community life satisfaction at an early-stage tourist destination," </w:t>
      </w:r>
      <w:r>
        <w:rPr>
          <w:rFonts w:ascii="Arial" w:hAnsi="Arial" w:cs="Arial" w:eastAsia="Arial"/>
          <w:i/>
          <w:color w:val="auto"/>
          <w:spacing w:val="0"/>
          <w:position w:val="0"/>
          <w:sz w:val="24"/>
          <w:shd w:fill="auto" w:val="clear"/>
        </w:rPr>
        <w:t xml:space="preserve">E-Journal of Tourism</w:t>
      </w:r>
      <w:r>
        <w:rPr>
          <w:rFonts w:ascii="Arial" w:hAnsi="Arial" w:cs="Arial" w:eastAsia="Arial"/>
          <w:color w:val="auto"/>
          <w:spacing w:val="0"/>
          <w:position w:val="0"/>
          <w:sz w:val="24"/>
          <w:shd w:fill="auto" w:val="clear"/>
        </w:rPr>
        <w:t xml:space="preserve">, p. 177. Available at: </w:t>
      </w:r>
      <w:hyperlink xmlns:r="http://schemas.openxmlformats.org/officeDocument/2006/relationships" r:id="docRId6">
        <w:r>
          <w:rPr>
            <w:rFonts w:ascii="Arial" w:hAnsi="Arial" w:cs="Arial" w:eastAsia="Arial"/>
            <w:color w:val="0000FF"/>
            <w:spacing w:val="0"/>
            <w:position w:val="0"/>
            <w:sz w:val="24"/>
            <w:u w:val="single"/>
            <w:shd w:fill="auto" w:val="clear"/>
          </w:rPr>
          <w:t xml:space="preserve">https://doi.org/10.24922/eot.v7i2.60515</w:t>
        </w:r>
      </w:hyperlink>
      <w:r>
        <w:rPr>
          <w:rFonts w:ascii="Arial" w:hAnsi="Arial" w:cs="Arial" w:eastAsia="Arial"/>
          <w:color w:val="auto"/>
          <w:spacing w:val="0"/>
          <w:position w:val="0"/>
          <w:sz w:val="24"/>
          <w:shd w:fill="auto" w:val="clear"/>
        </w:rPr>
        <w:t xml:space="preserve">.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Benjamin, S., Bottone, E. and Lee, M. (2021) "Beyond accessibility: Exploring the representation of people with disabilities in tourism promotional materials," </w:t>
      </w:r>
      <w:r>
        <w:rPr>
          <w:rFonts w:ascii="Arial" w:hAnsi="Arial" w:cs="Arial" w:eastAsia="Arial"/>
          <w:i/>
          <w:color w:val="auto"/>
          <w:spacing w:val="0"/>
          <w:position w:val="0"/>
          <w:sz w:val="24"/>
          <w:shd w:fill="auto" w:val="clear"/>
        </w:rPr>
        <w:t xml:space="preserve">Justice and Tourism</w:t>
      </w:r>
      <w:r>
        <w:rPr>
          <w:rFonts w:ascii="Arial" w:hAnsi="Arial" w:cs="Arial" w:eastAsia="Arial"/>
          <w:color w:val="auto"/>
          <w:spacing w:val="0"/>
          <w:position w:val="0"/>
          <w:sz w:val="24"/>
          <w:shd w:fill="auto" w:val="clear"/>
        </w:rPr>
        <w:t xml:space="preserve">, pp. 153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171. Available at: </w:t>
      </w:r>
      <w:hyperlink xmlns:r="http://schemas.openxmlformats.org/officeDocument/2006/relationships" r:id="docRId7">
        <w:r>
          <w:rPr>
            <w:rFonts w:ascii="Arial" w:hAnsi="Arial" w:cs="Arial" w:eastAsia="Arial"/>
            <w:color w:val="0000FF"/>
            <w:spacing w:val="0"/>
            <w:position w:val="0"/>
            <w:sz w:val="24"/>
            <w:u w:val="single"/>
            <w:shd w:fill="auto" w:val="clear"/>
          </w:rPr>
          <w:t xml:space="preserve">https://doi.org/10.4324/9781003143055-9</w:t>
        </w:r>
      </w:hyperlink>
      <w:r>
        <w:rPr>
          <w:rFonts w:ascii="Arial" w:hAnsi="Arial" w:cs="Arial" w:eastAsia="Arial"/>
          <w:color w:val="auto"/>
          <w:spacing w:val="0"/>
          <w:position w:val="0"/>
          <w:sz w:val="24"/>
          <w:shd w:fill="auto" w:val="clear"/>
        </w:rPr>
        <w:t xml:space="preserve">.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Blackpool tourism (no date) </w:t>
      </w:r>
      <w:r>
        <w:rPr>
          <w:rFonts w:ascii="Arial" w:hAnsi="Arial" w:cs="Arial" w:eastAsia="Arial"/>
          <w:i/>
          <w:color w:val="auto"/>
          <w:spacing w:val="0"/>
          <w:position w:val="0"/>
          <w:sz w:val="24"/>
          <w:shd w:fill="auto" w:val="clear"/>
        </w:rPr>
        <w:t xml:space="preserve">Blackpool tourism</w:t>
      </w:r>
      <w:r>
        <w:rPr>
          <w:rFonts w:ascii="Arial" w:hAnsi="Arial" w:cs="Arial" w:eastAsia="Arial"/>
          <w:color w:val="auto"/>
          <w:spacing w:val="0"/>
          <w:position w:val="0"/>
          <w:sz w:val="24"/>
          <w:shd w:fill="auto" w:val="clear"/>
        </w:rPr>
        <w:t xml:space="preserve">. Available at: </w:t>
      </w:r>
      <w:hyperlink xmlns:r="http://schemas.openxmlformats.org/officeDocument/2006/relationships" r:id="docRId8">
        <w:r>
          <w:rPr>
            <w:rFonts w:ascii="Arial" w:hAnsi="Arial" w:cs="Arial" w:eastAsia="Arial"/>
            <w:color w:val="0000FF"/>
            <w:spacing w:val="0"/>
            <w:position w:val="0"/>
            <w:sz w:val="24"/>
            <w:u w:val="single"/>
            <w:shd w:fill="auto" w:val="clear"/>
          </w:rPr>
          <w:t xml:space="preserve">https://www.coolgeography.co.uk/GCSE/AQA/Tourism/UK/Blackpool_Tourism.htm</w:t>
        </w:r>
      </w:hyperlink>
      <w:r>
        <w:rPr>
          <w:rFonts w:ascii="Arial" w:hAnsi="Arial" w:cs="Arial" w:eastAsia="Arial"/>
          <w:color w:val="auto"/>
          <w:spacing w:val="0"/>
          <w:position w:val="0"/>
          <w:sz w:val="24"/>
          <w:shd w:fill="auto" w:val="clear"/>
        </w:rPr>
        <w:t xml:space="preserve"> (Accessed: November 24, 2022).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Civelek, I. (2017) "Sustainability in inventory management," </w:t>
      </w:r>
      <w:r>
        <w:rPr>
          <w:rFonts w:ascii="Arial" w:hAnsi="Arial" w:cs="Arial" w:eastAsia="Arial"/>
          <w:i/>
          <w:color w:val="auto"/>
          <w:spacing w:val="0"/>
          <w:position w:val="0"/>
          <w:sz w:val="24"/>
          <w:shd w:fill="auto" w:val="clear"/>
        </w:rPr>
        <w:t xml:space="preserve">Intelligence, Sustainability, and Strategic Issues in Management</w:t>
      </w:r>
      <w:r>
        <w:rPr>
          <w:rFonts w:ascii="Arial" w:hAnsi="Arial" w:cs="Arial" w:eastAsia="Arial"/>
          <w:color w:val="auto"/>
          <w:spacing w:val="0"/>
          <w:position w:val="0"/>
          <w:sz w:val="24"/>
          <w:shd w:fill="auto" w:val="clear"/>
        </w:rPr>
        <w:t xml:space="preserve">, pp. 43</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56. Available at: </w:t>
      </w:r>
      <w:hyperlink xmlns:r="http://schemas.openxmlformats.org/officeDocument/2006/relationships" r:id="docRId9">
        <w:r>
          <w:rPr>
            <w:rFonts w:ascii="Arial" w:hAnsi="Arial" w:cs="Arial" w:eastAsia="Arial"/>
            <w:color w:val="0000FF"/>
            <w:spacing w:val="0"/>
            <w:position w:val="0"/>
            <w:sz w:val="24"/>
            <w:u w:val="single"/>
            <w:shd w:fill="auto" w:val="clear"/>
          </w:rPr>
          <w:t xml:space="preserve">https://doi.org/10.4324/9780203788394-3</w:t>
        </w:r>
      </w:hyperlink>
      <w:r>
        <w:rPr>
          <w:rFonts w:ascii="Arial" w:hAnsi="Arial" w:cs="Arial" w:eastAsia="Arial"/>
          <w:color w:val="auto"/>
          <w:spacing w:val="0"/>
          <w:position w:val="0"/>
          <w:sz w:val="24"/>
          <w:shd w:fill="auto" w:val="clear"/>
        </w:rPr>
        <w:t xml:space="preserve">.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Crowther, D. and Seifi, S. (2022) "Introduction: Managing the Pillars of Sustainable Development," </w:t>
      </w:r>
      <w:r>
        <w:rPr>
          <w:rFonts w:ascii="Arial" w:hAnsi="Arial" w:cs="Arial" w:eastAsia="Arial"/>
          <w:i/>
          <w:color w:val="auto"/>
          <w:spacing w:val="0"/>
          <w:position w:val="0"/>
          <w:sz w:val="24"/>
          <w:shd w:fill="auto" w:val="clear"/>
        </w:rPr>
        <w:t xml:space="preserve">Developments in Corporate Governance and Responsibility</w:t>
      </w:r>
      <w:r>
        <w:rPr>
          <w:rFonts w:ascii="Arial" w:hAnsi="Arial" w:cs="Arial" w:eastAsia="Arial"/>
          <w:color w:val="auto"/>
          <w:spacing w:val="0"/>
          <w:position w:val="0"/>
          <w:sz w:val="24"/>
          <w:shd w:fill="auto" w:val="clear"/>
        </w:rPr>
        <w:t xml:space="preserve">, pp. 1</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17. Available at: </w:t>
      </w:r>
      <w:hyperlink xmlns:r="http://schemas.openxmlformats.org/officeDocument/2006/relationships" r:id="docRId10">
        <w:r>
          <w:rPr>
            <w:rFonts w:ascii="Arial" w:hAnsi="Arial" w:cs="Arial" w:eastAsia="Arial"/>
            <w:color w:val="0000FF"/>
            <w:spacing w:val="0"/>
            <w:position w:val="0"/>
            <w:sz w:val="24"/>
            <w:u w:val="single"/>
            <w:shd w:fill="auto" w:val="clear"/>
          </w:rPr>
          <w:t xml:space="preserve">https://doi.org/10.1108/s2043-052320220000017001</w:t>
        </w:r>
      </w:hyperlink>
      <w:r>
        <w:rPr>
          <w:rFonts w:ascii="Arial" w:hAnsi="Arial" w:cs="Arial" w:eastAsia="Arial"/>
          <w:color w:val="auto"/>
          <w:spacing w:val="0"/>
          <w:position w:val="0"/>
          <w:sz w:val="24"/>
          <w:shd w:fill="auto" w:val="clear"/>
        </w:rPr>
        <w:t xml:space="preserve">.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Eden Project (no date) </w:t>
      </w:r>
      <w:r>
        <w:rPr>
          <w:rFonts w:ascii="Arial" w:hAnsi="Arial" w:cs="Arial" w:eastAsia="Arial"/>
          <w:i/>
          <w:color w:val="auto"/>
          <w:spacing w:val="0"/>
          <w:position w:val="0"/>
          <w:sz w:val="24"/>
          <w:shd w:fill="auto" w:val="clear"/>
        </w:rPr>
        <w:t xml:space="preserve">Sustainability at Eden</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Eden Project</w:t>
      </w:r>
      <w:r>
        <w:rPr>
          <w:rFonts w:ascii="Arial" w:hAnsi="Arial" w:cs="Arial" w:eastAsia="Arial"/>
          <w:color w:val="auto"/>
          <w:spacing w:val="0"/>
          <w:position w:val="0"/>
          <w:sz w:val="24"/>
          <w:shd w:fill="auto" w:val="clear"/>
        </w:rPr>
        <w:t xml:space="preserve">. Available at: </w:t>
      </w:r>
      <w:hyperlink xmlns:r="http://schemas.openxmlformats.org/officeDocument/2006/relationships" r:id="docRId11">
        <w:r>
          <w:rPr>
            <w:rFonts w:ascii="Arial" w:hAnsi="Arial" w:cs="Arial" w:eastAsia="Arial"/>
            <w:color w:val="0000FF"/>
            <w:spacing w:val="0"/>
            <w:position w:val="0"/>
            <w:sz w:val="24"/>
            <w:u w:val="single"/>
            <w:shd w:fill="auto" w:val="clear"/>
          </w:rPr>
          <w:t xml:space="preserve">https://www.edenproject.com/visit/planning-your-visit/sustainability-at-eden</w:t>
        </w:r>
      </w:hyperlink>
      <w:r>
        <w:rPr>
          <w:rFonts w:ascii="Arial" w:hAnsi="Arial" w:cs="Arial" w:eastAsia="Arial"/>
          <w:color w:val="auto"/>
          <w:spacing w:val="0"/>
          <w:position w:val="0"/>
          <w:sz w:val="24"/>
          <w:shd w:fill="auto" w:val="clear"/>
        </w:rPr>
        <w:t xml:space="preserve"> (Accessed: November 24, 2022).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Lohmann, G. and Netto, P.A. (2017) </w:t>
      </w:r>
      <w:r>
        <w:rPr>
          <w:rFonts w:ascii="Arial" w:hAnsi="Arial" w:cs="Arial" w:eastAsia="Arial"/>
          <w:i/>
          <w:color w:val="auto"/>
          <w:spacing w:val="0"/>
          <w:position w:val="0"/>
          <w:sz w:val="24"/>
          <w:shd w:fill="auto" w:val="clear"/>
        </w:rPr>
        <w:t xml:space="preserve">Tourism theory: Concepts, models and systems</w:t>
      </w:r>
      <w:r>
        <w:rPr>
          <w:rFonts w:ascii="Arial" w:hAnsi="Arial" w:cs="Arial" w:eastAsia="Arial"/>
          <w:color w:val="auto"/>
          <w:spacing w:val="0"/>
          <w:position w:val="0"/>
          <w:sz w:val="24"/>
          <w:shd w:fill="auto" w:val="clear"/>
        </w:rPr>
        <w:t xml:space="preserve">. Wallingford, Oxfordshire, UK: CAB International.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Pavli</w:t>
      </w:r>
      <w:r>
        <w:rPr>
          <w:rFonts w:ascii="Arial" w:hAnsi="Arial" w:cs="Arial" w:eastAsia="Arial"/>
          <w:color w:val="auto"/>
          <w:spacing w:val="0"/>
          <w:position w:val="0"/>
          <w:sz w:val="24"/>
          <w:shd w:fill="auto" w:val="clear"/>
        </w:rPr>
        <w:t xml:space="preserve">ć, I. and Portolan, A. (2015) "Irritation index, tourism," </w:t>
      </w:r>
      <w:r>
        <w:rPr>
          <w:rFonts w:ascii="Arial" w:hAnsi="Arial" w:cs="Arial" w:eastAsia="Arial"/>
          <w:i/>
          <w:color w:val="auto"/>
          <w:spacing w:val="0"/>
          <w:position w:val="0"/>
          <w:sz w:val="24"/>
          <w:shd w:fill="auto" w:val="clear"/>
        </w:rPr>
        <w:t xml:space="preserve">Encyclopedia of Tourism</w:t>
      </w:r>
      <w:r>
        <w:rPr>
          <w:rFonts w:ascii="Arial" w:hAnsi="Arial" w:cs="Arial" w:eastAsia="Arial"/>
          <w:color w:val="auto"/>
          <w:spacing w:val="0"/>
          <w:position w:val="0"/>
          <w:sz w:val="24"/>
          <w:shd w:fill="auto" w:val="clear"/>
        </w:rPr>
        <w:t xml:space="preserve">, pp. 1</w:t>
      </w:r>
      <w:r>
        <w:rPr>
          <w:rFonts w:ascii="Arial" w:hAnsi="Arial" w:cs="Arial" w:eastAsia="Arial"/>
          <w:color w:val="auto"/>
          <w:spacing w:val="0"/>
          <w:position w:val="0"/>
          <w:sz w:val="24"/>
          <w:shd w:fill="auto" w:val="clear"/>
        </w:rPr>
        <w:t xml:space="preserve">–</w:t>
      </w:r>
      <w:r>
        <w:rPr>
          <w:rFonts w:ascii="Arial" w:hAnsi="Arial" w:cs="Arial" w:eastAsia="Arial"/>
          <w:color w:val="auto"/>
          <w:spacing w:val="0"/>
          <w:position w:val="0"/>
          <w:sz w:val="24"/>
          <w:shd w:fill="auto" w:val="clear"/>
        </w:rPr>
        <w:t xml:space="preserve">2. Available at: </w:t>
      </w:r>
      <w:hyperlink xmlns:r="http://schemas.openxmlformats.org/officeDocument/2006/relationships" r:id="docRId12">
        <w:r>
          <w:rPr>
            <w:rFonts w:ascii="Arial" w:hAnsi="Arial" w:cs="Arial" w:eastAsia="Arial"/>
            <w:color w:val="0000FF"/>
            <w:spacing w:val="0"/>
            <w:position w:val="0"/>
            <w:sz w:val="24"/>
            <w:u w:val="single"/>
            <w:shd w:fill="auto" w:val="clear"/>
          </w:rPr>
          <w:t xml:space="preserve">https://doi.org/10.1007/978-3-319-01669-6_564-1</w:t>
        </w:r>
      </w:hyperlink>
      <w:r>
        <w:rPr>
          <w:rFonts w:ascii="Arial" w:hAnsi="Arial" w:cs="Arial" w:eastAsia="Arial"/>
          <w:color w:val="auto"/>
          <w:spacing w:val="0"/>
          <w:position w:val="0"/>
          <w:sz w:val="24"/>
          <w:shd w:fill="auto" w:val="clear"/>
        </w:rPr>
        <w:t xml:space="preserve">.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Planet Mark (2022) </w:t>
      </w:r>
      <w:r>
        <w:rPr>
          <w:rFonts w:ascii="Arial" w:hAnsi="Arial" w:cs="Arial" w:eastAsia="Arial"/>
          <w:i/>
          <w:color w:val="auto"/>
          <w:spacing w:val="0"/>
          <w:position w:val="0"/>
          <w:sz w:val="24"/>
          <w:shd w:fill="auto" w:val="clear"/>
        </w:rPr>
        <w:t xml:space="preserve">Eden Project</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Planet Mark</w:t>
      </w:r>
      <w:r>
        <w:rPr>
          <w:rFonts w:ascii="Arial" w:hAnsi="Arial" w:cs="Arial" w:eastAsia="Arial"/>
          <w:color w:val="auto"/>
          <w:spacing w:val="0"/>
          <w:position w:val="0"/>
          <w:sz w:val="24"/>
          <w:shd w:fill="auto" w:val="clear"/>
        </w:rPr>
        <w:t xml:space="preserve">. Available at: </w:t>
      </w:r>
      <w:hyperlink xmlns:r="http://schemas.openxmlformats.org/officeDocument/2006/relationships" r:id="docRId13">
        <w:r>
          <w:rPr>
            <w:rFonts w:ascii="Arial" w:hAnsi="Arial" w:cs="Arial" w:eastAsia="Arial"/>
            <w:color w:val="0000FF"/>
            <w:spacing w:val="0"/>
            <w:position w:val="0"/>
            <w:sz w:val="24"/>
            <w:u w:val="single"/>
            <w:shd w:fill="auto" w:val="clear"/>
          </w:rPr>
          <w:t xml:space="preserve">https://www.planetmark.com/member/eden-project/</w:t>
        </w:r>
      </w:hyperlink>
      <w:r>
        <w:rPr>
          <w:rFonts w:ascii="Arial" w:hAnsi="Arial" w:cs="Arial" w:eastAsia="Arial"/>
          <w:color w:val="auto"/>
          <w:spacing w:val="0"/>
          <w:position w:val="0"/>
          <w:sz w:val="24"/>
          <w:shd w:fill="auto" w:val="clear"/>
        </w:rPr>
        <w:t xml:space="preserve"> (Accessed: November 24, 2022).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Stumpf, P. </w:t>
      </w:r>
      <w:r>
        <w:rPr>
          <w:rFonts w:ascii="Arial" w:hAnsi="Arial" w:cs="Arial" w:eastAsia="Arial"/>
          <w:i/>
          <w:color w:val="auto"/>
          <w:spacing w:val="0"/>
          <w:position w:val="0"/>
          <w:sz w:val="24"/>
          <w:shd w:fill="auto" w:val="clear"/>
        </w:rPr>
        <w:t xml:space="preserve">et al.</w:t>
      </w:r>
      <w:r>
        <w:rPr>
          <w:rFonts w:ascii="Arial" w:hAnsi="Arial" w:cs="Arial" w:eastAsia="Arial"/>
          <w:color w:val="auto"/>
          <w:spacing w:val="0"/>
          <w:position w:val="0"/>
          <w:sz w:val="24"/>
          <w:shd w:fill="auto" w:val="clear"/>
        </w:rPr>
        <w:t xml:space="preserve"> (2022) "Systems approach to residents' irritation in urban tourism destinations," </w:t>
      </w:r>
      <w:r>
        <w:rPr>
          <w:rFonts w:ascii="Arial" w:hAnsi="Arial" w:cs="Arial" w:eastAsia="Arial"/>
          <w:i/>
          <w:color w:val="auto"/>
          <w:spacing w:val="0"/>
          <w:position w:val="0"/>
          <w:sz w:val="24"/>
          <w:shd w:fill="auto" w:val="clear"/>
        </w:rPr>
        <w:t xml:space="preserve">European Journal of Tourism Research</w:t>
      </w:r>
      <w:r>
        <w:rPr>
          <w:rFonts w:ascii="Arial" w:hAnsi="Arial" w:cs="Arial" w:eastAsia="Arial"/>
          <w:color w:val="auto"/>
          <w:spacing w:val="0"/>
          <w:position w:val="0"/>
          <w:sz w:val="24"/>
          <w:shd w:fill="auto" w:val="clear"/>
        </w:rPr>
        <w:t xml:space="preserve">, 31, p. 3107. Available at: </w:t>
      </w:r>
      <w:hyperlink xmlns:r="http://schemas.openxmlformats.org/officeDocument/2006/relationships" r:id="docRId14">
        <w:r>
          <w:rPr>
            <w:rFonts w:ascii="Arial" w:hAnsi="Arial" w:cs="Arial" w:eastAsia="Arial"/>
            <w:color w:val="0000FF"/>
            <w:spacing w:val="0"/>
            <w:position w:val="0"/>
            <w:sz w:val="24"/>
            <w:u w:val="single"/>
            <w:shd w:fill="auto" w:val="clear"/>
          </w:rPr>
          <w:t xml:space="preserve">https://doi.org/10.54055/ejtr.v31i.2143</w:t>
        </w:r>
      </w:hyperlink>
      <w:r>
        <w:rPr>
          <w:rFonts w:ascii="Arial" w:hAnsi="Arial" w:cs="Arial" w:eastAsia="Arial"/>
          <w:color w:val="auto"/>
          <w:spacing w:val="0"/>
          <w:position w:val="0"/>
          <w:sz w:val="24"/>
          <w:shd w:fill="auto" w:val="clear"/>
        </w:rPr>
        <w:t xml:space="preserve">.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The Guardian (2019) </w:t>
      </w:r>
      <w:r>
        <w:rPr>
          <w:rFonts w:ascii="Arial" w:hAnsi="Arial" w:cs="Arial" w:eastAsia="Arial"/>
          <w:i/>
          <w:color w:val="auto"/>
          <w:spacing w:val="0"/>
          <w:position w:val="0"/>
          <w:sz w:val="24"/>
          <w:shd w:fill="auto" w:val="clear"/>
        </w:rPr>
        <w:t xml:space="preserve">Plastic-free coast: 10 seaside communities to visit in the British Isles</w:t>
      </w:r>
      <w:r>
        <w:rPr>
          <w:rFonts w:ascii="Arial" w:hAnsi="Arial" w:cs="Arial" w:eastAsia="Arial"/>
          <w:color w:val="auto"/>
          <w:spacing w:val="0"/>
          <w:position w:val="0"/>
          <w:sz w:val="24"/>
          <w:shd w:fill="auto" w:val="clear"/>
        </w:rPr>
        <w:t xml:space="preserve">, </w:t>
      </w:r>
      <w:r>
        <w:rPr>
          <w:rFonts w:ascii="Arial" w:hAnsi="Arial" w:cs="Arial" w:eastAsia="Arial"/>
          <w:i/>
          <w:color w:val="auto"/>
          <w:spacing w:val="0"/>
          <w:position w:val="0"/>
          <w:sz w:val="24"/>
          <w:shd w:fill="auto" w:val="clear"/>
        </w:rPr>
        <w:t xml:space="preserve">The Guardian</w:t>
      </w:r>
      <w:r>
        <w:rPr>
          <w:rFonts w:ascii="Arial" w:hAnsi="Arial" w:cs="Arial" w:eastAsia="Arial"/>
          <w:color w:val="auto"/>
          <w:spacing w:val="0"/>
          <w:position w:val="0"/>
          <w:sz w:val="24"/>
          <w:shd w:fill="auto" w:val="clear"/>
        </w:rPr>
        <w:t xml:space="preserve">. Guardian News and Media. Available at: </w:t>
      </w:r>
      <w:hyperlink xmlns:r="http://schemas.openxmlformats.org/officeDocument/2006/relationships" r:id="docRId15">
        <w:r>
          <w:rPr>
            <w:rFonts w:ascii="Arial" w:hAnsi="Arial" w:cs="Arial" w:eastAsia="Arial"/>
            <w:color w:val="0000FF"/>
            <w:spacing w:val="0"/>
            <w:position w:val="0"/>
            <w:sz w:val="24"/>
            <w:u w:val="single"/>
            <w:shd w:fill="auto" w:val="clear"/>
          </w:rPr>
          <w:t xml:space="preserve">https://www.theguardian.com/travel/2019/jun/07/plastic-free-coast-10-uk-seaside-towns-sustainable</w:t>
        </w:r>
      </w:hyperlink>
      <w:r>
        <w:rPr>
          <w:rFonts w:ascii="Arial" w:hAnsi="Arial" w:cs="Arial" w:eastAsia="Arial"/>
          <w:color w:val="auto"/>
          <w:spacing w:val="0"/>
          <w:position w:val="0"/>
          <w:sz w:val="24"/>
          <w:shd w:fill="auto" w:val="clear"/>
        </w:rPr>
        <w:t xml:space="preserve"> (Accessed: November 24, 2022). </w:t>
      </w:r>
    </w:p>
    <w:p>
      <w:pPr>
        <w:spacing w:before="0" w:after="0" w:line="360"/>
        <w:ind w:right="0" w:left="0" w:firstLine="0"/>
        <w:jc w:val="both"/>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Volgger, M., Erschbamer, G. and Pechlaner, H. (2021) "Destination design: New perspectives for tourism destination development," </w:t>
      </w:r>
      <w:r>
        <w:rPr>
          <w:rFonts w:ascii="Arial" w:hAnsi="Arial" w:cs="Arial" w:eastAsia="Arial"/>
          <w:i/>
          <w:color w:val="auto"/>
          <w:spacing w:val="0"/>
          <w:position w:val="0"/>
          <w:sz w:val="24"/>
          <w:shd w:fill="auto" w:val="clear"/>
        </w:rPr>
        <w:t xml:space="preserve">Journal of Destination Marketing &amp; Management</w:t>
      </w:r>
      <w:r>
        <w:rPr>
          <w:rFonts w:ascii="Arial" w:hAnsi="Arial" w:cs="Arial" w:eastAsia="Arial"/>
          <w:color w:val="auto"/>
          <w:spacing w:val="0"/>
          <w:position w:val="0"/>
          <w:sz w:val="24"/>
          <w:shd w:fill="auto" w:val="clear"/>
        </w:rPr>
        <w:t xml:space="preserve">, 19, p. 100561. Available at: </w:t>
      </w:r>
      <w:hyperlink xmlns:r="http://schemas.openxmlformats.org/officeDocument/2006/relationships" r:id="docRId16">
        <w:r>
          <w:rPr>
            <w:rFonts w:ascii="Arial" w:hAnsi="Arial" w:cs="Arial" w:eastAsia="Arial"/>
            <w:color w:val="0000FF"/>
            <w:spacing w:val="0"/>
            <w:position w:val="0"/>
            <w:sz w:val="24"/>
            <w:u w:val="single"/>
            <w:shd w:fill="auto" w:val="clear"/>
          </w:rPr>
          <w:t xml:space="preserve">https://doi.org/10.1016/j.jdmm.2021.100561</w:t>
        </w:r>
      </w:hyperlink>
      <w:r>
        <w:rPr>
          <w:rFonts w:ascii="Arial" w:hAnsi="Arial" w:cs="Arial" w:eastAsia="Arial"/>
          <w:color w:val="auto"/>
          <w:spacing w:val="0"/>
          <w:position w:val="0"/>
          <w:sz w:val="24"/>
          <w:shd w:fill="auto" w:val="clear"/>
        </w:rPr>
        <w:t xml:space="preserve">. </w:t>
      </w:r>
    </w:p>
  </w:body>
</w:document>
</file>

<file path=word/numbering.xml><?xml version="1.0" encoding="utf-8"?>
<w:numbering xmlns:w="http://schemas.openxmlformats.org/wordprocessingml/2006/main">
  <w:abstractNum w:abstractNumId="0">
    <w:lvl w:ilvl="0">
      <w:start w:val="1"/>
      <w:numFmt w:val="bullet"/>
      <w:lvlText w:val="•"/>
    </w:lvl>
  </w:abstractNum>
  <w:num w:numId="5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17" Type="http://schemas.openxmlformats.org/officeDocument/2006/relationships/numbering" /><Relationship TargetMode="External" Target="https://doi.org/10.4324/9781003143055-9" Id="docRId7" Type="http://schemas.openxmlformats.org/officeDocument/2006/relationships/hyperlink" /><Relationship TargetMode="External" Target="https://doi.org/10.1108/s2043-052320220000017001" Id="docRId10" Type="http://schemas.openxmlformats.org/officeDocument/2006/relationships/hyperlink" /><Relationship TargetMode="External" Target="https://doi.org/10.54055/ejtr.v31i.2143" Id="docRId14" Type="http://schemas.openxmlformats.org/officeDocument/2006/relationships/hyperlink" /><Relationship Target="styles.xml" Id="docRId18" Type="http://schemas.openxmlformats.org/officeDocument/2006/relationships/styles" /><Relationship Target="embeddings/oleObject1.bin" Id="docRId2" Type="http://schemas.openxmlformats.org/officeDocument/2006/relationships/oleObject" /><Relationship TargetMode="External" Target="https://doi.org/10.24922/eot.v7i2.60515" Id="docRId6" Type="http://schemas.openxmlformats.org/officeDocument/2006/relationships/hyperlink" /><Relationship Target="media/image0.wmf" Id="docRId1" Type="http://schemas.openxmlformats.org/officeDocument/2006/relationships/image" /><Relationship TargetMode="External" Target="https://www.edenproject.com/visit/planning-your-visit/sustainability-at-eden" Id="docRId11" Type="http://schemas.openxmlformats.org/officeDocument/2006/relationships/hyperlink" /><Relationship TargetMode="External" Target="https://www.theguardian.com/travel/2019/jun/07/plastic-free-coast-10-uk-seaside-towns-sustainable" Id="docRId15" Type="http://schemas.openxmlformats.org/officeDocument/2006/relationships/hyperlink" /><Relationship Target="media/image2.wmf" Id="docRId5" Type="http://schemas.openxmlformats.org/officeDocument/2006/relationships/image" /><Relationship TargetMode="External" Target="https://doi.org/10.4324/9780203788394-3" Id="docRId9" Type="http://schemas.openxmlformats.org/officeDocument/2006/relationships/hyperlink" /><Relationship Target="embeddings/oleObject0.bin" Id="docRId0" Type="http://schemas.openxmlformats.org/officeDocument/2006/relationships/oleObject" /><Relationship TargetMode="External" Target="https://doi.org/10.1007/978-3-319-01669-6_564-1" Id="docRId12" Type="http://schemas.openxmlformats.org/officeDocument/2006/relationships/hyperlink" /><Relationship TargetMode="External" Target="https://doi.org/10.1016/j.jdmm.2021.100561" Id="docRId16" Type="http://schemas.openxmlformats.org/officeDocument/2006/relationships/hyperlink" /><Relationship Target="embeddings/oleObject2.bin" Id="docRId4" Type="http://schemas.openxmlformats.org/officeDocument/2006/relationships/oleObject" /><Relationship TargetMode="External" Target="https://www.coolgeography.co.uk/GCSE/AQA/Tourism/UK/Blackpool_Tourism.htm" Id="docRId8" Type="http://schemas.openxmlformats.org/officeDocument/2006/relationships/hyperlink" /><Relationship TargetMode="External" Target="https://www.planetmark.com/member/eden-project/" Id="docRId13" Type="http://schemas.openxmlformats.org/officeDocument/2006/relationships/hyperlink" /><Relationship Target="media/image1.wmf" Id="docRId3" Type="http://schemas.openxmlformats.org/officeDocument/2006/relationships/image" /></Relationships>
</file>