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40" w:lineRule="auto"/>
        <w:ind w:left="0" w:right="0" w:firstLine="0"/>
        <w:jc w:val="left"/>
        <w:rPr>
          <w:rFonts w:ascii="Times New Roman" w:cs="Times New Roman" w:eastAsia="Times New Roman" w:hAnsi="Times New Roman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spacing w:line="480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line="480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spacing w:line="480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spacing w:line="480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line="480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spacing w:line="480" w:lineRule="auto"/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STUDENT NAME:Aminaa Diallo</w:t>
        <w:br w:type="textWrapping"/>
        <w:t xml:space="preserve">STUDENT NUMBER:2320589</w:t>
        <w:br w:type="textWrapping"/>
        <w:t xml:space="preserve">MODULE CODE:BMHP6027</w:t>
        <w:br w:type="textWrapping"/>
        <w:t xml:space="preserve">MODULE NAME: Empowering the older person</w:t>
      </w:r>
    </w:p>
    <w:p w:rsidR="00000000" w:rsidDel="00000000" w:rsidP="00000000" w:rsidRDefault="00000000" w:rsidRPr="00000000" w14:paraId="00000008">
      <w:pPr>
        <w:spacing w:line="480" w:lineRule="auto"/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LECTURER NAME: Kennedy Obohwemu</w:t>
      </w:r>
    </w:p>
    <w:p w:rsidR="00000000" w:rsidDel="00000000" w:rsidP="00000000" w:rsidRDefault="00000000" w:rsidRPr="00000000" w14:paraId="00000009">
      <w:pPr>
        <w:spacing w:line="480" w:lineRule="auto"/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ASSIGNMENT TITLE: Component 2 debate/Discussion</w:t>
      </w:r>
    </w:p>
    <w:p w:rsidR="00000000" w:rsidDel="00000000" w:rsidP="00000000" w:rsidRDefault="00000000" w:rsidRPr="00000000" w14:paraId="0000000A">
      <w:pPr>
        <w:spacing w:line="480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spacing w:line="480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spacing w:line="480" w:lineRule="auto"/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pStyle w:val="Heading1"/>
        <w:rPr>
          <w:rFonts w:ascii="Aptos" w:cs="Aptos" w:eastAsia="Aptos" w:hAnsi="Aptos"/>
        </w:rPr>
      </w:pPr>
      <w:r w:rsidDel="00000000" w:rsidR="00000000" w:rsidRPr="00000000">
        <w:rPr>
          <w:rFonts w:ascii="Aptos" w:cs="Aptos" w:eastAsia="Aptos" w:hAnsi="Aptos"/>
          <w:rtl w:val="0"/>
        </w:rPr>
        <w:t xml:space="preserve">Reference list</w:t>
      </w:r>
    </w:p>
    <w:p w:rsidR="00000000" w:rsidDel="00000000" w:rsidP="00000000" w:rsidRDefault="00000000" w:rsidRPr="00000000" w14:paraId="0000001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Age UK (2019) Care homes – Age UK policy position. London: Age UK.</w:t>
      </w:r>
    </w:p>
    <w:p w:rsidR="00000000" w:rsidDel="00000000" w:rsidP="00000000" w:rsidRDefault="00000000" w:rsidRPr="00000000" w14:paraId="00000017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Brown, J. et al. (2012) ‘Living well in care homes: a systematic review of qualitative studies’, Age and Ageing, 41(4), pp. 429–440</w:t>
      </w:r>
    </w:p>
    <w:p w:rsidR="00000000" w:rsidDel="00000000" w:rsidP="00000000" w:rsidRDefault="00000000" w:rsidRPr="00000000" w14:paraId="0000001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Care Quality Commission (2024) Regulations for service providers and managers. Newcastle upon Tyne: CQC.</w:t>
      </w:r>
    </w:p>
    <w:p w:rsidR="00000000" w:rsidDel="00000000" w:rsidP="00000000" w:rsidRDefault="00000000" w:rsidRPr="00000000" w14:paraId="0000001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City, K. et al. (2017) ‘Promoting quality of life in care homes for older people’, Ageing &amp; Society, 37(10), pp. 1895–1915.</w:t>
      </w:r>
    </w:p>
    <w:p w:rsidR="00000000" w:rsidDel="00000000" w:rsidP="00000000" w:rsidRDefault="00000000" w:rsidRPr="00000000" w14:paraId="0000001A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Department of Health (2015) Care standards: residential care homes – minimum standards. London: Department of Health.</w:t>
      </w:r>
    </w:p>
    <w:p w:rsidR="00000000" w:rsidDel="00000000" w:rsidP="00000000" w:rsidRDefault="00000000" w:rsidRPr="00000000" w14:paraId="0000001B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Equality and Human Rights Commission (2011) Close to home: older people and human rights in home care. London: EHRC.</w:t>
      </w:r>
    </w:p>
    <w:p w:rsidR="00000000" w:rsidDel="00000000" w:rsidP="00000000" w:rsidRDefault="00000000" w:rsidRPr="00000000" w14:paraId="0000001C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Gilbert, A.S. et al. (2021) ‘Aged care residents’ perspectives on quality of care in care homes: a systematic review of qualitative evidence’, Research on Aging, 43(3), pp. 294–310.</w:t>
      </w:r>
    </w:p>
    <w:p w:rsidR="00000000" w:rsidDel="00000000" w:rsidP="00000000" w:rsidRDefault="00000000" w:rsidRPr="00000000" w14:paraId="0000001D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Human Rights Act 1998. London: The Stationery Office.</w:t>
      </w:r>
    </w:p>
    <w:p w:rsidR="00000000" w:rsidDel="00000000" w:rsidP="00000000" w:rsidRDefault="00000000" w:rsidRPr="00000000" w14:paraId="0000001E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Kane, R.A. et al. (2005) ‘Towards quality care: outcomes for older people in care homes’, Age and Ageing, 34(6), pp. 658–661.</w:t>
      </w:r>
    </w:p>
    <w:p w:rsidR="00000000" w:rsidDel="00000000" w:rsidP="00000000" w:rsidRDefault="00000000" w:rsidRPr="00000000" w14:paraId="0000001F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Mental Capacity Act 2005. London: The Stationery Office.</w:t>
      </w:r>
    </w:p>
    <w:p w:rsidR="00000000" w:rsidDel="00000000" w:rsidP="00000000" w:rsidRDefault="00000000" w:rsidRPr="00000000" w14:paraId="00000020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My Home Life (2012) Quality of life in care homes: a review of the literature. London: My Home Life Programme.</w:t>
      </w:r>
    </w:p>
    <w:p w:rsidR="00000000" w:rsidDel="00000000" w:rsidP="00000000" w:rsidRDefault="00000000" w:rsidRPr="00000000" w14:paraId="00000021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NHS England (2023) Providing proactive care for people living in care homes: enhanced health in care homes framework. London: NHS England.</w:t>
      </w:r>
    </w:p>
    <w:p w:rsidR="00000000" w:rsidDel="00000000" w:rsidP="00000000" w:rsidRDefault="00000000" w:rsidRPr="00000000" w14:paraId="0000002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NICE (2015) Older people: independence and mental wellbeing. London: National Institute for Health and Care Excellence.</w:t>
      </w:r>
    </w:p>
    <w:p w:rsidR="00000000" w:rsidDel="00000000" w:rsidP="00000000" w:rsidRDefault="00000000" w:rsidRPr="00000000" w14:paraId="00000023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Nolan, M.R. et al. (2014) ‘Autonomy, choice and independence in care homes’, Journal of Advanced Nursing, 70(12), pp. 2787–2797.</w:t>
      </w:r>
    </w:p>
    <w:p w:rsidR="00000000" w:rsidDel="00000000" w:rsidP="00000000" w:rsidRDefault="00000000" w:rsidRPr="00000000" w14:paraId="00000024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Office for National Statistics (2024) Living longer: caring in an ageing society. Newport: ONS.</w:t>
      </w:r>
    </w:p>
    <w:p w:rsidR="00000000" w:rsidDel="00000000" w:rsidP="00000000" w:rsidRDefault="00000000" w:rsidRPr="00000000" w14:paraId="0000002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Open University (2011) Care homes for older people: national minimum standards. London: Department of Health.</w:t>
      </w:r>
    </w:p>
    <w:p w:rsidR="00000000" w:rsidDel="00000000" w:rsidP="00000000" w:rsidRDefault="00000000" w:rsidRPr="00000000" w14:paraId="0000002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PIRU (2016) Personalisation in care homes for older people: final report. London: Policy Innovation Research Unit.</w:t>
      </w:r>
    </w:p>
    <w:p w:rsidR="00000000" w:rsidDel="00000000" w:rsidP="00000000" w:rsidRDefault="00000000" w:rsidRPr="00000000" w14:paraId="00000027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Sion, K.Y.J. et al. (2020) ‘Themes related to experienced quality of care in nursing homes from the resident’s perspective: a systematic review and thematic synthesis’,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Journal of Applied Gerontology, 39(5), pp. 503–516.</w:t>
      </w:r>
    </w:p>
    <w:p w:rsidR="00000000" w:rsidDel="00000000" w:rsidP="00000000" w:rsidRDefault="00000000" w:rsidRPr="00000000" w14:paraId="0000002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Talbot, C.V. and Vickery, A. (2021) ‘Stories from the fourth age: autonomy and the lives of older care home residents’, Ageing &amp; Society, 41(8), pp. 1814–1834.</w:t>
      </w:r>
    </w:p>
    <w:p w:rsidR="00000000" w:rsidDel="00000000" w:rsidP="00000000" w:rsidRDefault="00000000" w:rsidRPr="00000000" w14:paraId="0000002A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Care Act 2014. London: The Stationery Office.</w:t>
      </w:r>
    </w:p>
    <w:p w:rsidR="00000000" w:rsidDel="00000000" w:rsidP="00000000" w:rsidRDefault="00000000" w:rsidRPr="00000000" w14:paraId="0000002B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Care Homes Regulations 2001. London: The Stationery Office.</w:t>
      </w:r>
    </w:p>
    <w:p w:rsidR="00000000" w:rsidDel="00000000" w:rsidP="00000000" w:rsidRDefault="00000000" w:rsidRPr="00000000" w14:paraId="0000002C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Towers, A.-M. et al. (2021) Care home residents’ quality of life and its association with CQC ratings and workforce issues: the MiCareHQ mixed</w:t>
      </w:r>
      <w:r w:rsidDel="00000000" w:rsidR="00000000" w:rsidRPr="00000000">
        <w:rPr>
          <w:rFonts w:ascii="Cambria Math" w:cs="Cambria Math" w:eastAsia="Cambria Math" w:hAnsi="Cambria Math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‑</w:t>
      </w: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methods study. Health Services and Delivery Research, 9(19). Southampton: NIHR Journals Library.</w:t>
      </w:r>
    </w:p>
    <w:p w:rsidR="00000000" w:rsidDel="00000000" w:rsidP="00000000" w:rsidRDefault="00000000" w:rsidRPr="00000000" w14:paraId="0000002D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78.00000000000006" w:lineRule="auto"/>
        <w:ind w:left="0" w:right="0" w:firstLine="0"/>
        <w:jc w:val="left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Woolham, J. and Manthorpe, J. (2019) ‘Human rights and care homes for older people: a typology of approaches from academic literature’, European Journal of Social Work, 22(6), pp. 1020–1032.</w:t>
      </w:r>
    </w:p>
    <w:p w:rsidR="00000000" w:rsidDel="00000000" w:rsidP="00000000" w:rsidRDefault="00000000" w:rsidRPr="00000000" w14:paraId="0000002E">
      <w:pPr>
        <w:rPr/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Times New Roman"/>
  <w:font w:name="Aptos"/>
  <w:font w:name="Play">
    <w:embedRegular w:fontKey="{00000000-0000-0000-0000-000000000000}" r:id="rId1" w:subsetted="0"/>
    <w:embedBold w:fontKey="{00000000-0000-0000-0000-000000000000}" r:id="rId2" w:subsetted="0"/>
  </w:font>
  <w:font w:name="Cambria Math">
    <w:embedRegular w:fontKey="{00000000-0000-0000-0000-000000000000}" r:id="rId3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Relationship Id="rId3" Type="http://schemas.openxmlformats.org/officeDocument/2006/relationships/font" Target="fonts/CambriaMath-regular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iTixkJ43HHX/CUt1slnr+IRO+aw==">CgMxLjA4AHIhMXczTnA4Y0RIaEVQM0VGaEV4RW1SaXhjaW1ZaGZKYmdG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