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031BD011">
            <wp:extent cx="4407535" cy="774065"/>
            <wp:effectExtent l="0" t="0" r="0" b="6985"/>
            <wp:docPr id="14354182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4407535" cy="774065"/>
                    </a:xfrm>
                    <a:prstGeom prst="rect">
                      <a:avLst/>
                    </a:prstGeom>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6A2C6B94" w:rsidR="00B22959" w:rsidRPr="007D1220" w:rsidRDefault="037C1160" w:rsidP="00B22959">
      <w:pPr>
        <w:pStyle w:val="BodyTextL50"/>
      </w:pPr>
      <w:r>
        <w:t>Fail attempt max value (so max number of attempts).</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0FC53643" w:rsidR="00B22959" w:rsidRPr="007D1220" w:rsidRDefault="037C1160" w:rsidP="00B22959">
      <w:pPr>
        <w:pStyle w:val="BodyTextL50"/>
      </w:pPr>
      <w:r>
        <w:t>This is the time period in seconds, login is blocked for.</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6A3B1E5" w14:textId="309B7C39" w:rsidR="008B4B00" w:rsidRPr="007D1220" w:rsidRDefault="037C1160" w:rsidP="008B4B00">
      <w:pPr>
        <w:pStyle w:val="BodyTextL50"/>
      </w:pPr>
      <w:r>
        <w:t xml:space="preserve">Yes, I enabled the ‘transport input all’ command as per the previous section then implemented this onto the line </w:t>
      </w:r>
      <w:proofErr w:type="spellStart"/>
      <w:r>
        <w:t>vty</w:t>
      </w:r>
      <w:proofErr w:type="spellEnd"/>
      <w:r>
        <w:t xml:space="preserve"> 0 4.  </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2D97590F" w:rsidR="008B4B00" w:rsidRPr="008122B7" w:rsidRDefault="008B4B00" w:rsidP="008B4B00">
      <w:pPr>
        <w:pStyle w:val="BodyTextL50"/>
      </w:pPr>
      <w:r w:rsidRPr="003171ED">
        <w:rPr>
          <w:color w:val="FF0000"/>
        </w:rPr>
        <w:t xml:space="preserve">Does R1 accept the SSH connection? </w:t>
      </w:r>
      <w:proofErr w:type="gramStart"/>
      <w:r w:rsidR="008122B7" w:rsidRPr="008122B7">
        <w:t>Yes</w:t>
      </w:r>
      <w:proofErr w:type="gramEnd"/>
      <w:r w:rsidR="008122B7" w:rsidRPr="008122B7">
        <w:t xml:space="preserve"> although I had to change the password to ‘</w:t>
      </w:r>
      <w:proofErr w:type="spellStart"/>
      <w:r w:rsidR="008122B7" w:rsidRPr="008122B7">
        <w:t>adminpasss</w:t>
      </w:r>
      <w:proofErr w:type="spellEnd"/>
      <w:r w:rsidR="008122B7" w:rsidRPr="008122B7">
        <w:t>’ to meet the minimum criteria specified in the earlier</w:t>
      </w:r>
      <w:r w:rsidR="00B84B40">
        <w:t xml:space="preserve"> on</w:t>
      </w:r>
      <w:r w:rsidR="008122B7" w:rsidRPr="008122B7">
        <w:t xml:space="preserve"> question.</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39FBD301" w:rsidR="008B4B00" w:rsidRPr="00B84B40" w:rsidRDefault="008122B7" w:rsidP="008B4B00">
      <w:pPr>
        <w:pStyle w:val="BodyTextL50"/>
      </w:pPr>
      <w:r w:rsidRPr="00B84B40">
        <w:t xml:space="preserve">I was locked out for </w:t>
      </w:r>
      <w:r w:rsidR="00B84B40" w:rsidRPr="00B84B40">
        <w:t>30 seconds.</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2B76A67" w14:textId="714919E7" w:rsidR="00B33D0F" w:rsidRPr="00B33D0F" w:rsidRDefault="008B4B00" w:rsidP="00B33D0F">
      <w:pPr>
        <w:pStyle w:val="BodyTextL50"/>
      </w:pPr>
      <w:r w:rsidRPr="003171ED">
        <w:rPr>
          <w:color w:val="FF0000"/>
        </w:rPr>
        <w:t xml:space="preserve">After you successfully logged in, what was displayed? </w:t>
      </w:r>
      <w:r w:rsidR="00B33D0F" w:rsidRPr="00B33D0F">
        <w:t>The message of the day banner</w:t>
      </w:r>
      <w:r w:rsidR="00B33D0F">
        <w:t xml:space="preserve">. We did not configure </w:t>
      </w:r>
      <w:proofErr w:type="spellStart"/>
      <w:r w:rsidR="00B33D0F">
        <w:t>SSHadmin</w:t>
      </w:r>
      <w:proofErr w:type="spellEnd"/>
      <w:r w:rsidR="00B33D0F">
        <w:t>, only ‘admin’ and this was set to privilege level 15 so automatically goes to privilege exec mode.</w:t>
      </w:r>
      <w:r w:rsidR="00091ECF">
        <w:t xml:space="preserve"> I have now set this up separately on my router.</w:t>
      </w:r>
    </w:p>
    <w:p w14:paraId="471E84FA" w14:textId="530D5D0C" w:rsidR="008B4B00" w:rsidRPr="003171ED" w:rsidRDefault="008B4B00" w:rsidP="00B33D0F">
      <w:pPr>
        <w:pStyle w:val="BodyTextL50"/>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478949D1" w:rsidR="008B4B00" w:rsidRPr="00091ECF" w:rsidRDefault="037C1160" w:rsidP="008B4B00">
      <w:pPr>
        <w:pStyle w:val="BodyTextL50"/>
      </w:pPr>
      <w:r w:rsidRPr="037C1160">
        <w:rPr>
          <w:color w:val="FF0000"/>
        </w:rPr>
        <w:t xml:space="preserve">If you mistype this password, are you disconnected from your SSH session after two failed attempts within 120 seconds? Explain. </w:t>
      </w:r>
      <w:r>
        <w:t xml:space="preserve">No, the login is literally to logon to the router itself. You would need to set a separate security logon procedure/ apply it to the interface for the enable password. </w:t>
      </w:r>
    </w:p>
    <w:p w14:paraId="22515E68" w14:textId="77777777" w:rsidR="008B4B00" w:rsidRPr="003171ED" w:rsidRDefault="008B4B00" w:rsidP="008B4B00">
      <w:pPr>
        <w:pStyle w:val="SubStepAlpha"/>
        <w:rPr>
          <w:color w:val="FF0000"/>
        </w:rPr>
      </w:pPr>
      <w:r w:rsidRPr="003171ED">
        <w:rPr>
          <w:color w:val="FF0000"/>
        </w:rPr>
        <w:lastRenderedPageBreak/>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13682FDF" w:rsidR="008A180F" w:rsidRPr="00091ECF" w:rsidRDefault="00091ECF" w:rsidP="008A180F">
      <w:pPr>
        <w:pStyle w:val="BodyTextL25"/>
      </w:pPr>
      <w:r w:rsidRPr="00091ECF">
        <w:lastRenderedPageBreak/>
        <w:t>Yes</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lastRenderedPageBreak/>
        <w:t>What versions of SSH are supported from the CLI?</w:t>
      </w:r>
    </w:p>
    <w:p w14:paraId="20E4AE52" w14:textId="533E3C02" w:rsidR="00FD14D5" w:rsidRPr="003F212B" w:rsidRDefault="037C1160" w:rsidP="00FD14D5">
      <w:pPr>
        <w:pStyle w:val="BodyTextL25"/>
      </w:pPr>
      <w:r>
        <w:t>1.99 (2) and version 1 (insecure) version is also supported.</w:t>
      </w: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1E47E60C" w:rsidR="001772B8" w:rsidRPr="003F212B" w:rsidRDefault="037C1160" w:rsidP="001772B8">
      <w:pPr>
        <w:pStyle w:val="BodyTextL25"/>
      </w:pPr>
      <w:r>
        <w:t>Either with a RADIUS/ TACAS server or individually create logons per device (although very administratively heavy).</w:t>
      </w:r>
    </w:p>
    <w:p w14:paraId="3E3B9669" w14:textId="1561CED2" w:rsidR="00B30437" w:rsidRDefault="037C1160" w:rsidP="00B30437">
      <w:pPr>
        <w:pStyle w:val="LabSection"/>
        <w:rPr>
          <w:color w:val="FF0000"/>
        </w:rPr>
      </w:pPr>
      <w:r w:rsidRPr="037C1160">
        <w:rPr>
          <w:color w:val="FF0000"/>
        </w:rPr>
        <w:t xml:space="preserve">Reflection (max 800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6A77BF83" w:rsidR="00B30437" w:rsidRDefault="00B30437" w:rsidP="00B30437">
      <w:pPr>
        <w:pStyle w:val="BodyText1"/>
      </w:pPr>
    </w:p>
    <w:p w14:paraId="0EFAFDC1" w14:textId="15328F49" w:rsidR="00052DE3" w:rsidRPr="00052DE3" w:rsidRDefault="00052DE3" w:rsidP="00B30437">
      <w:pPr>
        <w:pStyle w:val="BodyText1"/>
        <w:rPr>
          <w:b/>
          <w:bCs/>
        </w:rPr>
      </w:pPr>
      <w:r w:rsidRPr="00052DE3">
        <w:rPr>
          <w:b/>
          <w:bCs/>
        </w:rPr>
        <w:t>Introduction</w:t>
      </w:r>
    </w:p>
    <w:p w14:paraId="4FAFAA7A" w14:textId="509B6580" w:rsidR="00052DE3" w:rsidRDefault="037C1160" w:rsidP="00B30437">
      <w:pPr>
        <w:pStyle w:val="BodyText1"/>
      </w:pPr>
      <w:r>
        <w:t xml:space="preserve">The purpose of this report is to compare and </w:t>
      </w:r>
      <w:r w:rsidR="00F759A3">
        <w:t>contrast</w:t>
      </w:r>
      <w:r>
        <w:t xml:space="preserve"> </w:t>
      </w:r>
      <w:r w:rsidR="00F759A3">
        <w:t>e</w:t>
      </w:r>
      <w:r>
        <w:t xml:space="preserve">ncryption standards such as AES, SHA, DES and RSA. </w:t>
      </w:r>
    </w:p>
    <w:p w14:paraId="6A9828F4" w14:textId="77777777" w:rsidR="009E3C33" w:rsidRDefault="009E3C33" w:rsidP="00B30437">
      <w:pPr>
        <w:pStyle w:val="BodyText1"/>
      </w:pPr>
    </w:p>
    <w:p w14:paraId="2EA9838C" w14:textId="6F4EFAD9" w:rsidR="00052DE3" w:rsidRPr="00052DE3" w:rsidRDefault="00052DE3" w:rsidP="00B30437">
      <w:pPr>
        <w:pStyle w:val="BodyText1"/>
        <w:rPr>
          <w:b/>
          <w:bCs/>
        </w:rPr>
      </w:pPr>
      <w:r w:rsidRPr="00052DE3">
        <w:rPr>
          <w:b/>
          <w:bCs/>
        </w:rPr>
        <w:t>Main body</w:t>
      </w:r>
    </w:p>
    <w:p w14:paraId="43FA432E" w14:textId="7719644A" w:rsidR="00052DE3" w:rsidRPr="0064244A" w:rsidRDefault="037C1160" w:rsidP="00B30437">
      <w:pPr>
        <w:pStyle w:val="BodyText1"/>
      </w:pPr>
      <w:r>
        <w:t xml:space="preserve">Encryption can be simply </w:t>
      </w:r>
      <w:r w:rsidRPr="0064244A">
        <w:t>put as ‘..The method by which information is converted into secret code that hides the information’s true meaning.’</w:t>
      </w:r>
      <w:sdt>
        <w:sdtPr>
          <w:id w:val="-1582819950"/>
          <w:citation/>
        </w:sdtPr>
        <w:sdtEndPr/>
        <w:sdtContent>
          <w:r w:rsidR="0064244A" w:rsidRPr="0064244A">
            <w:fldChar w:fldCharType="begin"/>
          </w:r>
          <w:r w:rsidR="0064244A" w:rsidRPr="0064244A">
            <w:rPr>
              <w:lang w:val="en-GB"/>
            </w:rPr>
            <w:instrText xml:space="preserve"> CITATION Mar19 \l 2057 </w:instrText>
          </w:r>
          <w:r w:rsidR="0064244A" w:rsidRPr="0064244A">
            <w:fldChar w:fldCharType="separate"/>
          </w:r>
          <w:r w:rsidR="0030227A">
            <w:rPr>
              <w:noProof/>
              <w:lang w:val="en-GB"/>
            </w:rPr>
            <w:t xml:space="preserve"> </w:t>
          </w:r>
          <w:r w:rsidR="0030227A" w:rsidRPr="0030227A">
            <w:rPr>
              <w:noProof/>
              <w:lang w:val="en-GB"/>
            </w:rPr>
            <w:t>[1]</w:t>
          </w:r>
          <w:r w:rsidR="0064244A" w:rsidRPr="0064244A">
            <w:fldChar w:fldCharType="end"/>
          </w:r>
        </w:sdtContent>
      </w:sdt>
      <w:r w:rsidRPr="0064244A">
        <w:t xml:space="preserve"> </w:t>
      </w:r>
      <w:r w:rsidR="00F759A3" w:rsidRPr="0064244A">
        <w:t>or, put another way</w:t>
      </w:r>
      <w:r w:rsidR="0064244A" w:rsidRPr="0064244A">
        <w:t xml:space="preserve">; ‘The primary security require for encryption is data privacy...’ </w:t>
      </w:r>
      <w:sdt>
        <w:sdtPr>
          <w:id w:val="1032074354"/>
          <w:citation/>
        </w:sdtPr>
        <w:sdtEndPr/>
        <w:sdtContent>
          <w:r w:rsidR="0064244A" w:rsidRPr="0064244A">
            <w:fldChar w:fldCharType="begin"/>
          </w:r>
          <w:r w:rsidR="0064244A" w:rsidRPr="0064244A">
            <w:rPr>
              <w:lang w:val="en-GB"/>
            </w:rPr>
            <w:instrText xml:space="preserve"> CITATION Mic17 \l 2057 </w:instrText>
          </w:r>
          <w:r w:rsidR="0064244A" w:rsidRPr="0064244A">
            <w:fldChar w:fldCharType="separate"/>
          </w:r>
          <w:r w:rsidR="0030227A" w:rsidRPr="0030227A">
            <w:rPr>
              <w:noProof/>
              <w:lang w:val="en-GB"/>
            </w:rPr>
            <w:t>[2]</w:t>
          </w:r>
          <w:r w:rsidR="0064244A" w:rsidRPr="0064244A">
            <w:fldChar w:fldCharType="end"/>
          </w:r>
        </w:sdtContent>
      </w:sdt>
      <w:r w:rsidR="0064244A" w:rsidRPr="0064244A">
        <w:t>. A simpler way the author finds of putting it is;</w:t>
      </w:r>
      <w:r w:rsidRPr="0064244A">
        <w:t xml:space="preserve"> alternative method of this is just to send data in plaintext where anyone can read it. This would mean that passwords and bank account details can be read by anyone who comes across the message. Confidentiality is what the end goal of encryption.</w:t>
      </w:r>
    </w:p>
    <w:p w14:paraId="55B4E2AE" w14:textId="1768FDD6" w:rsidR="009E3C33" w:rsidRDefault="009E3C33" w:rsidP="00B30437">
      <w:pPr>
        <w:pStyle w:val="BodyText1"/>
      </w:pPr>
    </w:p>
    <w:p w14:paraId="0B6EB9D1" w14:textId="4EB74EDC" w:rsidR="00CA72B2" w:rsidRDefault="037C1160" w:rsidP="00B30437">
      <w:pPr>
        <w:pStyle w:val="BodyText1"/>
      </w:pPr>
      <w:r>
        <w:t xml:space="preserve">Encryption uses a cipher as part of the algorithm. A variable (also called a key) makes the output unique. When encrypted data is intercepted by an unauthorised person the data is meaningless to them unless they can </w:t>
      </w:r>
      <w:r w:rsidR="00E1102D">
        <w:t>work out</w:t>
      </w:r>
      <w:r>
        <w:t xml:space="preserve"> the cipher that was used to encrypt the message. Time and effort exhausted by the unauthorised person to decipher the data is depending on what strength of encryption has been used.</w:t>
      </w:r>
    </w:p>
    <w:p w14:paraId="332D63D1" w14:textId="6F5B0B62" w:rsidR="00973561" w:rsidRDefault="00973561" w:rsidP="00B30437">
      <w:pPr>
        <w:pStyle w:val="BodyText1"/>
      </w:pPr>
    </w:p>
    <w:p w14:paraId="36EFB610" w14:textId="4CBD77F6" w:rsidR="00973561" w:rsidRDefault="037C1160" w:rsidP="00B30437">
      <w:pPr>
        <w:pStyle w:val="BodyText1"/>
      </w:pPr>
      <w:r>
        <w:t xml:space="preserve">There are two types of cipher, asymmetric and symmetric. Asymmetric is also referred to as public key encryption. An example of messages being exchanged would be Person A creating a message and then encrypting it using his/ her own key. This message is then sent to person B who uses their own key to decrypt it. There is one and only private key holder, there might be many public keys. Public and private key holders are not equal &amp; consequently the security is asymmetrically shared amongst private and public key holders. </w:t>
      </w:r>
    </w:p>
    <w:p w14:paraId="4DA0FE21" w14:textId="77777777" w:rsidR="00E1102D" w:rsidRDefault="00E1102D" w:rsidP="00B30437">
      <w:pPr>
        <w:pStyle w:val="BodyText1"/>
      </w:pPr>
    </w:p>
    <w:p w14:paraId="12D0B33A" w14:textId="192DCFBD" w:rsidR="00973561" w:rsidRDefault="037C1160" w:rsidP="00B30437">
      <w:pPr>
        <w:pStyle w:val="BodyText1"/>
      </w:pPr>
      <w:r>
        <w:t>Symmetric encryption is whereby the same key is used to encrypt and to decrypt messages. This must be shared with multiple people who are required to have access. Generally, this is quicker than asymmetric encryption due to its simplicity. There is an equal share of security amongst key holders and therefore are all equal partners.</w:t>
      </w:r>
    </w:p>
    <w:p w14:paraId="627F4772" w14:textId="676E34C7" w:rsidR="037C1160" w:rsidRDefault="037C1160" w:rsidP="037C1160">
      <w:pPr>
        <w:pStyle w:val="BodyText1"/>
      </w:pPr>
    </w:p>
    <w:tbl>
      <w:tblPr>
        <w:tblStyle w:val="TableGrid"/>
        <w:tblW w:w="0" w:type="auto"/>
        <w:tblLayout w:type="fixed"/>
        <w:tblLook w:val="06A0" w:firstRow="1" w:lastRow="0" w:firstColumn="1" w:lastColumn="0" w:noHBand="1" w:noVBand="1"/>
      </w:tblPr>
      <w:tblGrid>
        <w:gridCol w:w="2520"/>
        <w:gridCol w:w="2520"/>
        <w:gridCol w:w="2520"/>
        <w:gridCol w:w="2520"/>
      </w:tblGrid>
      <w:tr w:rsidR="037C1160" w14:paraId="007CC76A" w14:textId="77777777" w:rsidTr="037C1160">
        <w:tc>
          <w:tcPr>
            <w:tcW w:w="2520" w:type="dxa"/>
          </w:tcPr>
          <w:p w14:paraId="64D1A597" w14:textId="3E3E2BAC"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Assurance</w:t>
            </w:r>
          </w:p>
        </w:tc>
        <w:tc>
          <w:tcPr>
            <w:tcW w:w="2520" w:type="dxa"/>
          </w:tcPr>
          <w:p w14:paraId="651855B9" w14:textId="08C727FA"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Prevents</w:t>
            </w:r>
          </w:p>
        </w:tc>
        <w:tc>
          <w:tcPr>
            <w:tcW w:w="2520" w:type="dxa"/>
          </w:tcPr>
          <w:p w14:paraId="15956382" w14:textId="327FD2FB"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Secret Key</w:t>
            </w:r>
          </w:p>
        </w:tc>
        <w:tc>
          <w:tcPr>
            <w:tcW w:w="2520" w:type="dxa"/>
          </w:tcPr>
          <w:p w14:paraId="5A7556D2" w14:textId="745E35CD"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Public Key</w:t>
            </w:r>
          </w:p>
        </w:tc>
      </w:tr>
      <w:tr w:rsidR="037C1160" w14:paraId="682390A8" w14:textId="77777777" w:rsidTr="037C1160">
        <w:tc>
          <w:tcPr>
            <w:tcW w:w="2520" w:type="dxa"/>
          </w:tcPr>
          <w:p w14:paraId="3C2FF0F4" w14:textId="4ECA5C59"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Confidentiality</w:t>
            </w:r>
          </w:p>
        </w:tc>
        <w:tc>
          <w:tcPr>
            <w:tcW w:w="2520" w:type="dxa"/>
          </w:tcPr>
          <w:p w14:paraId="215429C3" w14:textId="67480EAB" w:rsidR="037C1160" w:rsidRDefault="037C1160">
            <w:r w:rsidRPr="037C1160">
              <w:rPr>
                <w:rFonts w:ascii="Calibri" w:hAnsi="Calibri" w:cs="Calibri"/>
                <w:color w:val="000000" w:themeColor="text1"/>
              </w:rPr>
              <w:t xml:space="preserve"> Snooping</w:t>
            </w:r>
          </w:p>
        </w:tc>
        <w:tc>
          <w:tcPr>
            <w:tcW w:w="2520" w:type="dxa"/>
          </w:tcPr>
          <w:p w14:paraId="6BF77FD2" w14:textId="01CDF1E4" w:rsidR="037C1160" w:rsidRDefault="037C1160">
            <w:r w:rsidRPr="037C1160">
              <w:rPr>
                <w:rFonts w:ascii="Calibri" w:hAnsi="Calibri" w:cs="Calibri"/>
                <w:color w:val="000000" w:themeColor="text1"/>
              </w:rPr>
              <w:t>X</w:t>
            </w:r>
          </w:p>
        </w:tc>
        <w:tc>
          <w:tcPr>
            <w:tcW w:w="2520" w:type="dxa"/>
          </w:tcPr>
          <w:p w14:paraId="5D0E8FF8" w14:textId="22076D07" w:rsidR="037C1160" w:rsidRDefault="037C1160">
            <w:r w:rsidRPr="037C1160">
              <w:rPr>
                <w:rFonts w:ascii="Calibri" w:hAnsi="Calibri" w:cs="Calibri"/>
                <w:color w:val="000000" w:themeColor="text1"/>
              </w:rPr>
              <w:t>X</w:t>
            </w:r>
          </w:p>
        </w:tc>
      </w:tr>
      <w:tr w:rsidR="037C1160" w14:paraId="306873B1" w14:textId="77777777" w:rsidTr="037C1160">
        <w:tc>
          <w:tcPr>
            <w:tcW w:w="2520" w:type="dxa"/>
          </w:tcPr>
          <w:p w14:paraId="610D339A" w14:textId="5F7A074D"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authentication</w:t>
            </w:r>
          </w:p>
        </w:tc>
        <w:tc>
          <w:tcPr>
            <w:tcW w:w="2520" w:type="dxa"/>
          </w:tcPr>
          <w:p w14:paraId="18DE1A28" w14:textId="10C25296" w:rsidR="037C1160" w:rsidRDefault="037C1160" w:rsidP="037C1160">
            <w:pPr>
              <w:rPr>
                <w:rFonts w:ascii="Calibri" w:hAnsi="Calibri" w:cs="Calibri"/>
                <w:color w:val="000000" w:themeColor="text1"/>
              </w:rPr>
            </w:pPr>
            <w:r w:rsidRPr="037C1160">
              <w:rPr>
                <w:rFonts w:ascii="Calibri" w:hAnsi="Calibri" w:cs="Calibri"/>
                <w:color w:val="000000" w:themeColor="text1"/>
              </w:rPr>
              <w:t xml:space="preserve"> Masquerading</w:t>
            </w:r>
          </w:p>
        </w:tc>
        <w:tc>
          <w:tcPr>
            <w:tcW w:w="2520" w:type="dxa"/>
          </w:tcPr>
          <w:p w14:paraId="45A32EBD" w14:textId="579B9145" w:rsidR="037C1160" w:rsidRDefault="037C1160">
            <w:r w:rsidRPr="037C1160">
              <w:rPr>
                <w:rFonts w:ascii="Calibri" w:hAnsi="Calibri" w:cs="Calibri"/>
                <w:color w:val="000000" w:themeColor="text1"/>
              </w:rPr>
              <w:t>X</w:t>
            </w:r>
          </w:p>
        </w:tc>
        <w:tc>
          <w:tcPr>
            <w:tcW w:w="2520" w:type="dxa"/>
          </w:tcPr>
          <w:p w14:paraId="34D60128" w14:textId="0CFBF5D2" w:rsidR="037C1160" w:rsidRDefault="037C1160">
            <w:r w:rsidRPr="037C1160">
              <w:rPr>
                <w:rFonts w:ascii="Calibri" w:hAnsi="Calibri" w:cs="Calibri"/>
                <w:color w:val="000000" w:themeColor="text1"/>
              </w:rPr>
              <w:t>X</w:t>
            </w:r>
          </w:p>
        </w:tc>
      </w:tr>
      <w:tr w:rsidR="037C1160" w14:paraId="34583ED8" w14:textId="77777777" w:rsidTr="037C1160">
        <w:tc>
          <w:tcPr>
            <w:tcW w:w="2520" w:type="dxa"/>
          </w:tcPr>
          <w:p w14:paraId="4A0BC398" w14:textId="607E61E0"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integrity</w:t>
            </w:r>
          </w:p>
        </w:tc>
        <w:tc>
          <w:tcPr>
            <w:tcW w:w="2520" w:type="dxa"/>
          </w:tcPr>
          <w:p w14:paraId="45836DEE" w14:textId="1E093F9B" w:rsidR="037C1160" w:rsidRDefault="037C1160">
            <w:r w:rsidRPr="037C1160">
              <w:rPr>
                <w:rFonts w:ascii="Calibri" w:hAnsi="Calibri" w:cs="Calibri"/>
                <w:color w:val="000000" w:themeColor="text1"/>
              </w:rPr>
              <w:t xml:space="preserve"> Message alteration without detection</w:t>
            </w:r>
          </w:p>
        </w:tc>
        <w:tc>
          <w:tcPr>
            <w:tcW w:w="2520" w:type="dxa"/>
          </w:tcPr>
          <w:p w14:paraId="551721F3" w14:textId="09064F13" w:rsidR="037C1160" w:rsidRDefault="037C1160">
            <w:r w:rsidRPr="037C1160">
              <w:rPr>
                <w:rFonts w:ascii="Calibri" w:hAnsi="Calibri" w:cs="Calibri"/>
                <w:color w:val="000000" w:themeColor="text1"/>
              </w:rPr>
              <w:t>X</w:t>
            </w:r>
          </w:p>
        </w:tc>
        <w:tc>
          <w:tcPr>
            <w:tcW w:w="2520" w:type="dxa"/>
          </w:tcPr>
          <w:p w14:paraId="0EDB003F" w14:textId="3DE5FDC1" w:rsidR="037C1160" w:rsidRDefault="037C1160">
            <w:r w:rsidRPr="037C1160">
              <w:rPr>
                <w:rFonts w:ascii="Calibri" w:hAnsi="Calibri" w:cs="Calibri"/>
                <w:color w:val="000000" w:themeColor="text1"/>
              </w:rPr>
              <w:t>X</w:t>
            </w:r>
          </w:p>
        </w:tc>
      </w:tr>
      <w:tr w:rsidR="037C1160" w14:paraId="2EAF3655" w14:textId="77777777" w:rsidTr="037C1160">
        <w:tc>
          <w:tcPr>
            <w:tcW w:w="2520" w:type="dxa"/>
          </w:tcPr>
          <w:p w14:paraId="01C37EC8" w14:textId="00285710"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Non-Repudiation</w:t>
            </w:r>
          </w:p>
        </w:tc>
        <w:tc>
          <w:tcPr>
            <w:tcW w:w="2520" w:type="dxa"/>
          </w:tcPr>
          <w:p w14:paraId="7D8BB2F1" w14:textId="012F74F6" w:rsidR="037C1160" w:rsidRDefault="037C1160">
            <w:r w:rsidRPr="037C1160">
              <w:rPr>
                <w:rFonts w:ascii="Calibri" w:hAnsi="Calibri" w:cs="Calibri"/>
                <w:color w:val="000000" w:themeColor="text1"/>
              </w:rPr>
              <w:t xml:space="preserve"> Senders false denial.</w:t>
            </w:r>
          </w:p>
        </w:tc>
        <w:tc>
          <w:tcPr>
            <w:tcW w:w="2520" w:type="dxa"/>
          </w:tcPr>
          <w:p w14:paraId="7864FB72" w14:textId="0D8241D0" w:rsidR="037C1160" w:rsidRDefault="037C1160">
            <w:r w:rsidRPr="037C1160">
              <w:rPr>
                <w:rFonts w:ascii="Calibri" w:hAnsi="Calibri" w:cs="Calibri"/>
                <w:color w:val="000000" w:themeColor="text1"/>
              </w:rPr>
              <w:t xml:space="preserve"> </w:t>
            </w:r>
          </w:p>
        </w:tc>
        <w:tc>
          <w:tcPr>
            <w:tcW w:w="2520" w:type="dxa"/>
          </w:tcPr>
          <w:p w14:paraId="5AE3904A" w14:textId="79D4EACE" w:rsidR="037C1160" w:rsidRDefault="037C1160">
            <w:r w:rsidRPr="037C1160">
              <w:rPr>
                <w:rFonts w:ascii="Calibri" w:hAnsi="Calibri" w:cs="Calibri"/>
                <w:color w:val="000000" w:themeColor="text1"/>
              </w:rPr>
              <w:t>X</w:t>
            </w:r>
          </w:p>
        </w:tc>
      </w:tr>
    </w:tbl>
    <w:p w14:paraId="0F424BB7" w14:textId="38D29C64" w:rsidR="037C1160" w:rsidRDefault="006B615F" w:rsidP="00C963A4">
      <w:pPr>
        <w:pStyle w:val="BodyText1"/>
        <w:jc w:val="right"/>
      </w:pPr>
      <w:sdt>
        <w:sdtPr>
          <w:id w:val="718634490"/>
          <w:citation/>
        </w:sdtPr>
        <w:sdtEndPr/>
        <w:sdtContent>
          <w:r w:rsidR="00C963A4">
            <w:fldChar w:fldCharType="begin"/>
          </w:r>
          <w:r w:rsidR="00C963A4">
            <w:rPr>
              <w:lang w:val="en-GB"/>
            </w:rPr>
            <w:instrText xml:space="preserve">CITATION Gak02 \p 161 \l 2057 </w:instrText>
          </w:r>
          <w:r w:rsidR="00C963A4">
            <w:fldChar w:fldCharType="separate"/>
          </w:r>
          <w:r w:rsidR="0030227A" w:rsidRPr="0030227A">
            <w:rPr>
              <w:noProof/>
              <w:lang w:val="en-GB"/>
            </w:rPr>
            <w:t>[3, p. 161]</w:t>
          </w:r>
          <w:r w:rsidR="00C963A4">
            <w:fldChar w:fldCharType="end"/>
          </w:r>
        </w:sdtContent>
      </w:sdt>
    </w:p>
    <w:p w14:paraId="63B55417" w14:textId="3E67E5B3" w:rsidR="00C963A4" w:rsidRDefault="00C963A4" w:rsidP="037C1160">
      <w:pPr>
        <w:pStyle w:val="BodyText1"/>
      </w:pPr>
    </w:p>
    <w:p w14:paraId="32E3DAB8" w14:textId="77777777" w:rsidR="00C963A4" w:rsidRDefault="00C963A4" w:rsidP="037C1160">
      <w:pPr>
        <w:pStyle w:val="BodyText1"/>
      </w:pPr>
    </w:p>
    <w:p w14:paraId="02F398B1" w14:textId="4C8EE63B" w:rsidR="0064244A" w:rsidRPr="00E1102D" w:rsidRDefault="0064244A" w:rsidP="0064244A">
      <w:pPr>
        <w:pStyle w:val="BodyText1"/>
        <w:rPr>
          <w:rFonts w:cs="Arial"/>
          <w:szCs w:val="20"/>
        </w:rPr>
      </w:pPr>
      <w:r w:rsidRPr="00E1102D">
        <w:rPr>
          <w:rFonts w:cs="Arial"/>
          <w:szCs w:val="20"/>
        </w:rPr>
        <w:lastRenderedPageBreak/>
        <w:t>There are also disadvantages to encryption technologies, speed of accessing data can be limited due to the additional calculations that the computers perform</w:t>
      </w:r>
      <w:r w:rsidR="00BD2B85" w:rsidRPr="00E1102D">
        <w:rPr>
          <w:rFonts w:cs="Arial"/>
          <w:szCs w:val="20"/>
        </w:rPr>
        <w:t xml:space="preserve"> with ‘..H</w:t>
      </w:r>
      <w:r w:rsidR="00BD2B85" w:rsidRPr="00E1102D">
        <w:rPr>
          <w:rFonts w:cs="Arial"/>
          <w:szCs w:val="20"/>
          <w:shd w:val="clear" w:color="auto" w:fill="FFFFFF"/>
        </w:rPr>
        <w:t xml:space="preserve">igher security against the chosen plaintext attacks with slower encryption speed as a </w:t>
      </w:r>
      <w:r w:rsidR="00C47218" w:rsidRPr="00E1102D">
        <w:rPr>
          <w:rFonts w:cs="Arial"/>
          <w:szCs w:val="20"/>
          <w:shd w:val="clear" w:color="auto" w:fill="FFFFFF"/>
        </w:rPr>
        <w:t>tradeoff</w:t>
      </w:r>
      <w:r w:rsidR="00BD2B85" w:rsidRPr="00E1102D">
        <w:rPr>
          <w:rFonts w:cs="Arial"/>
          <w:szCs w:val="20"/>
          <w:shd w:val="clear" w:color="auto" w:fill="FFFFFF"/>
        </w:rPr>
        <w:t>.’</w:t>
      </w:r>
      <w:sdt>
        <w:sdtPr>
          <w:rPr>
            <w:rFonts w:cs="Arial"/>
            <w:szCs w:val="20"/>
            <w:shd w:val="clear" w:color="auto" w:fill="FFFFFF"/>
          </w:rPr>
          <w:id w:val="1893770261"/>
          <w:citation/>
        </w:sdtPr>
        <w:sdtEndPr/>
        <w:sdtContent>
          <w:r w:rsidR="00BD2B85" w:rsidRPr="00E1102D">
            <w:rPr>
              <w:rFonts w:cs="Arial"/>
              <w:szCs w:val="20"/>
              <w:shd w:val="clear" w:color="auto" w:fill="FFFFFF"/>
            </w:rPr>
            <w:fldChar w:fldCharType="begin"/>
          </w:r>
          <w:r w:rsidR="00BD2B85" w:rsidRPr="00E1102D">
            <w:rPr>
              <w:rFonts w:cs="Arial"/>
              <w:szCs w:val="20"/>
              <w:shd w:val="clear" w:color="auto" w:fill="FFFFFF"/>
              <w:lang w:val="en-GB"/>
            </w:rPr>
            <w:instrText xml:space="preserve"> CITATION Hwa18 \l 2057 </w:instrText>
          </w:r>
          <w:r w:rsidR="00BD2B85" w:rsidRPr="00E1102D">
            <w:rPr>
              <w:rFonts w:cs="Arial"/>
              <w:szCs w:val="20"/>
              <w:shd w:val="clear" w:color="auto" w:fill="FFFFFF"/>
            </w:rPr>
            <w:fldChar w:fldCharType="separate"/>
          </w:r>
          <w:r w:rsidR="0030227A">
            <w:rPr>
              <w:rFonts w:cs="Arial"/>
              <w:noProof/>
              <w:szCs w:val="20"/>
              <w:shd w:val="clear" w:color="auto" w:fill="FFFFFF"/>
              <w:lang w:val="en-GB"/>
            </w:rPr>
            <w:t xml:space="preserve"> </w:t>
          </w:r>
          <w:r w:rsidR="0030227A" w:rsidRPr="0030227A">
            <w:rPr>
              <w:rFonts w:cs="Arial"/>
              <w:noProof/>
              <w:szCs w:val="20"/>
              <w:shd w:val="clear" w:color="auto" w:fill="FFFFFF"/>
              <w:lang w:val="en-GB"/>
            </w:rPr>
            <w:t>[4]</w:t>
          </w:r>
          <w:r w:rsidR="00BD2B85" w:rsidRPr="00E1102D">
            <w:rPr>
              <w:rFonts w:cs="Arial"/>
              <w:szCs w:val="20"/>
              <w:shd w:val="clear" w:color="auto" w:fill="FFFFFF"/>
            </w:rPr>
            <w:fldChar w:fldCharType="end"/>
          </w:r>
        </w:sdtContent>
      </w:sdt>
      <w:r w:rsidR="00E1102D" w:rsidRPr="00E1102D">
        <w:rPr>
          <w:rFonts w:cs="Arial"/>
          <w:szCs w:val="20"/>
          <w:shd w:val="clear" w:color="auto" w:fill="FFFFFF"/>
        </w:rPr>
        <w:t>.</w:t>
      </w:r>
      <w:r w:rsidRPr="00E1102D">
        <w:rPr>
          <w:rFonts w:cs="Arial"/>
          <w:szCs w:val="20"/>
        </w:rPr>
        <w:t xml:space="preserve">. </w:t>
      </w:r>
      <w:r w:rsidR="00E1102D" w:rsidRPr="00E1102D">
        <w:rPr>
          <w:rFonts w:cs="Arial"/>
          <w:szCs w:val="20"/>
        </w:rPr>
        <w:t>Finally, m</w:t>
      </w:r>
      <w:r w:rsidRPr="00E1102D">
        <w:rPr>
          <w:rFonts w:cs="Arial"/>
          <w:szCs w:val="20"/>
        </w:rPr>
        <w:t>anagement of the keys, when they are due to change, which one they are due to change to and so on can all slow down the process. Furthermore, if one of the keys are compromised then depending on which encryption that has been used, may require changing all keys</w:t>
      </w:r>
      <w:r w:rsidR="00E1102D" w:rsidRPr="00E1102D">
        <w:rPr>
          <w:rFonts w:cs="Arial"/>
          <w:szCs w:val="20"/>
        </w:rPr>
        <w:t xml:space="preserve"> at a great inconvenience.</w:t>
      </w:r>
    </w:p>
    <w:p w14:paraId="506A8D38" w14:textId="58D27B56" w:rsidR="009E3C33" w:rsidRDefault="009E3C33" w:rsidP="00B30437">
      <w:pPr>
        <w:pStyle w:val="BodyText1"/>
      </w:pPr>
    </w:p>
    <w:p w14:paraId="08B5A4CA" w14:textId="616C4B7A" w:rsidR="005671B3" w:rsidRDefault="00F923FE" w:rsidP="00B30437">
      <w:pPr>
        <w:pStyle w:val="BodyText1"/>
      </w:pPr>
      <w:r>
        <w:t>Advanced Encryption Standard (AES) or as it also known; Rijndael</w:t>
      </w:r>
      <w:r w:rsidR="006E6F1F">
        <w:t xml:space="preserve"> </w:t>
      </w:r>
      <w:r>
        <w:t xml:space="preserve">is a symmetrical block cipher comprising of three blocks; 128, 192 and 256, encrypting and </w:t>
      </w:r>
      <w:r w:rsidR="009D5272">
        <w:t>decrypting in</w:t>
      </w:r>
      <w:r>
        <w:t xml:space="preserve"> the same size. To encrypt the data first it is put into an array then transformations of the data in 10, 12 and 14 rounds (key depending). </w:t>
      </w:r>
      <w:r w:rsidR="009D5272">
        <w:t>Substituting</w:t>
      </w:r>
      <w:r>
        <w:t>, shifting, mixing and finally XOR-ing the data</w:t>
      </w:r>
      <w:r w:rsidR="005671B3">
        <w:t xml:space="preserve"> see below:</w:t>
      </w:r>
    </w:p>
    <w:p w14:paraId="29F20713" w14:textId="77777777" w:rsidR="005671B3" w:rsidRDefault="005671B3" w:rsidP="00B30437">
      <w:pPr>
        <w:pStyle w:val="BodyText1"/>
      </w:pPr>
    </w:p>
    <w:p w14:paraId="55D6A0EE" w14:textId="77777777" w:rsidR="005671B3" w:rsidRDefault="005671B3" w:rsidP="00B30437">
      <w:pPr>
        <w:pStyle w:val="BodyText1"/>
      </w:pPr>
      <w:r>
        <w:rPr>
          <w:noProof/>
        </w:rPr>
        <w:drawing>
          <wp:inline distT="0" distB="0" distL="0" distR="0" wp14:anchorId="0A3EB2F2" wp14:editId="3F4980D6">
            <wp:extent cx="4952998" cy="2971800"/>
            <wp:effectExtent l="0" t="0" r="0" b="0"/>
            <wp:docPr id="285300316" name="Picture 2" descr="AES encryption array shi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4952998" cy="2971800"/>
                    </a:xfrm>
                    <a:prstGeom prst="rect">
                      <a:avLst/>
                    </a:prstGeom>
                  </pic:spPr>
                </pic:pic>
              </a:graphicData>
            </a:graphic>
          </wp:inline>
        </w:drawing>
      </w:r>
    </w:p>
    <w:p w14:paraId="4A71D2CB" w14:textId="6B5430D1" w:rsidR="005671B3" w:rsidRDefault="005671B3" w:rsidP="00B30437">
      <w:pPr>
        <w:pStyle w:val="BodyText1"/>
      </w:pPr>
      <w:r>
        <w:t>At present there is no known practical attack allowing someone to read AES encrypted data when correctly implemented and successful attacks are usually side-channel ones meaning the encryption is not implemented correctly.</w:t>
      </w:r>
      <w:r w:rsidR="009D5272">
        <w:t xml:space="preserve"> Commonly it used in the military for secret and above data.</w:t>
      </w:r>
      <w:r w:rsidR="00BD28F3">
        <w:t xml:space="preserve"> According to EE Times ‘…Even with </w:t>
      </w:r>
      <w:r w:rsidR="00774997">
        <w:t>a supercomputer</w:t>
      </w:r>
      <w:r w:rsidR="00BD28F3">
        <w:t xml:space="preserve"> it would take a billion</w:t>
      </w:r>
      <w:r w:rsidR="00C963A4">
        <w:t>,</w:t>
      </w:r>
      <w:r w:rsidR="00BD28F3">
        <w:t xml:space="preserve"> billion years to crack 128-bit </w:t>
      </w:r>
      <w:proofErr w:type="gramStart"/>
      <w:r w:rsidR="00BD28F3">
        <w:t>AES..</w:t>
      </w:r>
      <w:proofErr w:type="gramEnd"/>
      <w:r w:rsidR="00BD28F3">
        <w:t>’</w:t>
      </w:r>
      <w:sdt>
        <w:sdtPr>
          <w:id w:val="-455251238"/>
          <w:citation/>
        </w:sdtPr>
        <w:sdtEndPr/>
        <w:sdtContent>
          <w:r w:rsidR="00BD28F3">
            <w:fldChar w:fldCharType="begin"/>
          </w:r>
          <w:r w:rsidR="00BD28F3">
            <w:rPr>
              <w:lang w:val="en-GB"/>
            </w:rPr>
            <w:instrText xml:space="preserve"> CITATION Moh12 \l 2057 </w:instrText>
          </w:r>
          <w:r w:rsidR="00BD28F3">
            <w:fldChar w:fldCharType="separate"/>
          </w:r>
          <w:r w:rsidR="0030227A">
            <w:rPr>
              <w:noProof/>
              <w:lang w:val="en-GB"/>
            </w:rPr>
            <w:t xml:space="preserve"> </w:t>
          </w:r>
          <w:r w:rsidR="0030227A" w:rsidRPr="0030227A">
            <w:rPr>
              <w:noProof/>
              <w:lang w:val="en-GB"/>
            </w:rPr>
            <w:t>[5]</w:t>
          </w:r>
          <w:r w:rsidR="00BD28F3">
            <w:fldChar w:fldCharType="end"/>
          </w:r>
        </w:sdtContent>
      </w:sdt>
    </w:p>
    <w:p w14:paraId="5E60B228" w14:textId="3E9FA1C4" w:rsidR="009E3C33" w:rsidRDefault="009E3C33" w:rsidP="00B30437">
      <w:pPr>
        <w:pStyle w:val="BodyText1"/>
      </w:pPr>
    </w:p>
    <w:p w14:paraId="3043BEB6" w14:textId="324A3A29" w:rsidR="005671B3" w:rsidRDefault="005671B3" w:rsidP="00B30437">
      <w:pPr>
        <w:pStyle w:val="BodyText1"/>
      </w:pPr>
      <w:r>
        <w:t>Data Encryption Standard (</w:t>
      </w:r>
      <w:r w:rsidR="009E3C33">
        <w:t>DES</w:t>
      </w:r>
      <w:r>
        <w:t xml:space="preserve">) works similar to AES in that it encrypts and decrypts using the same private key. Using a </w:t>
      </w:r>
      <w:r w:rsidR="00C963A4">
        <w:t>56-bit</w:t>
      </w:r>
      <w:r>
        <w:t xml:space="preserve"> key it is less than AES</w:t>
      </w:r>
      <w:r w:rsidR="00430004">
        <w:t xml:space="preserve">. </w:t>
      </w:r>
      <w:r w:rsidR="009D5272">
        <w:t xml:space="preserve">Originally developed by IBM in the early 70’s </w:t>
      </w:r>
      <w:r w:rsidR="00430004">
        <w:t xml:space="preserve">DES takes a fixed length string and puts it </w:t>
      </w:r>
      <w:r w:rsidR="009D5272">
        <w:t>through</w:t>
      </w:r>
      <w:r w:rsidR="00430004">
        <w:t xml:space="preserve"> a series of complicated operations</w:t>
      </w:r>
      <w:r w:rsidR="009D5272">
        <w:t>. Brute force attacks on DES resulted in an Electronic frontier Foundation computer in 1998 brute force attacking DES and managing to crack the encryption method in 56 hours. This was bettered to 22 hours the following year, using networked computers.</w:t>
      </w:r>
      <w:r w:rsidR="00BD28F3">
        <w:t xml:space="preserve"> </w:t>
      </w:r>
      <w:sdt>
        <w:sdtPr>
          <w:id w:val="-1132317964"/>
          <w:citation/>
        </w:sdtPr>
        <w:sdtEndPr/>
        <w:sdtContent>
          <w:r w:rsidR="00BD28F3">
            <w:fldChar w:fldCharType="begin"/>
          </w:r>
          <w:r w:rsidR="00BD28F3">
            <w:rPr>
              <w:lang w:val="en-GB"/>
            </w:rPr>
            <w:instrText xml:space="preserve"> CITATION Rou14 \l 2057 </w:instrText>
          </w:r>
          <w:r w:rsidR="00BD28F3">
            <w:fldChar w:fldCharType="separate"/>
          </w:r>
          <w:r w:rsidR="0030227A" w:rsidRPr="0030227A">
            <w:rPr>
              <w:noProof/>
              <w:lang w:val="en-GB"/>
            </w:rPr>
            <w:t>[6]</w:t>
          </w:r>
          <w:r w:rsidR="00BD28F3">
            <w:fldChar w:fldCharType="end"/>
          </w:r>
        </w:sdtContent>
      </w:sdt>
    </w:p>
    <w:p w14:paraId="45AB33FB" w14:textId="53F60AC2" w:rsidR="009E3C33" w:rsidRDefault="009E3C33" w:rsidP="00B30437">
      <w:pPr>
        <w:pStyle w:val="BodyText1"/>
      </w:pPr>
    </w:p>
    <w:p w14:paraId="543FA8CA" w14:textId="7F5DE852" w:rsidR="004958C4" w:rsidRDefault="037C1160" w:rsidP="00B30437">
      <w:pPr>
        <w:pStyle w:val="BodyText1"/>
      </w:pPr>
      <w:r>
        <w:t xml:space="preserve">Secure Hashed Algorithms (SHA) takes an input and produces a (in the case of SHA-1) </w:t>
      </w:r>
      <w:proofErr w:type="gramStart"/>
      <w:r>
        <w:t>160 byte</w:t>
      </w:r>
      <w:proofErr w:type="gramEnd"/>
      <w:r>
        <w:t xml:space="preserve"> hash value, 40 digits long. Typically used for certificate signatures for SSL for web browsers. In 2017 it was retired and in Feb 2017 Google and CWI Amsterdam announced that they had used two separate inputs to create the same hash value (also called a hash collision).</w:t>
      </w:r>
    </w:p>
    <w:p w14:paraId="67EA8364" w14:textId="2ABF878B" w:rsidR="009E3C33" w:rsidRDefault="009E3C33" w:rsidP="00B30437">
      <w:pPr>
        <w:pStyle w:val="BodyText1"/>
      </w:pPr>
    </w:p>
    <w:p w14:paraId="10BFAEC6" w14:textId="69118BB2" w:rsidR="009E3C33" w:rsidRDefault="037C1160" w:rsidP="00B30437">
      <w:pPr>
        <w:pStyle w:val="BodyText1"/>
      </w:pPr>
      <w:r>
        <w:t xml:space="preserve">Rivest Sharmir Adleman or RSA is an asymmetric algorithm using public and private keys to encrypt and decrypt messages sent and received, publicly described in 1976. The principle being that two large prime numbers are multiplied, but reverse engineering the two so that you get the original pair is difficult, then intern using the RSA algorithm. RSA can also encrypt the message with the receivers RSA public key before sending it to them. The result being a digital certificate that is signed for by the certificated authority and the hash of the original message </w:t>
      </w:r>
      <w:r>
        <w:lastRenderedPageBreak/>
        <w:t>combines authentication, non-repudiation and integrity. It is recommended that 1024-bit keys are no longer safe and that 2048 should be the minimum.</w:t>
      </w:r>
    </w:p>
    <w:p w14:paraId="1916D7F7" w14:textId="1C67EB9C" w:rsidR="009E3C33" w:rsidRDefault="009E3C33" w:rsidP="00B30437">
      <w:pPr>
        <w:pStyle w:val="BodyText1"/>
      </w:pPr>
    </w:p>
    <w:p w14:paraId="59C68115" w14:textId="50D9E1CB" w:rsidR="009E3C33" w:rsidRPr="00996B03" w:rsidRDefault="009E3C33" w:rsidP="00B30437">
      <w:pPr>
        <w:pStyle w:val="BodyText1"/>
        <w:rPr>
          <w:szCs w:val="20"/>
        </w:rPr>
      </w:pPr>
      <w:r>
        <w:t xml:space="preserve">Elliptical </w:t>
      </w:r>
      <w:r w:rsidR="0080489E">
        <w:t>C</w:t>
      </w:r>
      <w:r>
        <w:t>ur</w:t>
      </w:r>
      <w:r w:rsidR="009D5272">
        <w:t>ve</w:t>
      </w:r>
      <w:r>
        <w:t xml:space="preserve"> Cryptography</w:t>
      </w:r>
      <w:r w:rsidR="0080489E">
        <w:t xml:space="preserve"> (ECC) is a public key encryption method which is theoretically, quicker, smaller and more efficient. Keys are designed to be generated by an equation of an elliptic curve rather than based on a generation of numbers. Developed by Certicom ECC is designed to be used with mobile technology and is designed to use less Computer Processing Unit (CPU) and battery resources. According to Nigel Smart of Hewlett Packard (a researcher) there are certain curves which are extremely vulnerable.</w:t>
      </w:r>
      <w:r w:rsidR="006E6F1F">
        <w:t xml:space="preserve"> </w:t>
      </w:r>
      <w:r w:rsidR="003A36CD">
        <w:t xml:space="preserve">Used in popular culture, Bitcoin uses </w:t>
      </w:r>
      <w:r w:rsidR="004C79A4">
        <w:t>elliptic</w:t>
      </w:r>
      <w:r w:rsidR="003A36CD">
        <w:t xml:space="preserve"> curve to </w:t>
      </w:r>
      <w:r w:rsidR="00814277">
        <w:t xml:space="preserve">sign </w:t>
      </w:r>
      <w:r w:rsidR="00814277" w:rsidRPr="00996B03">
        <w:rPr>
          <w:szCs w:val="20"/>
        </w:rPr>
        <w:t xml:space="preserve">transactions. </w:t>
      </w:r>
      <w:r w:rsidR="00996B03" w:rsidRPr="00996B03">
        <w:rPr>
          <w:rFonts w:cs="Arial"/>
          <w:szCs w:val="20"/>
          <w:shd w:val="clear" w:color="auto" w:fill="FFFFFF"/>
        </w:rPr>
        <w:t xml:space="preserve">Veronika Stolbikova of the ISAC journal </w:t>
      </w:r>
      <w:r w:rsidR="00996B03">
        <w:rPr>
          <w:rFonts w:cs="Arial"/>
          <w:szCs w:val="20"/>
          <w:shd w:val="clear" w:color="auto" w:fill="FFFFFF"/>
        </w:rPr>
        <w:t>says ‘</w:t>
      </w:r>
      <w:r w:rsidR="00996B03" w:rsidRPr="00996B03">
        <w:rPr>
          <w:rFonts w:cs="Arial"/>
          <w:szCs w:val="20"/>
          <w:shd w:val="clear" w:color="auto" w:fill="FFFFFF"/>
        </w:rPr>
        <w:t xml:space="preserve">There are a significant number of potential vulnerabilities to elliptic curves, such as side-channel attacks and twist-security attacks. These attacks threaten to invalidate the security ECC aims to provide to private </w:t>
      </w:r>
      <w:proofErr w:type="gramStart"/>
      <w:r w:rsidR="00996B03" w:rsidRPr="00996B03">
        <w:rPr>
          <w:rFonts w:cs="Arial"/>
          <w:szCs w:val="20"/>
          <w:shd w:val="clear" w:color="auto" w:fill="FFFFFF"/>
        </w:rPr>
        <w:t>keys</w:t>
      </w:r>
      <w:r w:rsidR="00996B03">
        <w:rPr>
          <w:rFonts w:cs="Arial"/>
          <w:szCs w:val="20"/>
          <w:shd w:val="clear" w:color="auto" w:fill="FFFFFF"/>
        </w:rPr>
        <w:t>’</w:t>
      </w:r>
      <w:proofErr w:type="gramEnd"/>
      <w:r w:rsidR="00996B03" w:rsidRPr="00996B03">
        <w:rPr>
          <w:rFonts w:cs="Arial"/>
          <w:szCs w:val="20"/>
          <w:shd w:val="clear" w:color="auto" w:fill="FFFFFF"/>
        </w:rPr>
        <w:t>.</w:t>
      </w:r>
      <w:sdt>
        <w:sdtPr>
          <w:rPr>
            <w:rFonts w:cs="Arial"/>
            <w:szCs w:val="20"/>
            <w:shd w:val="clear" w:color="auto" w:fill="FFFFFF"/>
          </w:rPr>
          <w:id w:val="445127668"/>
          <w:citation/>
        </w:sdtPr>
        <w:sdtEndPr/>
        <w:sdtContent>
          <w:r w:rsidR="00996B03" w:rsidRPr="00996B03">
            <w:rPr>
              <w:rFonts w:cs="Arial"/>
              <w:szCs w:val="20"/>
              <w:shd w:val="clear" w:color="auto" w:fill="FFFFFF"/>
            </w:rPr>
            <w:fldChar w:fldCharType="begin"/>
          </w:r>
          <w:r w:rsidR="00996B03" w:rsidRPr="00996B03">
            <w:rPr>
              <w:rFonts w:cs="Arial"/>
              <w:szCs w:val="20"/>
              <w:shd w:val="clear" w:color="auto" w:fill="FFFFFF"/>
              <w:lang w:val="en-GB"/>
            </w:rPr>
            <w:instrText xml:space="preserve"> CITATION Ver16 \l 2057 </w:instrText>
          </w:r>
          <w:r w:rsidR="00996B03" w:rsidRPr="00996B03">
            <w:rPr>
              <w:rFonts w:cs="Arial"/>
              <w:szCs w:val="20"/>
              <w:shd w:val="clear" w:color="auto" w:fill="FFFFFF"/>
            </w:rPr>
            <w:fldChar w:fldCharType="separate"/>
          </w:r>
          <w:r w:rsidR="0030227A">
            <w:rPr>
              <w:rFonts w:cs="Arial"/>
              <w:noProof/>
              <w:szCs w:val="20"/>
              <w:shd w:val="clear" w:color="auto" w:fill="FFFFFF"/>
              <w:lang w:val="en-GB"/>
            </w:rPr>
            <w:t xml:space="preserve"> </w:t>
          </w:r>
          <w:r w:rsidR="0030227A" w:rsidRPr="0030227A">
            <w:rPr>
              <w:rFonts w:cs="Arial"/>
              <w:noProof/>
              <w:szCs w:val="20"/>
              <w:shd w:val="clear" w:color="auto" w:fill="FFFFFF"/>
              <w:lang w:val="en-GB"/>
            </w:rPr>
            <w:t>[7]</w:t>
          </w:r>
          <w:r w:rsidR="00996B03" w:rsidRPr="00996B03">
            <w:rPr>
              <w:rFonts w:cs="Arial"/>
              <w:szCs w:val="20"/>
              <w:shd w:val="clear" w:color="auto" w:fill="FFFFFF"/>
            </w:rPr>
            <w:fldChar w:fldCharType="end"/>
          </w:r>
        </w:sdtContent>
      </w:sdt>
      <w:r w:rsidR="00996B03">
        <w:rPr>
          <w:rFonts w:cs="Arial"/>
          <w:szCs w:val="20"/>
          <w:shd w:val="clear" w:color="auto" w:fill="FFFFFF"/>
        </w:rPr>
        <w:t xml:space="preserve"> she also goes on to say that the implementation isn’t easy and that mistakes can be made here too.</w:t>
      </w:r>
    </w:p>
    <w:p w14:paraId="564F1C37" w14:textId="33FA47A4" w:rsidR="009E3C33" w:rsidRDefault="009E3C33" w:rsidP="00B30437">
      <w:pPr>
        <w:pStyle w:val="BodyText1"/>
      </w:pPr>
    </w:p>
    <w:p w14:paraId="239B3A5E" w14:textId="1303EC96" w:rsidR="009E3C33" w:rsidRDefault="037C1160" w:rsidP="00B30437">
      <w:pPr>
        <w:pStyle w:val="BodyText1"/>
      </w:pPr>
      <w:r>
        <w:t xml:space="preserve">Diffie-Hellman key exchange is an exchange of secret keys that can happen over insecure channels. If person A wishes to communicate with person B Diffie allows this to happen although others maybe listening, but the information cannot be used to construct the secret key. Based on Discrete Logarithm Problem (DLP), person A </w:t>
      </w:r>
      <w:r w:rsidRPr="00991D88">
        <w:rPr>
          <w:szCs w:val="20"/>
        </w:rPr>
        <w:t xml:space="preserve">and B agree on a large prime number and primitive root. </w:t>
      </w:r>
      <w:r w:rsidR="00991D88" w:rsidRPr="00991D88">
        <w:rPr>
          <w:szCs w:val="20"/>
        </w:rPr>
        <w:t>Margar</w:t>
      </w:r>
      <w:r w:rsidR="00991D88">
        <w:rPr>
          <w:szCs w:val="20"/>
        </w:rPr>
        <w:t>ate Rouse says that</w:t>
      </w:r>
      <w:r w:rsidR="00991D88" w:rsidRPr="00991D88">
        <w:rPr>
          <w:szCs w:val="20"/>
        </w:rPr>
        <w:t xml:space="preserve"> ‘…</w:t>
      </w:r>
      <w:r w:rsidR="00991D88" w:rsidRPr="00991D88">
        <w:rPr>
          <w:rFonts w:cs="Arial"/>
          <w:szCs w:val="20"/>
          <w:shd w:val="clear" w:color="auto" w:fill="FFFFFF"/>
        </w:rPr>
        <w:t>Diffie-Hellman should be used in conjunction with a recognized authentication method such as </w:t>
      </w:r>
      <w:hyperlink r:id="rId13" w:history="1">
        <w:r w:rsidR="00991D88" w:rsidRPr="00991D88">
          <w:rPr>
            <w:rStyle w:val="Hyperlink"/>
            <w:rFonts w:cs="Arial"/>
            <w:color w:val="auto"/>
            <w:szCs w:val="20"/>
            <w:u w:val="none"/>
            <w:shd w:val="clear" w:color="auto" w:fill="FFFFFF"/>
          </w:rPr>
          <w:t>digital signature</w:t>
        </w:r>
      </w:hyperlink>
      <w:r w:rsidR="00991D88" w:rsidRPr="00991D88">
        <w:rPr>
          <w:rFonts w:cs="Arial"/>
          <w:szCs w:val="20"/>
          <w:shd w:val="clear" w:color="auto" w:fill="FFFFFF"/>
        </w:rPr>
        <w:t>s to verify the identities of the users…’</w:t>
      </w:r>
      <w:hyperlink r:id="rId14"/>
      <w:r w:rsidR="00991D88">
        <w:rPr>
          <w:rStyle w:val="Hyperlink"/>
          <w:color w:val="auto"/>
          <w:szCs w:val="20"/>
          <w:u w:val="none"/>
        </w:rPr>
        <w:t xml:space="preserve"> which validates the point that a man-in-the-middle attack is entirely possible. </w:t>
      </w:r>
      <w:sdt>
        <w:sdtPr>
          <w:rPr>
            <w:rStyle w:val="Hyperlink"/>
            <w:color w:val="auto"/>
            <w:szCs w:val="20"/>
            <w:u w:val="none"/>
          </w:rPr>
          <w:id w:val="-936208205"/>
          <w:citation/>
        </w:sdtPr>
        <w:sdtEndPr>
          <w:rPr>
            <w:rStyle w:val="Hyperlink"/>
          </w:rPr>
        </w:sdtEndPr>
        <w:sdtContent>
          <w:r w:rsidR="00991D88">
            <w:rPr>
              <w:rStyle w:val="Hyperlink"/>
              <w:color w:val="auto"/>
              <w:szCs w:val="20"/>
              <w:u w:val="none"/>
            </w:rPr>
            <w:fldChar w:fldCharType="begin"/>
          </w:r>
          <w:r w:rsidR="00991D88">
            <w:rPr>
              <w:rStyle w:val="Hyperlink"/>
              <w:color w:val="auto"/>
              <w:szCs w:val="20"/>
              <w:u w:val="none"/>
              <w:lang w:val="en-GB"/>
            </w:rPr>
            <w:instrText xml:space="preserve"> CITATION Rou19 \l 2057 </w:instrText>
          </w:r>
          <w:r w:rsidR="00991D88">
            <w:rPr>
              <w:rStyle w:val="Hyperlink"/>
              <w:color w:val="auto"/>
              <w:szCs w:val="20"/>
              <w:u w:val="none"/>
            </w:rPr>
            <w:fldChar w:fldCharType="separate"/>
          </w:r>
          <w:r w:rsidR="0030227A" w:rsidRPr="0030227A">
            <w:rPr>
              <w:noProof/>
              <w:szCs w:val="20"/>
              <w:lang w:val="en-GB"/>
            </w:rPr>
            <w:t>[8]</w:t>
          </w:r>
          <w:r w:rsidR="00991D88">
            <w:rPr>
              <w:rStyle w:val="Hyperlink"/>
              <w:color w:val="auto"/>
              <w:szCs w:val="20"/>
              <w:u w:val="none"/>
            </w:rPr>
            <w:fldChar w:fldCharType="end"/>
          </w:r>
        </w:sdtContent>
      </w:sdt>
    </w:p>
    <w:p w14:paraId="0C33DB25" w14:textId="77777777" w:rsidR="009E3C33" w:rsidRDefault="009E3C33" w:rsidP="00B30437">
      <w:pPr>
        <w:pStyle w:val="BodyText1"/>
      </w:pPr>
    </w:p>
    <w:p w14:paraId="1177E9CC" w14:textId="77777777" w:rsidR="00973561" w:rsidRDefault="00973561" w:rsidP="00B30437">
      <w:pPr>
        <w:pStyle w:val="BodyText1"/>
      </w:pPr>
    </w:p>
    <w:tbl>
      <w:tblPr>
        <w:tblStyle w:val="TableGrid"/>
        <w:tblW w:w="0" w:type="auto"/>
        <w:tblLayout w:type="fixed"/>
        <w:tblLook w:val="06A0" w:firstRow="1" w:lastRow="0" w:firstColumn="1" w:lastColumn="0" w:noHBand="1" w:noVBand="1"/>
      </w:tblPr>
      <w:tblGrid>
        <w:gridCol w:w="2520"/>
        <w:gridCol w:w="2520"/>
        <w:gridCol w:w="2520"/>
        <w:gridCol w:w="2520"/>
      </w:tblGrid>
      <w:tr w:rsidR="037C1160" w14:paraId="6927D2A6" w14:textId="77777777" w:rsidTr="037C1160">
        <w:tc>
          <w:tcPr>
            <w:tcW w:w="2520" w:type="dxa"/>
          </w:tcPr>
          <w:p w14:paraId="56D26070" w14:textId="51D80101" w:rsidR="037C1160" w:rsidRDefault="037C1160" w:rsidP="037C1160">
            <w:pPr>
              <w:rPr>
                <w:rFonts w:ascii="Calibri" w:hAnsi="Calibri" w:cs="Calibri"/>
                <w:color w:val="000000" w:themeColor="text1"/>
              </w:rPr>
            </w:pPr>
          </w:p>
        </w:tc>
        <w:tc>
          <w:tcPr>
            <w:tcW w:w="2520" w:type="dxa"/>
          </w:tcPr>
          <w:p w14:paraId="32452BB2" w14:textId="27E15BD7"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RSA</w:t>
            </w:r>
          </w:p>
        </w:tc>
        <w:tc>
          <w:tcPr>
            <w:tcW w:w="2520" w:type="dxa"/>
          </w:tcPr>
          <w:p w14:paraId="6FC67B6A" w14:textId="4F39D5AB"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Diffie-Hellman</w:t>
            </w:r>
          </w:p>
        </w:tc>
        <w:tc>
          <w:tcPr>
            <w:tcW w:w="2520" w:type="dxa"/>
          </w:tcPr>
          <w:p w14:paraId="1A020FF7" w14:textId="0917281F" w:rsidR="037C1160" w:rsidRDefault="0086077C" w:rsidP="037C1160">
            <w:pPr>
              <w:rPr>
                <w:rFonts w:ascii="Calibri" w:hAnsi="Calibri" w:cs="Calibri"/>
                <w:b/>
                <w:bCs/>
                <w:color w:val="000000" w:themeColor="text1"/>
              </w:rPr>
            </w:pPr>
            <w:r w:rsidRPr="037C1160">
              <w:rPr>
                <w:rFonts w:ascii="Calibri" w:hAnsi="Calibri" w:cs="Calibri"/>
                <w:b/>
                <w:bCs/>
                <w:color w:val="000000" w:themeColor="text1"/>
              </w:rPr>
              <w:t>Elliptic</w:t>
            </w:r>
            <w:r w:rsidR="037C1160" w:rsidRPr="037C1160">
              <w:rPr>
                <w:rFonts w:ascii="Calibri" w:hAnsi="Calibri" w:cs="Calibri"/>
                <w:b/>
                <w:bCs/>
                <w:color w:val="000000" w:themeColor="text1"/>
              </w:rPr>
              <w:t xml:space="preserve"> Curve</w:t>
            </w:r>
          </w:p>
        </w:tc>
      </w:tr>
      <w:tr w:rsidR="037C1160" w14:paraId="2CD02F80" w14:textId="77777777" w:rsidTr="037C1160">
        <w:tc>
          <w:tcPr>
            <w:tcW w:w="2520" w:type="dxa"/>
          </w:tcPr>
          <w:p w14:paraId="1D18D640" w14:textId="6DAD84C7"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Patent Status</w:t>
            </w:r>
          </w:p>
        </w:tc>
        <w:tc>
          <w:tcPr>
            <w:tcW w:w="2520" w:type="dxa"/>
          </w:tcPr>
          <w:p w14:paraId="4F997801" w14:textId="5BF26F9E" w:rsidR="037C1160" w:rsidRDefault="037C1160">
            <w:r w:rsidRPr="037C1160">
              <w:rPr>
                <w:rFonts w:ascii="Calibri" w:hAnsi="Calibri" w:cs="Calibri"/>
                <w:color w:val="000000" w:themeColor="text1"/>
              </w:rPr>
              <w:t>Expired in 2001</w:t>
            </w:r>
          </w:p>
        </w:tc>
        <w:tc>
          <w:tcPr>
            <w:tcW w:w="2520" w:type="dxa"/>
          </w:tcPr>
          <w:p w14:paraId="3BE29FC7" w14:textId="67BA34ED" w:rsidR="037C1160" w:rsidRDefault="037C1160">
            <w:r w:rsidRPr="037C1160">
              <w:rPr>
                <w:rFonts w:ascii="Calibri" w:hAnsi="Calibri" w:cs="Calibri"/>
                <w:color w:val="000000" w:themeColor="text1"/>
              </w:rPr>
              <w:t>Expired in 1997</w:t>
            </w:r>
          </w:p>
        </w:tc>
        <w:tc>
          <w:tcPr>
            <w:tcW w:w="2520" w:type="dxa"/>
          </w:tcPr>
          <w:p w14:paraId="47C71D89" w14:textId="377365E7" w:rsidR="037C1160" w:rsidRDefault="037C1160">
            <w:r w:rsidRPr="037C1160">
              <w:rPr>
                <w:rFonts w:ascii="Calibri" w:hAnsi="Calibri" w:cs="Calibri"/>
                <w:color w:val="000000" w:themeColor="text1"/>
              </w:rPr>
              <w:t>Not patented but many low--level optimizations are</w:t>
            </w:r>
          </w:p>
        </w:tc>
      </w:tr>
      <w:tr w:rsidR="037C1160" w14:paraId="42B1BE0F" w14:textId="77777777" w:rsidTr="037C1160">
        <w:tc>
          <w:tcPr>
            <w:tcW w:w="2520" w:type="dxa"/>
          </w:tcPr>
          <w:p w14:paraId="0EBD90C4" w14:textId="2F26051A"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Mathematical Problem</w:t>
            </w:r>
          </w:p>
        </w:tc>
        <w:tc>
          <w:tcPr>
            <w:tcW w:w="2520" w:type="dxa"/>
          </w:tcPr>
          <w:p w14:paraId="38075B16" w14:textId="4C85E7F4" w:rsidR="037C1160" w:rsidRDefault="037C1160" w:rsidP="037C1160">
            <w:pPr>
              <w:rPr>
                <w:rFonts w:ascii="Calibri" w:hAnsi="Calibri" w:cs="Calibri"/>
                <w:color w:val="000000" w:themeColor="text1"/>
              </w:rPr>
            </w:pPr>
            <w:r w:rsidRPr="037C1160">
              <w:rPr>
                <w:rFonts w:ascii="Calibri" w:hAnsi="Calibri" w:cs="Calibri"/>
                <w:color w:val="000000" w:themeColor="text1"/>
              </w:rPr>
              <w:t>Integer factorization</w:t>
            </w:r>
          </w:p>
        </w:tc>
        <w:tc>
          <w:tcPr>
            <w:tcW w:w="2520" w:type="dxa"/>
          </w:tcPr>
          <w:p w14:paraId="47513BAB" w14:textId="63D313B7" w:rsidR="037C1160" w:rsidRDefault="037C1160">
            <w:r w:rsidRPr="037C1160">
              <w:rPr>
                <w:rFonts w:ascii="Calibri" w:hAnsi="Calibri" w:cs="Calibri"/>
                <w:color w:val="000000" w:themeColor="text1"/>
              </w:rPr>
              <w:t>Discrete logarithm over a finite field</w:t>
            </w:r>
          </w:p>
        </w:tc>
        <w:tc>
          <w:tcPr>
            <w:tcW w:w="2520" w:type="dxa"/>
          </w:tcPr>
          <w:p w14:paraId="425D2677" w14:textId="51EAE55E" w:rsidR="037C1160" w:rsidRDefault="037C1160">
            <w:r w:rsidRPr="037C1160">
              <w:rPr>
                <w:rFonts w:ascii="Calibri" w:hAnsi="Calibri" w:cs="Calibri"/>
                <w:color w:val="000000" w:themeColor="text1"/>
              </w:rPr>
              <w:t>discrete logarithm of elliptic curve</w:t>
            </w:r>
          </w:p>
        </w:tc>
      </w:tr>
      <w:tr w:rsidR="037C1160" w14:paraId="3B33F0AB" w14:textId="77777777" w:rsidTr="037C1160">
        <w:tc>
          <w:tcPr>
            <w:tcW w:w="2520" w:type="dxa"/>
          </w:tcPr>
          <w:p w14:paraId="028B78EA" w14:textId="6C06C192"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best known attack</w:t>
            </w:r>
          </w:p>
        </w:tc>
        <w:tc>
          <w:tcPr>
            <w:tcW w:w="2520" w:type="dxa"/>
          </w:tcPr>
          <w:p w14:paraId="5CBCEE75" w14:textId="33C63DFE" w:rsidR="037C1160" w:rsidRDefault="037C1160" w:rsidP="037C1160">
            <w:pPr>
              <w:rPr>
                <w:rFonts w:ascii="Calibri" w:hAnsi="Calibri" w:cs="Calibri"/>
                <w:color w:val="000000" w:themeColor="text1"/>
              </w:rPr>
            </w:pPr>
            <w:r w:rsidRPr="037C1160">
              <w:rPr>
                <w:rFonts w:ascii="Calibri" w:hAnsi="Calibri" w:cs="Calibri"/>
                <w:color w:val="000000" w:themeColor="text1"/>
              </w:rPr>
              <w:t>Sub exponential</w:t>
            </w:r>
          </w:p>
        </w:tc>
        <w:tc>
          <w:tcPr>
            <w:tcW w:w="2520" w:type="dxa"/>
          </w:tcPr>
          <w:p w14:paraId="3A4D3AEF" w14:textId="6AD15A13" w:rsidR="037C1160" w:rsidRDefault="037C1160" w:rsidP="037C1160">
            <w:pPr>
              <w:rPr>
                <w:rFonts w:ascii="Calibri" w:hAnsi="Calibri" w:cs="Calibri"/>
                <w:color w:val="000000" w:themeColor="text1"/>
              </w:rPr>
            </w:pPr>
            <w:r w:rsidRPr="037C1160">
              <w:rPr>
                <w:rFonts w:ascii="Calibri" w:hAnsi="Calibri" w:cs="Calibri"/>
                <w:color w:val="000000" w:themeColor="text1"/>
              </w:rPr>
              <w:t>Exponential</w:t>
            </w:r>
          </w:p>
        </w:tc>
        <w:tc>
          <w:tcPr>
            <w:tcW w:w="2520" w:type="dxa"/>
          </w:tcPr>
          <w:p w14:paraId="2BF28042" w14:textId="78790FF6" w:rsidR="037C1160" w:rsidRDefault="037C1160">
            <w:r w:rsidRPr="037C1160">
              <w:rPr>
                <w:rFonts w:ascii="Calibri" w:hAnsi="Calibri" w:cs="Calibri"/>
                <w:color w:val="000000" w:themeColor="text1"/>
              </w:rPr>
              <w:t>Exponential</w:t>
            </w:r>
          </w:p>
        </w:tc>
      </w:tr>
      <w:tr w:rsidR="037C1160" w14:paraId="5321A155" w14:textId="77777777" w:rsidTr="037C1160">
        <w:tc>
          <w:tcPr>
            <w:tcW w:w="2520" w:type="dxa"/>
          </w:tcPr>
          <w:p w14:paraId="01B7FA5D" w14:textId="1D8F2B6D"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average key size</w:t>
            </w:r>
          </w:p>
        </w:tc>
        <w:tc>
          <w:tcPr>
            <w:tcW w:w="2520" w:type="dxa"/>
          </w:tcPr>
          <w:p w14:paraId="13E8A82C" w14:textId="6E04631C" w:rsidR="037C1160" w:rsidRDefault="037C1160">
            <w:r w:rsidRPr="037C1160">
              <w:rPr>
                <w:rFonts w:ascii="Calibri" w:hAnsi="Calibri" w:cs="Calibri"/>
                <w:color w:val="000000" w:themeColor="text1"/>
              </w:rPr>
              <w:t>1024 bits</w:t>
            </w:r>
          </w:p>
        </w:tc>
        <w:tc>
          <w:tcPr>
            <w:tcW w:w="2520" w:type="dxa"/>
          </w:tcPr>
          <w:p w14:paraId="6F1406EF" w14:textId="09AEE58B" w:rsidR="037C1160" w:rsidRDefault="037C1160">
            <w:r w:rsidRPr="037C1160">
              <w:rPr>
                <w:rFonts w:ascii="Calibri" w:hAnsi="Calibri" w:cs="Calibri"/>
                <w:color w:val="000000" w:themeColor="text1"/>
              </w:rPr>
              <w:t>1024 bits</w:t>
            </w:r>
          </w:p>
        </w:tc>
        <w:tc>
          <w:tcPr>
            <w:tcW w:w="2520" w:type="dxa"/>
          </w:tcPr>
          <w:p w14:paraId="5DF9C123" w14:textId="41643169" w:rsidR="037C1160" w:rsidRDefault="037C1160">
            <w:r w:rsidRPr="037C1160">
              <w:rPr>
                <w:rFonts w:ascii="Calibri" w:hAnsi="Calibri" w:cs="Calibri"/>
                <w:color w:val="000000" w:themeColor="text1"/>
              </w:rPr>
              <w:t>160 bits</w:t>
            </w:r>
          </w:p>
        </w:tc>
      </w:tr>
      <w:tr w:rsidR="037C1160" w14:paraId="2DD36C8C" w14:textId="77777777" w:rsidTr="037C1160">
        <w:tc>
          <w:tcPr>
            <w:tcW w:w="2520" w:type="dxa"/>
          </w:tcPr>
          <w:p w14:paraId="78CBC5B5" w14:textId="43686F01" w:rsidR="037C1160" w:rsidRDefault="037C1160" w:rsidP="037C1160">
            <w:pPr>
              <w:rPr>
                <w:rFonts w:ascii="Calibri" w:hAnsi="Calibri" w:cs="Calibri"/>
                <w:b/>
                <w:bCs/>
                <w:color w:val="000000" w:themeColor="text1"/>
              </w:rPr>
            </w:pPr>
            <w:r w:rsidRPr="037C1160">
              <w:rPr>
                <w:rFonts w:ascii="Calibri" w:hAnsi="Calibri" w:cs="Calibri"/>
                <w:b/>
                <w:bCs/>
                <w:color w:val="000000" w:themeColor="text1"/>
              </w:rPr>
              <w:t>Corporate "champion"</w:t>
            </w:r>
          </w:p>
        </w:tc>
        <w:tc>
          <w:tcPr>
            <w:tcW w:w="2520" w:type="dxa"/>
          </w:tcPr>
          <w:p w14:paraId="366793F7" w14:textId="50D20F59" w:rsidR="037C1160" w:rsidRDefault="037C1160">
            <w:r w:rsidRPr="037C1160">
              <w:rPr>
                <w:rFonts w:ascii="Calibri" w:hAnsi="Calibri" w:cs="Calibri"/>
                <w:color w:val="000000" w:themeColor="text1"/>
              </w:rPr>
              <w:t>RSA Security</w:t>
            </w:r>
          </w:p>
        </w:tc>
        <w:tc>
          <w:tcPr>
            <w:tcW w:w="2520" w:type="dxa"/>
          </w:tcPr>
          <w:p w14:paraId="30CBEA73" w14:textId="6360391F" w:rsidR="037C1160" w:rsidRDefault="037C1160">
            <w:r w:rsidRPr="037C1160">
              <w:rPr>
                <w:rFonts w:ascii="Calibri" w:hAnsi="Calibri" w:cs="Calibri"/>
                <w:color w:val="000000" w:themeColor="text1"/>
              </w:rPr>
              <w:t>None</w:t>
            </w:r>
          </w:p>
        </w:tc>
        <w:tc>
          <w:tcPr>
            <w:tcW w:w="2520" w:type="dxa"/>
          </w:tcPr>
          <w:p w14:paraId="3458BE75" w14:textId="71938455" w:rsidR="037C1160" w:rsidRDefault="037C1160">
            <w:r w:rsidRPr="037C1160">
              <w:rPr>
                <w:rFonts w:ascii="Calibri" w:hAnsi="Calibri" w:cs="Calibri"/>
                <w:color w:val="000000" w:themeColor="text1"/>
              </w:rPr>
              <w:t>Certicom</w:t>
            </w:r>
          </w:p>
        </w:tc>
      </w:tr>
    </w:tbl>
    <w:p w14:paraId="184F4D9E" w14:textId="03B87563" w:rsidR="037C1160" w:rsidRDefault="006B615F" w:rsidP="00C963A4">
      <w:pPr>
        <w:pStyle w:val="BodyText1"/>
        <w:jc w:val="right"/>
        <w:rPr>
          <w:b/>
          <w:bCs/>
        </w:rPr>
      </w:pPr>
      <w:sdt>
        <w:sdtPr>
          <w:rPr>
            <w:b/>
            <w:bCs/>
          </w:rPr>
          <w:id w:val="906036441"/>
          <w:citation/>
        </w:sdtPr>
        <w:sdtEndPr/>
        <w:sdtContent>
          <w:r w:rsidR="00C963A4">
            <w:rPr>
              <w:b/>
              <w:bCs/>
            </w:rPr>
            <w:fldChar w:fldCharType="begin"/>
          </w:r>
          <w:r w:rsidR="00C963A4">
            <w:rPr>
              <w:b/>
              <w:bCs/>
              <w:lang w:val="en-GB"/>
            </w:rPr>
            <w:instrText xml:space="preserve"> CITATION Gak02 \l 2057 </w:instrText>
          </w:r>
          <w:r w:rsidR="00C963A4">
            <w:rPr>
              <w:b/>
              <w:bCs/>
            </w:rPr>
            <w:fldChar w:fldCharType="separate"/>
          </w:r>
          <w:r w:rsidR="0030227A" w:rsidRPr="0030227A">
            <w:rPr>
              <w:noProof/>
              <w:lang w:val="en-GB"/>
            </w:rPr>
            <w:t>[3]</w:t>
          </w:r>
          <w:r w:rsidR="00C963A4">
            <w:rPr>
              <w:b/>
              <w:bCs/>
            </w:rPr>
            <w:fldChar w:fldCharType="end"/>
          </w:r>
        </w:sdtContent>
      </w:sdt>
    </w:p>
    <w:p w14:paraId="34D5E867" w14:textId="730BA9FF" w:rsidR="037C1160" w:rsidRDefault="037C1160" w:rsidP="037C1160">
      <w:pPr>
        <w:pStyle w:val="BodyText1"/>
        <w:rPr>
          <w:b/>
          <w:bCs/>
        </w:rPr>
      </w:pPr>
      <w:r w:rsidRPr="037C1160">
        <w:rPr>
          <w:b/>
          <w:bCs/>
        </w:rPr>
        <w:t>Conclusion</w:t>
      </w:r>
    </w:p>
    <w:p w14:paraId="2F9A2941" w14:textId="2F8BCE4C" w:rsidR="037C1160" w:rsidRDefault="037C1160" w:rsidP="037C1160">
      <w:pPr>
        <w:pStyle w:val="BodyText1"/>
        <w:rPr>
          <w:b/>
          <w:bCs/>
        </w:rPr>
      </w:pPr>
    </w:p>
    <w:p w14:paraId="68AFE81F" w14:textId="728695E9" w:rsidR="037C1160" w:rsidRDefault="037C1160" w:rsidP="037C1160">
      <w:pPr>
        <w:pStyle w:val="BodyText1"/>
      </w:pPr>
      <w:r>
        <w:t xml:space="preserve">Depending on what the user is trying to achieve will define the best </w:t>
      </w:r>
      <w:r w:rsidR="0086077C">
        <w:t xml:space="preserve">fit </w:t>
      </w:r>
      <w:r>
        <w:t>method of encryption</w:t>
      </w:r>
      <w:r w:rsidR="0086077C">
        <w:t xml:space="preserve"> suited to the problem</w:t>
      </w:r>
      <w:r>
        <w:t>.  If they</w:t>
      </w:r>
      <w:r w:rsidR="0086077C">
        <w:t xml:space="preserve">, the user is </w:t>
      </w:r>
      <w:r>
        <w:t>after speed, then symmetrical encryption would be perfect but would need a 3</w:t>
      </w:r>
      <w:r w:rsidRPr="037C1160">
        <w:rPr>
          <w:vertAlign w:val="superscript"/>
        </w:rPr>
        <w:t>rd</w:t>
      </w:r>
      <w:r>
        <w:t xml:space="preserve"> party to</w:t>
      </w:r>
      <w:r w:rsidR="00B754D8">
        <w:t xml:space="preserve"> help</w:t>
      </w:r>
      <w:r>
        <w:t xml:space="preserve"> prevent nonrepudiation. Using older technologies like DES would be pointless as it has already been broken but using newer such as AES which has yet to be successfully broken, or 3DES.</w:t>
      </w:r>
    </w:p>
    <w:p w14:paraId="0057332E" w14:textId="02C2A126" w:rsidR="037C1160" w:rsidRDefault="037C1160" w:rsidP="037C1160">
      <w:pPr>
        <w:pStyle w:val="BodyText1"/>
      </w:pPr>
    </w:p>
    <w:p w14:paraId="5039B30A" w14:textId="3DE90824" w:rsidR="037C1160" w:rsidRDefault="037C1160" w:rsidP="037C1160">
      <w:pPr>
        <w:pStyle w:val="BodyText1"/>
      </w:pPr>
      <w:r>
        <w:t xml:space="preserve">Asymmetrical encryption trades off against the main advantage of symmetrical encryption (speed) and introduces nonrepudiation as a feature. RSA is the current standard but ECC offers smaller key sizes to trade off against the speed element. There are risks associated with ECC as there are certain curves that cause issues and should be avoided. NSA are also moving away from ECC. Digital signatures can be used in symmetrical encryption to </w:t>
      </w:r>
      <w:r w:rsidR="0086077C">
        <w:t>mitigate</w:t>
      </w:r>
      <w:r>
        <w:t xml:space="preserve"> the non-</w:t>
      </w:r>
      <w:r w:rsidR="0086077C">
        <w:t>repudiation</w:t>
      </w:r>
      <w:r>
        <w:t xml:space="preserve"> element.</w:t>
      </w:r>
    </w:p>
    <w:p w14:paraId="42AE6385" w14:textId="734A0F97" w:rsidR="037C1160" w:rsidRDefault="037C1160" w:rsidP="037C1160">
      <w:pPr>
        <w:pStyle w:val="BodyText1"/>
      </w:pPr>
    </w:p>
    <w:p w14:paraId="4BAAF78C" w14:textId="0A294B86" w:rsidR="037C1160" w:rsidRDefault="00B754D8" w:rsidP="037C1160">
      <w:pPr>
        <w:pStyle w:val="BodyText1"/>
      </w:pPr>
      <w:r>
        <w:lastRenderedPageBreak/>
        <w:t>In short, d</w:t>
      </w:r>
      <w:r w:rsidR="037C1160">
        <w:t>epending on the task requirement, it would be prudent to select the method of encryption based on the business needs of the user.</w:t>
      </w:r>
    </w:p>
    <w:p w14:paraId="6D430A60" w14:textId="3FF1F5A4" w:rsidR="00C22198" w:rsidRDefault="00C22198" w:rsidP="037C1160">
      <w:pPr>
        <w:pStyle w:val="BodyText1"/>
      </w:pPr>
    </w:p>
    <w:p w14:paraId="183307C7" w14:textId="77777777" w:rsidR="00904B4C" w:rsidRDefault="00904B4C">
      <w:pPr>
        <w:spacing w:before="0" w:after="0" w:line="240" w:lineRule="auto"/>
        <w:rPr>
          <w:b/>
          <w:bCs/>
          <w:sz w:val="20"/>
        </w:rPr>
      </w:pPr>
      <w:r>
        <w:rPr>
          <w:b/>
          <w:bCs/>
        </w:rPr>
        <w:br w:type="page"/>
      </w:r>
    </w:p>
    <w:p w14:paraId="5770D987" w14:textId="77777777" w:rsidR="0030227A" w:rsidRDefault="003F1472" w:rsidP="037C1160">
      <w:pPr>
        <w:pStyle w:val="BodyText1"/>
        <w:rPr>
          <w:noProof/>
          <w:szCs w:val="20"/>
        </w:rPr>
      </w:pPr>
      <w:r w:rsidRPr="00904B4C">
        <w:rPr>
          <w:b/>
          <w:bCs/>
          <w:szCs w:val="20"/>
        </w:rPr>
        <w:lastRenderedPageBreak/>
        <w:t>References</w:t>
      </w:r>
      <w:r w:rsidRPr="00904B4C">
        <w:rPr>
          <w:noProof/>
          <w:szCs w:val="20"/>
        </w:rPr>
        <w:fldChar w:fldCharType="begin"/>
      </w:r>
      <w:r w:rsidRPr="00904B4C">
        <w:rPr>
          <w:noProof/>
          <w:szCs w:val="20"/>
        </w:rPr>
        <w:instrText xml:space="preserve"> BIBLIOGRAPHY  \l 2057 </w:instrText>
      </w:r>
      <w:r w:rsidRPr="00904B4C">
        <w:rPr>
          <w:noProof/>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760"/>
      </w:tblGrid>
      <w:tr w:rsidR="0030227A" w14:paraId="7C7EEBB2" w14:textId="77777777">
        <w:trPr>
          <w:divId w:val="2012098850"/>
          <w:tblCellSpacing w:w="15" w:type="dxa"/>
        </w:trPr>
        <w:tc>
          <w:tcPr>
            <w:tcW w:w="50" w:type="pct"/>
            <w:hideMark/>
          </w:tcPr>
          <w:p w14:paraId="73443D90" w14:textId="1185DCB5" w:rsidR="0030227A" w:rsidRDefault="0030227A">
            <w:pPr>
              <w:pStyle w:val="Bibliography"/>
              <w:rPr>
                <w:noProof/>
                <w:sz w:val="24"/>
                <w:szCs w:val="24"/>
              </w:rPr>
            </w:pPr>
            <w:r>
              <w:rPr>
                <w:noProof/>
              </w:rPr>
              <w:t xml:space="preserve">[1] </w:t>
            </w:r>
          </w:p>
        </w:tc>
        <w:tc>
          <w:tcPr>
            <w:tcW w:w="0" w:type="auto"/>
            <w:hideMark/>
          </w:tcPr>
          <w:p w14:paraId="1BFAB859" w14:textId="77777777" w:rsidR="0030227A" w:rsidRDefault="0030227A">
            <w:pPr>
              <w:pStyle w:val="Bibliography"/>
              <w:rPr>
                <w:noProof/>
              </w:rPr>
            </w:pPr>
            <w:r>
              <w:rPr>
                <w:noProof/>
              </w:rPr>
              <w:t>Margaret Rouse, “Recovering from ransomware: Defend your data with best practices,” techtarget, October 2019. [Online]. Available: https://searchsecurity.techtarget.com/definition/encryption. [Accessed 06 December 2019].</w:t>
            </w:r>
          </w:p>
        </w:tc>
      </w:tr>
      <w:tr w:rsidR="0030227A" w14:paraId="6A0D7726" w14:textId="77777777">
        <w:trPr>
          <w:divId w:val="2012098850"/>
          <w:tblCellSpacing w:w="15" w:type="dxa"/>
        </w:trPr>
        <w:tc>
          <w:tcPr>
            <w:tcW w:w="50" w:type="pct"/>
            <w:hideMark/>
          </w:tcPr>
          <w:p w14:paraId="2C2502CD" w14:textId="77777777" w:rsidR="0030227A" w:rsidRDefault="0030227A">
            <w:pPr>
              <w:pStyle w:val="Bibliography"/>
              <w:rPr>
                <w:noProof/>
              </w:rPr>
            </w:pPr>
            <w:r>
              <w:rPr>
                <w:noProof/>
              </w:rPr>
              <w:t xml:space="preserve">[2] </w:t>
            </w:r>
          </w:p>
        </w:tc>
        <w:tc>
          <w:tcPr>
            <w:tcW w:w="0" w:type="auto"/>
            <w:hideMark/>
          </w:tcPr>
          <w:p w14:paraId="22E9451F" w14:textId="77777777" w:rsidR="0030227A" w:rsidRDefault="0030227A">
            <w:pPr>
              <w:pStyle w:val="Bibliography"/>
              <w:rPr>
                <w:noProof/>
              </w:rPr>
            </w:pPr>
            <w:r>
              <w:rPr>
                <w:noProof/>
              </w:rPr>
              <w:t xml:space="preserve">Michel Abdalla, M. Bellare and G. Neven, “Robust Encryption,” </w:t>
            </w:r>
            <w:r>
              <w:rPr>
                <w:i/>
                <w:iCs/>
                <w:noProof/>
              </w:rPr>
              <w:t xml:space="preserve">Journal of Cryptography, </w:t>
            </w:r>
            <w:r>
              <w:rPr>
                <w:noProof/>
              </w:rPr>
              <w:t xml:space="preserve">vol. 31, no. 2, p. 308, 2017. </w:t>
            </w:r>
          </w:p>
        </w:tc>
      </w:tr>
      <w:tr w:rsidR="0030227A" w14:paraId="342F0896" w14:textId="77777777">
        <w:trPr>
          <w:divId w:val="2012098850"/>
          <w:tblCellSpacing w:w="15" w:type="dxa"/>
        </w:trPr>
        <w:tc>
          <w:tcPr>
            <w:tcW w:w="50" w:type="pct"/>
            <w:hideMark/>
          </w:tcPr>
          <w:p w14:paraId="21A0D22F" w14:textId="77777777" w:rsidR="0030227A" w:rsidRDefault="0030227A">
            <w:pPr>
              <w:pStyle w:val="Bibliography"/>
              <w:rPr>
                <w:noProof/>
              </w:rPr>
            </w:pPr>
            <w:r>
              <w:rPr>
                <w:noProof/>
              </w:rPr>
              <w:t xml:space="preserve">[3] </w:t>
            </w:r>
          </w:p>
        </w:tc>
        <w:tc>
          <w:tcPr>
            <w:tcW w:w="0" w:type="auto"/>
            <w:hideMark/>
          </w:tcPr>
          <w:p w14:paraId="31AC25B3" w14:textId="77777777" w:rsidR="0030227A" w:rsidRDefault="0030227A">
            <w:pPr>
              <w:pStyle w:val="Bibliography"/>
              <w:rPr>
                <w:noProof/>
              </w:rPr>
            </w:pPr>
            <w:r>
              <w:rPr>
                <w:noProof/>
              </w:rPr>
              <w:t xml:space="preserve">N. Gakbreath, “Public Key Cryptography,” in </w:t>
            </w:r>
            <w:r>
              <w:rPr>
                <w:i/>
                <w:iCs/>
                <w:noProof/>
              </w:rPr>
              <w:t>Crypotgraphy for Internet and Database Applications</w:t>
            </w:r>
            <w:r>
              <w:rPr>
                <w:noProof/>
              </w:rPr>
              <w:t>, Bob Ipsen, 2002, p. 91.</w:t>
            </w:r>
          </w:p>
        </w:tc>
      </w:tr>
      <w:tr w:rsidR="0030227A" w14:paraId="07BF475B" w14:textId="77777777">
        <w:trPr>
          <w:divId w:val="2012098850"/>
          <w:tblCellSpacing w:w="15" w:type="dxa"/>
        </w:trPr>
        <w:tc>
          <w:tcPr>
            <w:tcW w:w="50" w:type="pct"/>
            <w:hideMark/>
          </w:tcPr>
          <w:p w14:paraId="0B69440D" w14:textId="77777777" w:rsidR="0030227A" w:rsidRDefault="0030227A">
            <w:pPr>
              <w:pStyle w:val="Bibliography"/>
              <w:rPr>
                <w:noProof/>
              </w:rPr>
            </w:pPr>
            <w:r>
              <w:rPr>
                <w:noProof/>
              </w:rPr>
              <w:t xml:space="preserve">[4] </w:t>
            </w:r>
          </w:p>
        </w:tc>
        <w:tc>
          <w:tcPr>
            <w:tcW w:w="0" w:type="auto"/>
            <w:hideMark/>
          </w:tcPr>
          <w:p w14:paraId="60646D3B" w14:textId="77777777" w:rsidR="0030227A" w:rsidRDefault="0030227A">
            <w:pPr>
              <w:pStyle w:val="Bibliography"/>
              <w:rPr>
                <w:noProof/>
              </w:rPr>
            </w:pPr>
            <w:r>
              <w:rPr>
                <w:noProof/>
              </w:rPr>
              <w:t xml:space="preserve">S. O. L. M.-H. Hwang, “Efficient certificate-based encryption and hieracical certificate-based encryption schemes in the standard model,” </w:t>
            </w:r>
            <w:r>
              <w:rPr>
                <w:i/>
                <w:iCs/>
                <w:noProof/>
              </w:rPr>
              <w:t xml:space="preserve">Journal of Intelligent &amp; Fuzzy Systems, </w:t>
            </w:r>
            <w:r>
              <w:rPr>
                <w:noProof/>
              </w:rPr>
              <w:t xml:space="preserve">vol. 35, no. 6, p. 201, 2018. </w:t>
            </w:r>
          </w:p>
        </w:tc>
      </w:tr>
      <w:tr w:rsidR="0030227A" w14:paraId="6E02270F" w14:textId="77777777">
        <w:trPr>
          <w:divId w:val="2012098850"/>
          <w:tblCellSpacing w:w="15" w:type="dxa"/>
        </w:trPr>
        <w:tc>
          <w:tcPr>
            <w:tcW w:w="50" w:type="pct"/>
            <w:hideMark/>
          </w:tcPr>
          <w:p w14:paraId="50211625" w14:textId="77777777" w:rsidR="0030227A" w:rsidRDefault="0030227A">
            <w:pPr>
              <w:pStyle w:val="Bibliography"/>
              <w:rPr>
                <w:noProof/>
              </w:rPr>
            </w:pPr>
            <w:r>
              <w:rPr>
                <w:noProof/>
              </w:rPr>
              <w:t xml:space="preserve">[5] </w:t>
            </w:r>
          </w:p>
        </w:tc>
        <w:tc>
          <w:tcPr>
            <w:tcW w:w="0" w:type="auto"/>
            <w:hideMark/>
          </w:tcPr>
          <w:p w14:paraId="205B6A1A" w14:textId="77777777" w:rsidR="0030227A" w:rsidRDefault="0030227A">
            <w:pPr>
              <w:pStyle w:val="Bibliography"/>
              <w:rPr>
                <w:noProof/>
              </w:rPr>
            </w:pPr>
            <w:r>
              <w:rPr>
                <w:noProof/>
              </w:rPr>
              <w:t>M. Arora, “How secure is AES against brute force attacks?,” EE Times, 05 July 2012. [Online]. Available: https://www.eetimes.com/how-secure-is-aes-against-brute-force-attacks/. [Accessed 01 Dec 2019].</w:t>
            </w:r>
          </w:p>
        </w:tc>
      </w:tr>
      <w:tr w:rsidR="0030227A" w14:paraId="780EE30E" w14:textId="77777777">
        <w:trPr>
          <w:divId w:val="2012098850"/>
          <w:tblCellSpacing w:w="15" w:type="dxa"/>
        </w:trPr>
        <w:tc>
          <w:tcPr>
            <w:tcW w:w="50" w:type="pct"/>
            <w:hideMark/>
          </w:tcPr>
          <w:p w14:paraId="63A14C74" w14:textId="77777777" w:rsidR="0030227A" w:rsidRDefault="0030227A">
            <w:pPr>
              <w:pStyle w:val="Bibliography"/>
              <w:rPr>
                <w:noProof/>
              </w:rPr>
            </w:pPr>
            <w:r>
              <w:rPr>
                <w:noProof/>
              </w:rPr>
              <w:t xml:space="preserve">[6] </w:t>
            </w:r>
          </w:p>
        </w:tc>
        <w:tc>
          <w:tcPr>
            <w:tcW w:w="0" w:type="auto"/>
            <w:hideMark/>
          </w:tcPr>
          <w:p w14:paraId="3DFEEE75" w14:textId="77777777" w:rsidR="0030227A" w:rsidRDefault="0030227A">
            <w:pPr>
              <w:pStyle w:val="Bibliography"/>
              <w:rPr>
                <w:noProof/>
              </w:rPr>
            </w:pPr>
            <w:r>
              <w:rPr>
                <w:noProof/>
              </w:rPr>
              <w:t>M. Rouse, M. Cobb, L. Biasc, L. Granum and F. Rundatz, “Data Encryption Standard (DES),” Tech Target, 01 Nov 2014. [Online]. Available: https://searchsecurity.techtarget.com/definition/Data-Encryption-Standard. [Accessed 02 Dec 2019].</w:t>
            </w:r>
          </w:p>
        </w:tc>
      </w:tr>
      <w:tr w:rsidR="0030227A" w14:paraId="0FA7E243" w14:textId="77777777">
        <w:trPr>
          <w:divId w:val="2012098850"/>
          <w:tblCellSpacing w:w="15" w:type="dxa"/>
        </w:trPr>
        <w:tc>
          <w:tcPr>
            <w:tcW w:w="50" w:type="pct"/>
            <w:hideMark/>
          </w:tcPr>
          <w:p w14:paraId="6E298725" w14:textId="77777777" w:rsidR="0030227A" w:rsidRDefault="0030227A">
            <w:pPr>
              <w:pStyle w:val="Bibliography"/>
              <w:rPr>
                <w:noProof/>
              </w:rPr>
            </w:pPr>
            <w:r>
              <w:rPr>
                <w:noProof/>
              </w:rPr>
              <w:t xml:space="preserve">[7] </w:t>
            </w:r>
          </w:p>
        </w:tc>
        <w:tc>
          <w:tcPr>
            <w:tcW w:w="0" w:type="auto"/>
            <w:hideMark/>
          </w:tcPr>
          <w:p w14:paraId="4A328868" w14:textId="77777777" w:rsidR="0030227A" w:rsidRDefault="0030227A">
            <w:pPr>
              <w:pStyle w:val="Bibliography"/>
              <w:rPr>
                <w:noProof/>
              </w:rPr>
            </w:pPr>
            <w:r>
              <w:rPr>
                <w:noProof/>
              </w:rPr>
              <w:t xml:space="preserve">V. Stolbikova, “Can Elliptic Curve technology Be Trusted,” </w:t>
            </w:r>
            <w:r>
              <w:rPr>
                <w:i/>
                <w:iCs/>
                <w:noProof/>
              </w:rPr>
              <w:t xml:space="preserve">ISACA Journal, </w:t>
            </w:r>
            <w:r>
              <w:rPr>
                <w:noProof/>
              </w:rPr>
              <w:t xml:space="preserve">vol. 3, no. 2, p. 2, 2016. </w:t>
            </w:r>
          </w:p>
        </w:tc>
      </w:tr>
      <w:tr w:rsidR="0030227A" w14:paraId="454A2680" w14:textId="77777777">
        <w:trPr>
          <w:divId w:val="2012098850"/>
          <w:tblCellSpacing w:w="15" w:type="dxa"/>
        </w:trPr>
        <w:tc>
          <w:tcPr>
            <w:tcW w:w="50" w:type="pct"/>
            <w:hideMark/>
          </w:tcPr>
          <w:p w14:paraId="369FEE12" w14:textId="77777777" w:rsidR="0030227A" w:rsidRDefault="0030227A">
            <w:pPr>
              <w:pStyle w:val="Bibliography"/>
              <w:rPr>
                <w:noProof/>
              </w:rPr>
            </w:pPr>
            <w:r>
              <w:rPr>
                <w:noProof/>
              </w:rPr>
              <w:t xml:space="preserve">[8] </w:t>
            </w:r>
          </w:p>
        </w:tc>
        <w:tc>
          <w:tcPr>
            <w:tcW w:w="0" w:type="auto"/>
            <w:hideMark/>
          </w:tcPr>
          <w:p w14:paraId="307CF830" w14:textId="77777777" w:rsidR="0030227A" w:rsidRDefault="0030227A">
            <w:pPr>
              <w:pStyle w:val="Bibliography"/>
              <w:rPr>
                <w:noProof/>
              </w:rPr>
            </w:pPr>
            <w:r>
              <w:rPr>
                <w:noProof/>
              </w:rPr>
              <w:t>M. Rouse, “Diffie-Hellman key exchange (exponential key exchange),” Techtarget, 01 Mar 2019. [Online]. Available: https://searchsecurity.techtarget.com/definition/Diffie-Hellman-key-exchange. [Accessed 03 Dec 2019].</w:t>
            </w:r>
            <w:bookmarkStart w:id="0" w:name="_GoBack"/>
            <w:bookmarkEnd w:id="0"/>
          </w:p>
        </w:tc>
      </w:tr>
    </w:tbl>
    <w:p w14:paraId="48B3C6E7" w14:textId="77777777" w:rsidR="0030227A" w:rsidRDefault="0030227A">
      <w:pPr>
        <w:divId w:val="2012098850"/>
        <w:rPr>
          <w:rFonts w:eastAsia="Times New Roman"/>
          <w:noProof/>
        </w:rPr>
      </w:pPr>
    </w:p>
    <w:p w14:paraId="48BB77CC" w14:textId="5B90CAB5" w:rsidR="00C22198" w:rsidRDefault="003F1472" w:rsidP="037C1160">
      <w:pPr>
        <w:pStyle w:val="BodyText1"/>
      </w:pPr>
      <w:r w:rsidRPr="00904B4C">
        <w:rPr>
          <w:szCs w:val="20"/>
        </w:rPr>
        <w:fldChar w:fldCharType="end"/>
      </w:r>
    </w:p>
    <w:p w14:paraId="2B0C26EE" w14:textId="77777777" w:rsidR="003F1472" w:rsidRDefault="003F1472" w:rsidP="037C1160">
      <w:pPr>
        <w:pStyle w:val="BodyText1"/>
      </w:pPr>
    </w:p>
    <w:p w14:paraId="5633C090" w14:textId="77777777" w:rsidR="00C22198" w:rsidRDefault="00C22198" w:rsidP="037C1160">
      <w:pPr>
        <w:pStyle w:val="BodyText1"/>
      </w:pPr>
    </w:p>
    <w:p w14:paraId="78ABB83F" w14:textId="58F92C13" w:rsidR="037C1160" w:rsidRDefault="037C1160" w:rsidP="037C1160">
      <w:pPr>
        <w:pStyle w:val="BodyText1"/>
      </w:pPr>
    </w:p>
    <w:sectPr w:rsidR="037C1160" w:rsidSect="008C4307">
      <w:headerReference w:type="default" r:id="rId15"/>
      <w:footerReference w:type="default" r:id="rId16"/>
      <w:headerReference w:type="first" r:id="rId17"/>
      <w:footerReference w:type="first" r:id="rId18"/>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ED6167" w:rsidRDefault="00ED6167" w:rsidP="0090659A">
      <w:pPr>
        <w:spacing w:after="0" w:line="240" w:lineRule="auto"/>
      </w:pPr>
      <w:r>
        <w:separator/>
      </w:r>
    </w:p>
    <w:p w14:paraId="24EEA009" w14:textId="77777777" w:rsidR="00ED6167" w:rsidRDefault="00ED6167"/>
    <w:p w14:paraId="717E4984" w14:textId="77777777" w:rsidR="00ED6167" w:rsidRDefault="00ED6167"/>
    <w:p w14:paraId="14D73B67" w14:textId="77777777" w:rsidR="00ED6167" w:rsidRDefault="00ED6167"/>
    <w:p w14:paraId="200E8801" w14:textId="77777777" w:rsidR="00ED6167" w:rsidRDefault="00ED6167"/>
  </w:endnote>
  <w:endnote w:type="continuationSeparator" w:id="0">
    <w:p w14:paraId="3987911C" w14:textId="77777777" w:rsidR="00ED6167" w:rsidRDefault="00ED6167" w:rsidP="0090659A">
      <w:pPr>
        <w:spacing w:after="0" w:line="240" w:lineRule="auto"/>
      </w:pPr>
      <w:r>
        <w:continuationSeparator/>
      </w:r>
    </w:p>
    <w:p w14:paraId="20D6A24F" w14:textId="77777777" w:rsidR="00ED6167" w:rsidRDefault="00ED6167"/>
    <w:p w14:paraId="651D80F2" w14:textId="77777777" w:rsidR="00ED6167" w:rsidRDefault="00ED6167"/>
    <w:p w14:paraId="37E8B25C" w14:textId="77777777" w:rsidR="00ED6167" w:rsidRDefault="00ED6167"/>
    <w:p w14:paraId="750F4338" w14:textId="77777777" w:rsidR="00ED6167" w:rsidRDefault="00ED6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ED6167" w:rsidRDefault="00ED6167" w:rsidP="0090659A">
      <w:pPr>
        <w:spacing w:after="0" w:line="240" w:lineRule="auto"/>
      </w:pPr>
      <w:r>
        <w:separator/>
      </w:r>
    </w:p>
    <w:p w14:paraId="2B5EFAD4" w14:textId="77777777" w:rsidR="00ED6167" w:rsidRDefault="00ED6167"/>
    <w:p w14:paraId="75C95A39" w14:textId="77777777" w:rsidR="00ED6167" w:rsidRDefault="00ED6167"/>
    <w:p w14:paraId="48973A49" w14:textId="77777777" w:rsidR="00ED6167" w:rsidRDefault="00ED6167"/>
    <w:p w14:paraId="6CA3ECD7" w14:textId="77777777" w:rsidR="00ED6167" w:rsidRDefault="00ED6167"/>
  </w:footnote>
  <w:footnote w:type="continuationSeparator" w:id="0">
    <w:p w14:paraId="15537D35" w14:textId="77777777" w:rsidR="00ED6167" w:rsidRDefault="00ED6167" w:rsidP="0090659A">
      <w:pPr>
        <w:spacing w:after="0" w:line="240" w:lineRule="auto"/>
      </w:pPr>
      <w:r>
        <w:continuationSeparator/>
      </w:r>
    </w:p>
    <w:p w14:paraId="3EF715BF" w14:textId="77777777" w:rsidR="00ED6167" w:rsidRDefault="00ED6167"/>
    <w:p w14:paraId="280A22C5" w14:textId="77777777" w:rsidR="00ED6167" w:rsidRDefault="00ED6167"/>
    <w:p w14:paraId="27E4A600" w14:textId="77777777" w:rsidR="00ED6167" w:rsidRDefault="00ED6167"/>
    <w:p w14:paraId="09C11DF4" w14:textId="77777777" w:rsidR="00ED6167" w:rsidRDefault="00ED61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2DE3"/>
    <w:rsid w:val="00055ED3"/>
    <w:rsid w:val="00060696"/>
    <w:rsid w:val="0006189F"/>
    <w:rsid w:val="00063765"/>
    <w:rsid w:val="000769CF"/>
    <w:rsid w:val="000815D8"/>
    <w:rsid w:val="00085CC6"/>
    <w:rsid w:val="00090C07"/>
    <w:rsid w:val="00091E8D"/>
    <w:rsid w:val="00091ECF"/>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27A"/>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36CD"/>
    <w:rsid w:val="003A55AB"/>
    <w:rsid w:val="003A5705"/>
    <w:rsid w:val="003B35EF"/>
    <w:rsid w:val="003B46FC"/>
    <w:rsid w:val="003B4DC5"/>
    <w:rsid w:val="003B5767"/>
    <w:rsid w:val="003B7605"/>
    <w:rsid w:val="003C6BCA"/>
    <w:rsid w:val="003C7902"/>
    <w:rsid w:val="003D0BFF"/>
    <w:rsid w:val="003E3446"/>
    <w:rsid w:val="003E5BE5"/>
    <w:rsid w:val="003F1472"/>
    <w:rsid w:val="003F18D1"/>
    <w:rsid w:val="003F212B"/>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00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8C4"/>
    <w:rsid w:val="00495B13"/>
    <w:rsid w:val="004A1CA0"/>
    <w:rsid w:val="004A22E9"/>
    <w:rsid w:val="004A4ACD"/>
    <w:rsid w:val="004A5BC5"/>
    <w:rsid w:val="004B023D"/>
    <w:rsid w:val="004B3D3B"/>
    <w:rsid w:val="004B57B2"/>
    <w:rsid w:val="004C0909"/>
    <w:rsid w:val="004C3F97"/>
    <w:rsid w:val="004C79A4"/>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671B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44A"/>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B615F"/>
    <w:rsid w:val="006C19B2"/>
    <w:rsid w:val="006C30A0"/>
    <w:rsid w:val="006C35FF"/>
    <w:rsid w:val="006C57F2"/>
    <w:rsid w:val="006C5949"/>
    <w:rsid w:val="006C6832"/>
    <w:rsid w:val="006D1370"/>
    <w:rsid w:val="006D1780"/>
    <w:rsid w:val="006D2C28"/>
    <w:rsid w:val="006D3FC1"/>
    <w:rsid w:val="006D59E3"/>
    <w:rsid w:val="006E6581"/>
    <w:rsid w:val="006E6F1F"/>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74997"/>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220"/>
    <w:rsid w:val="007D1984"/>
    <w:rsid w:val="007D24F6"/>
    <w:rsid w:val="007D2AFE"/>
    <w:rsid w:val="007E3FEA"/>
    <w:rsid w:val="007E7BB4"/>
    <w:rsid w:val="007F0A0B"/>
    <w:rsid w:val="007F3A60"/>
    <w:rsid w:val="007F3D0B"/>
    <w:rsid w:val="007F7B62"/>
    <w:rsid w:val="007F7C94"/>
    <w:rsid w:val="00800483"/>
    <w:rsid w:val="0080126B"/>
    <w:rsid w:val="00803BE2"/>
    <w:rsid w:val="0080489E"/>
    <w:rsid w:val="00810E4B"/>
    <w:rsid w:val="008122B7"/>
    <w:rsid w:val="00814277"/>
    <w:rsid w:val="00814BAA"/>
    <w:rsid w:val="00823795"/>
    <w:rsid w:val="00824295"/>
    <w:rsid w:val="00824D12"/>
    <w:rsid w:val="008313F3"/>
    <w:rsid w:val="008405BB"/>
    <w:rsid w:val="00842769"/>
    <w:rsid w:val="00846494"/>
    <w:rsid w:val="00847B20"/>
    <w:rsid w:val="008509D3"/>
    <w:rsid w:val="00853418"/>
    <w:rsid w:val="00857CF6"/>
    <w:rsid w:val="0086077C"/>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4B4C"/>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73561"/>
    <w:rsid w:val="0098155C"/>
    <w:rsid w:val="00982200"/>
    <w:rsid w:val="009833DD"/>
    <w:rsid w:val="00983B77"/>
    <w:rsid w:val="00986919"/>
    <w:rsid w:val="00991D88"/>
    <w:rsid w:val="00993914"/>
    <w:rsid w:val="00995B58"/>
    <w:rsid w:val="00996053"/>
    <w:rsid w:val="00996B03"/>
    <w:rsid w:val="009A0B2F"/>
    <w:rsid w:val="009A1CF4"/>
    <w:rsid w:val="009A37D7"/>
    <w:rsid w:val="009A4E17"/>
    <w:rsid w:val="009A553D"/>
    <w:rsid w:val="009A6955"/>
    <w:rsid w:val="009B0B6D"/>
    <w:rsid w:val="009B341C"/>
    <w:rsid w:val="009B5747"/>
    <w:rsid w:val="009C1F26"/>
    <w:rsid w:val="009C213F"/>
    <w:rsid w:val="009D2C27"/>
    <w:rsid w:val="009D5272"/>
    <w:rsid w:val="009D529C"/>
    <w:rsid w:val="009E2309"/>
    <w:rsid w:val="009E3C33"/>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366D"/>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0F"/>
    <w:rsid w:val="00B33D84"/>
    <w:rsid w:val="00B35151"/>
    <w:rsid w:val="00B433F2"/>
    <w:rsid w:val="00B458E8"/>
    <w:rsid w:val="00B5397B"/>
    <w:rsid w:val="00B62809"/>
    <w:rsid w:val="00B71853"/>
    <w:rsid w:val="00B754D8"/>
    <w:rsid w:val="00B7675A"/>
    <w:rsid w:val="00B76B38"/>
    <w:rsid w:val="00B81898"/>
    <w:rsid w:val="00B81F08"/>
    <w:rsid w:val="00B84B40"/>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28F3"/>
    <w:rsid w:val="00BD2B85"/>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2198"/>
    <w:rsid w:val="00C23E16"/>
    <w:rsid w:val="00C27E37"/>
    <w:rsid w:val="00C30D12"/>
    <w:rsid w:val="00C32713"/>
    <w:rsid w:val="00C351B8"/>
    <w:rsid w:val="00C410D9"/>
    <w:rsid w:val="00C44CE4"/>
    <w:rsid w:val="00C44DB7"/>
    <w:rsid w:val="00C4510A"/>
    <w:rsid w:val="00C47218"/>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963A4"/>
    <w:rsid w:val="00CA72B2"/>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102D"/>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6A91"/>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12D4"/>
    <w:rsid w:val="00F75533"/>
    <w:rsid w:val="00F759A3"/>
    <w:rsid w:val="00F76ED8"/>
    <w:rsid w:val="00F923FE"/>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265A"/>
    <w:rsid w:val="00FD33AB"/>
    <w:rsid w:val="00FD4724"/>
    <w:rsid w:val="00FD4A68"/>
    <w:rsid w:val="00FD68ED"/>
    <w:rsid w:val="00FE2824"/>
    <w:rsid w:val="00FE661F"/>
    <w:rsid w:val="00FF0400"/>
    <w:rsid w:val="00FF3D6B"/>
    <w:rsid w:val="037C1160"/>
    <w:rsid w:val="720E21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character" w:styleId="UnresolvedMention">
    <w:name w:val="Unresolved Mention"/>
    <w:basedOn w:val="DefaultParagraphFont"/>
    <w:uiPriority w:val="99"/>
    <w:semiHidden/>
    <w:unhideWhenUsed/>
    <w:rsid w:val="00F923FE"/>
    <w:rPr>
      <w:color w:val="605E5C"/>
      <w:shd w:val="clear" w:color="auto" w:fill="E1DFDD"/>
    </w:rPr>
  </w:style>
  <w:style w:type="paragraph" w:styleId="Bibliography">
    <w:name w:val="Bibliography"/>
    <w:basedOn w:val="Normal"/>
    <w:next w:val="Normal"/>
    <w:uiPriority w:val="37"/>
    <w:unhideWhenUsed/>
    <w:rsid w:val="003F14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88317">
      <w:bodyDiv w:val="1"/>
      <w:marLeft w:val="0"/>
      <w:marRight w:val="0"/>
      <w:marTop w:val="0"/>
      <w:marBottom w:val="0"/>
      <w:divBdr>
        <w:top w:val="none" w:sz="0" w:space="0" w:color="auto"/>
        <w:left w:val="none" w:sz="0" w:space="0" w:color="auto"/>
        <w:bottom w:val="none" w:sz="0" w:space="0" w:color="auto"/>
        <w:right w:val="none" w:sz="0" w:space="0" w:color="auto"/>
      </w:divBdr>
    </w:div>
    <w:div w:id="33893865">
      <w:bodyDiv w:val="1"/>
      <w:marLeft w:val="0"/>
      <w:marRight w:val="0"/>
      <w:marTop w:val="0"/>
      <w:marBottom w:val="0"/>
      <w:divBdr>
        <w:top w:val="none" w:sz="0" w:space="0" w:color="auto"/>
        <w:left w:val="none" w:sz="0" w:space="0" w:color="auto"/>
        <w:bottom w:val="none" w:sz="0" w:space="0" w:color="auto"/>
        <w:right w:val="none" w:sz="0" w:space="0" w:color="auto"/>
      </w:divBdr>
    </w:div>
    <w:div w:id="84035189">
      <w:bodyDiv w:val="1"/>
      <w:marLeft w:val="0"/>
      <w:marRight w:val="0"/>
      <w:marTop w:val="0"/>
      <w:marBottom w:val="0"/>
      <w:divBdr>
        <w:top w:val="none" w:sz="0" w:space="0" w:color="auto"/>
        <w:left w:val="none" w:sz="0" w:space="0" w:color="auto"/>
        <w:bottom w:val="none" w:sz="0" w:space="0" w:color="auto"/>
        <w:right w:val="none" w:sz="0" w:space="0" w:color="auto"/>
      </w:divBdr>
    </w:div>
    <w:div w:id="232086046">
      <w:bodyDiv w:val="1"/>
      <w:marLeft w:val="0"/>
      <w:marRight w:val="0"/>
      <w:marTop w:val="0"/>
      <w:marBottom w:val="0"/>
      <w:divBdr>
        <w:top w:val="none" w:sz="0" w:space="0" w:color="auto"/>
        <w:left w:val="none" w:sz="0" w:space="0" w:color="auto"/>
        <w:bottom w:val="none" w:sz="0" w:space="0" w:color="auto"/>
        <w:right w:val="none" w:sz="0" w:space="0" w:color="auto"/>
      </w:divBdr>
    </w:div>
    <w:div w:id="249701571">
      <w:bodyDiv w:val="1"/>
      <w:marLeft w:val="0"/>
      <w:marRight w:val="0"/>
      <w:marTop w:val="0"/>
      <w:marBottom w:val="0"/>
      <w:divBdr>
        <w:top w:val="none" w:sz="0" w:space="0" w:color="auto"/>
        <w:left w:val="none" w:sz="0" w:space="0" w:color="auto"/>
        <w:bottom w:val="none" w:sz="0" w:space="0" w:color="auto"/>
        <w:right w:val="none" w:sz="0" w:space="0" w:color="auto"/>
      </w:divBdr>
    </w:div>
    <w:div w:id="261884984">
      <w:bodyDiv w:val="1"/>
      <w:marLeft w:val="0"/>
      <w:marRight w:val="0"/>
      <w:marTop w:val="0"/>
      <w:marBottom w:val="0"/>
      <w:divBdr>
        <w:top w:val="none" w:sz="0" w:space="0" w:color="auto"/>
        <w:left w:val="none" w:sz="0" w:space="0" w:color="auto"/>
        <w:bottom w:val="none" w:sz="0" w:space="0" w:color="auto"/>
        <w:right w:val="none" w:sz="0" w:space="0" w:color="auto"/>
      </w:divBdr>
    </w:div>
    <w:div w:id="328991384">
      <w:bodyDiv w:val="1"/>
      <w:marLeft w:val="0"/>
      <w:marRight w:val="0"/>
      <w:marTop w:val="0"/>
      <w:marBottom w:val="0"/>
      <w:divBdr>
        <w:top w:val="none" w:sz="0" w:space="0" w:color="auto"/>
        <w:left w:val="none" w:sz="0" w:space="0" w:color="auto"/>
        <w:bottom w:val="none" w:sz="0" w:space="0" w:color="auto"/>
        <w:right w:val="none" w:sz="0" w:space="0" w:color="auto"/>
      </w:divBdr>
    </w:div>
    <w:div w:id="335888143">
      <w:bodyDiv w:val="1"/>
      <w:marLeft w:val="0"/>
      <w:marRight w:val="0"/>
      <w:marTop w:val="0"/>
      <w:marBottom w:val="0"/>
      <w:divBdr>
        <w:top w:val="none" w:sz="0" w:space="0" w:color="auto"/>
        <w:left w:val="none" w:sz="0" w:space="0" w:color="auto"/>
        <w:bottom w:val="none" w:sz="0" w:space="0" w:color="auto"/>
        <w:right w:val="none" w:sz="0" w:space="0" w:color="auto"/>
      </w:divBdr>
    </w:div>
    <w:div w:id="359818119">
      <w:bodyDiv w:val="1"/>
      <w:marLeft w:val="0"/>
      <w:marRight w:val="0"/>
      <w:marTop w:val="0"/>
      <w:marBottom w:val="0"/>
      <w:divBdr>
        <w:top w:val="none" w:sz="0" w:space="0" w:color="auto"/>
        <w:left w:val="none" w:sz="0" w:space="0" w:color="auto"/>
        <w:bottom w:val="none" w:sz="0" w:space="0" w:color="auto"/>
        <w:right w:val="none" w:sz="0" w:space="0" w:color="auto"/>
      </w:divBdr>
    </w:div>
    <w:div w:id="376927678">
      <w:bodyDiv w:val="1"/>
      <w:marLeft w:val="0"/>
      <w:marRight w:val="0"/>
      <w:marTop w:val="0"/>
      <w:marBottom w:val="0"/>
      <w:divBdr>
        <w:top w:val="none" w:sz="0" w:space="0" w:color="auto"/>
        <w:left w:val="none" w:sz="0" w:space="0" w:color="auto"/>
        <w:bottom w:val="none" w:sz="0" w:space="0" w:color="auto"/>
        <w:right w:val="none" w:sz="0" w:space="0" w:color="auto"/>
      </w:divBdr>
    </w:div>
    <w:div w:id="400909163">
      <w:bodyDiv w:val="1"/>
      <w:marLeft w:val="0"/>
      <w:marRight w:val="0"/>
      <w:marTop w:val="0"/>
      <w:marBottom w:val="0"/>
      <w:divBdr>
        <w:top w:val="none" w:sz="0" w:space="0" w:color="auto"/>
        <w:left w:val="none" w:sz="0" w:space="0" w:color="auto"/>
        <w:bottom w:val="none" w:sz="0" w:space="0" w:color="auto"/>
        <w:right w:val="none" w:sz="0" w:space="0" w:color="auto"/>
      </w:divBdr>
    </w:div>
    <w:div w:id="432288839">
      <w:bodyDiv w:val="1"/>
      <w:marLeft w:val="0"/>
      <w:marRight w:val="0"/>
      <w:marTop w:val="0"/>
      <w:marBottom w:val="0"/>
      <w:divBdr>
        <w:top w:val="none" w:sz="0" w:space="0" w:color="auto"/>
        <w:left w:val="none" w:sz="0" w:space="0" w:color="auto"/>
        <w:bottom w:val="none" w:sz="0" w:space="0" w:color="auto"/>
        <w:right w:val="none" w:sz="0" w:space="0" w:color="auto"/>
      </w:divBdr>
    </w:div>
    <w:div w:id="525680921">
      <w:bodyDiv w:val="1"/>
      <w:marLeft w:val="0"/>
      <w:marRight w:val="0"/>
      <w:marTop w:val="0"/>
      <w:marBottom w:val="0"/>
      <w:divBdr>
        <w:top w:val="none" w:sz="0" w:space="0" w:color="auto"/>
        <w:left w:val="none" w:sz="0" w:space="0" w:color="auto"/>
        <w:bottom w:val="none" w:sz="0" w:space="0" w:color="auto"/>
        <w:right w:val="none" w:sz="0" w:space="0" w:color="auto"/>
      </w:divBdr>
    </w:div>
    <w:div w:id="593826780">
      <w:bodyDiv w:val="1"/>
      <w:marLeft w:val="0"/>
      <w:marRight w:val="0"/>
      <w:marTop w:val="0"/>
      <w:marBottom w:val="0"/>
      <w:divBdr>
        <w:top w:val="none" w:sz="0" w:space="0" w:color="auto"/>
        <w:left w:val="none" w:sz="0" w:space="0" w:color="auto"/>
        <w:bottom w:val="none" w:sz="0" w:space="0" w:color="auto"/>
        <w:right w:val="none" w:sz="0" w:space="0" w:color="auto"/>
      </w:divBdr>
    </w:div>
    <w:div w:id="634876730">
      <w:bodyDiv w:val="1"/>
      <w:marLeft w:val="0"/>
      <w:marRight w:val="0"/>
      <w:marTop w:val="0"/>
      <w:marBottom w:val="0"/>
      <w:divBdr>
        <w:top w:val="none" w:sz="0" w:space="0" w:color="auto"/>
        <w:left w:val="none" w:sz="0" w:space="0" w:color="auto"/>
        <w:bottom w:val="none" w:sz="0" w:space="0" w:color="auto"/>
        <w:right w:val="none" w:sz="0" w:space="0" w:color="auto"/>
      </w:divBdr>
    </w:div>
    <w:div w:id="666784485">
      <w:bodyDiv w:val="1"/>
      <w:marLeft w:val="0"/>
      <w:marRight w:val="0"/>
      <w:marTop w:val="0"/>
      <w:marBottom w:val="0"/>
      <w:divBdr>
        <w:top w:val="none" w:sz="0" w:space="0" w:color="auto"/>
        <w:left w:val="none" w:sz="0" w:space="0" w:color="auto"/>
        <w:bottom w:val="none" w:sz="0" w:space="0" w:color="auto"/>
        <w:right w:val="none" w:sz="0" w:space="0" w:color="auto"/>
      </w:divBdr>
    </w:div>
    <w:div w:id="777405248">
      <w:bodyDiv w:val="1"/>
      <w:marLeft w:val="0"/>
      <w:marRight w:val="0"/>
      <w:marTop w:val="0"/>
      <w:marBottom w:val="0"/>
      <w:divBdr>
        <w:top w:val="none" w:sz="0" w:space="0" w:color="auto"/>
        <w:left w:val="none" w:sz="0" w:space="0" w:color="auto"/>
        <w:bottom w:val="none" w:sz="0" w:space="0" w:color="auto"/>
        <w:right w:val="none" w:sz="0" w:space="0" w:color="auto"/>
      </w:divBdr>
    </w:div>
    <w:div w:id="804352883">
      <w:bodyDiv w:val="1"/>
      <w:marLeft w:val="0"/>
      <w:marRight w:val="0"/>
      <w:marTop w:val="0"/>
      <w:marBottom w:val="0"/>
      <w:divBdr>
        <w:top w:val="none" w:sz="0" w:space="0" w:color="auto"/>
        <w:left w:val="none" w:sz="0" w:space="0" w:color="auto"/>
        <w:bottom w:val="none" w:sz="0" w:space="0" w:color="auto"/>
        <w:right w:val="none" w:sz="0" w:space="0" w:color="auto"/>
      </w:divBdr>
    </w:div>
    <w:div w:id="853609857">
      <w:bodyDiv w:val="1"/>
      <w:marLeft w:val="0"/>
      <w:marRight w:val="0"/>
      <w:marTop w:val="0"/>
      <w:marBottom w:val="0"/>
      <w:divBdr>
        <w:top w:val="none" w:sz="0" w:space="0" w:color="auto"/>
        <w:left w:val="none" w:sz="0" w:space="0" w:color="auto"/>
        <w:bottom w:val="none" w:sz="0" w:space="0" w:color="auto"/>
        <w:right w:val="none" w:sz="0" w:space="0" w:color="auto"/>
      </w:divBdr>
    </w:div>
    <w:div w:id="963775914">
      <w:bodyDiv w:val="1"/>
      <w:marLeft w:val="0"/>
      <w:marRight w:val="0"/>
      <w:marTop w:val="0"/>
      <w:marBottom w:val="0"/>
      <w:divBdr>
        <w:top w:val="none" w:sz="0" w:space="0" w:color="auto"/>
        <w:left w:val="none" w:sz="0" w:space="0" w:color="auto"/>
        <w:bottom w:val="none" w:sz="0" w:space="0" w:color="auto"/>
        <w:right w:val="none" w:sz="0" w:space="0" w:color="auto"/>
      </w:divBdr>
    </w:div>
    <w:div w:id="971325283">
      <w:bodyDiv w:val="1"/>
      <w:marLeft w:val="0"/>
      <w:marRight w:val="0"/>
      <w:marTop w:val="0"/>
      <w:marBottom w:val="0"/>
      <w:divBdr>
        <w:top w:val="none" w:sz="0" w:space="0" w:color="auto"/>
        <w:left w:val="none" w:sz="0" w:space="0" w:color="auto"/>
        <w:bottom w:val="none" w:sz="0" w:space="0" w:color="auto"/>
        <w:right w:val="none" w:sz="0" w:space="0" w:color="auto"/>
      </w:divBdr>
    </w:div>
    <w:div w:id="986513534">
      <w:bodyDiv w:val="1"/>
      <w:marLeft w:val="0"/>
      <w:marRight w:val="0"/>
      <w:marTop w:val="0"/>
      <w:marBottom w:val="0"/>
      <w:divBdr>
        <w:top w:val="none" w:sz="0" w:space="0" w:color="auto"/>
        <w:left w:val="none" w:sz="0" w:space="0" w:color="auto"/>
        <w:bottom w:val="none" w:sz="0" w:space="0" w:color="auto"/>
        <w:right w:val="none" w:sz="0" w:space="0" w:color="auto"/>
      </w:divBdr>
    </w:div>
    <w:div w:id="1036347633">
      <w:bodyDiv w:val="1"/>
      <w:marLeft w:val="0"/>
      <w:marRight w:val="0"/>
      <w:marTop w:val="0"/>
      <w:marBottom w:val="0"/>
      <w:divBdr>
        <w:top w:val="none" w:sz="0" w:space="0" w:color="auto"/>
        <w:left w:val="none" w:sz="0" w:space="0" w:color="auto"/>
        <w:bottom w:val="none" w:sz="0" w:space="0" w:color="auto"/>
        <w:right w:val="none" w:sz="0" w:space="0" w:color="auto"/>
      </w:divBdr>
    </w:div>
    <w:div w:id="1121920284">
      <w:bodyDiv w:val="1"/>
      <w:marLeft w:val="0"/>
      <w:marRight w:val="0"/>
      <w:marTop w:val="0"/>
      <w:marBottom w:val="0"/>
      <w:divBdr>
        <w:top w:val="none" w:sz="0" w:space="0" w:color="auto"/>
        <w:left w:val="none" w:sz="0" w:space="0" w:color="auto"/>
        <w:bottom w:val="none" w:sz="0" w:space="0" w:color="auto"/>
        <w:right w:val="none" w:sz="0" w:space="0" w:color="auto"/>
      </w:divBdr>
    </w:div>
    <w:div w:id="1147815485">
      <w:bodyDiv w:val="1"/>
      <w:marLeft w:val="0"/>
      <w:marRight w:val="0"/>
      <w:marTop w:val="0"/>
      <w:marBottom w:val="0"/>
      <w:divBdr>
        <w:top w:val="none" w:sz="0" w:space="0" w:color="auto"/>
        <w:left w:val="none" w:sz="0" w:space="0" w:color="auto"/>
        <w:bottom w:val="none" w:sz="0" w:space="0" w:color="auto"/>
        <w:right w:val="none" w:sz="0" w:space="0" w:color="auto"/>
      </w:divBdr>
    </w:div>
    <w:div w:id="1172835909">
      <w:bodyDiv w:val="1"/>
      <w:marLeft w:val="0"/>
      <w:marRight w:val="0"/>
      <w:marTop w:val="0"/>
      <w:marBottom w:val="0"/>
      <w:divBdr>
        <w:top w:val="none" w:sz="0" w:space="0" w:color="auto"/>
        <w:left w:val="none" w:sz="0" w:space="0" w:color="auto"/>
        <w:bottom w:val="none" w:sz="0" w:space="0" w:color="auto"/>
        <w:right w:val="none" w:sz="0" w:space="0" w:color="auto"/>
      </w:divBdr>
    </w:div>
    <w:div w:id="1176843468">
      <w:bodyDiv w:val="1"/>
      <w:marLeft w:val="0"/>
      <w:marRight w:val="0"/>
      <w:marTop w:val="0"/>
      <w:marBottom w:val="0"/>
      <w:divBdr>
        <w:top w:val="none" w:sz="0" w:space="0" w:color="auto"/>
        <w:left w:val="none" w:sz="0" w:space="0" w:color="auto"/>
        <w:bottom w:val="none" w:sz="0" w:space="0" w:color="auto"/>
        <w:right w:val="none" w:sz="0" w:space="0" w:color="auto"/>
      </w:divBdr>
    </w:div>
    <w:div w:id="1183518780">
      <w:bodyDiv w:val="1"/>
      <w:marLeft w:val="0"/>
      <w:marRight w:val="0"/>
      <w:marTop w:val="0"/>
      <w:marBottom w:val="0"/>
      <w:divBdr>
        <w:top w:val="none" w:sz="0" w:space="0" w:color="auto"/>
        <w:left w:val="none" w:sz="0" w:space="0" w:color="auto"/>
        <w:bottom w:val="none" w:sz="0" w:space="0" w:color="auto"/>
        <w:right w:val="none" w:sz="0" w:space="0" w:color="auto"/>
      </w:divBdr>
    </w:div>
    <w:div w:id="1194073200">
      <w:bodyDiv w:val="1"/>
      <w:marLeft w:val="0"/>
      <w:marRight w:val="0"/>
      <w:marTop w:val="0"/>
      <w:marBottom w:val="0"/>
      <w:divBdr>
        <w:top w:val="none" w:sz="0" w:space="0" w:color="auto"/>
        <w:left w:val="none" w:sz="0" w:space="0" w:color="auto"/>
        <w:bottom w:val="none" w:sz="0" w:space="0" w:color="auto"/>
        <w:right w:val="none" w:sz="0" w:space="0" w:color="auto"/>
      </w:divBdr>
    </w:div>
    <w:div w:id="1257791216">
      <w:bodyDiv w:val="1"/>
      <w:marLeft w:val="0"/>
      <w:marRight w:val="0"/>
      <w:marTop w:val="0"/>
      <w:marBottom w:val="0"/>
      <w:divBdr>
        <w:top w:val="none" w:sz="0" w:space="0" w:color="auto"/>
        <w:left w:val="none" w:sz="0" w:space="0" w:color="auto"/>
        <w:bottom w:val="none" w:sz="0" w:space="0" w:color="auto"/>
        <w:right w:val="none" w:sz="0" w:space="0" w:color="auto"/>
      </w:divBdr>
    </w:div>
    <w:div w:id="1263564101">
      <w:bodyDiv w:val="1"/>
      <w:marLeft w:val="0"/>
      <w:marRight w:val="0"/>
      <w:marTop w:val="0"/>
      <w:marBottom w:val="0"/>
      <w:divBdr>
        <w:top w:val="none" w:sz="0" w:space="0" w:color="auto"/>
        <w:left w:val="none" w:sz="0" w:space="0" w:color="auto"/>
        <w:bottom w:val="none" w:sz="0" w:space="0" w:color="auto"/>
        <w:right w:val="none" w:sz="0" w:space="0" w:color="auto"/>
      </w:divBdr>
    </w:div>
    <w:div w:id="1290555561">
      <w:bodyDiv w:val="1"/>
      <w:marLeft w:val="0"/>
      <w:marRight w:val="0"/>
      <w:marTop w:val="0"/>
      <w:marBottom w:val="0"/>
      <w:divBdr>
        <w:top w:val="none" w:sz="0" w:space="0" w:color="auto"/>
        <w:left w:val="none" w:sz="0" w:space="0" w:color="auto"/>
        <w:bottom w:val="none" w:sz="0" w:space="0" w:color="auto"/>
        <w:right w:val="none" w:sz="0" w:space="0" w:color="auto"/>
      </w:divBdr>
    </w:div>
    <w:div w:id="1330213985">
      <w:bodyDiv w:val="1"/>
      <w:marLeft w:val="0"/>
      <w:marRight w:val="0"/>
      <w:marTop w:val="0"/>
      <w:marBottom w:val="0"/>
      <w:divBdr>
        <w:top w:val="none" w:sz="0" w:space="0" w:color="auto"/>
        <w:left w:val="none" w:sz="0" w:space="0" w:color="auto"/>
        <w:bottom w:val="none" w:sz="0" w:space="0" w:color="auto"/>
        <w:right w:val="none" w:sz="0" w:space="0" w:color="auto"/>
      </w:divBdr>
    </w:div>
    <w:div w:id="1348167658">
      <w:bodyDiv w:val="1"/>
      <w:marLeft w:val="0"/>
      <w:marRight w:val="0"/>
      <w:marTop w:val="0"/>
      <w:marBottom w:val="0"/>
      <w:divBdr>
        <w:top w:val="none" w:sz="0" w:space="0" w:color="auto"/>
        <w:left w:val="none" w:sz="0" w:space="0" w:color="auto"/>
        <w:bottom w:val="none" w:sz="0" w:space="0" w:color="auto"/>
        <w:right w:val="none" w:sz="0" w:space="0" w:color="auto"/>
      </w:divBdr>
    </w:div>
    <w:div w:id="1392344961">
      <w:bodyDiv w:val="1"/>
      <w:marLeft w:val="0"/>
      <w:marRight w:val="0"/>
      <w:marTop w:val="0"/>
      <w:marBottom w:val="0"/>
      <w:divBdr>
        <w:top w:val="none" w:sz="0" w:space="0" w:color="auto"/>
        <w:left w:val="none" w:sz="0" w:space="0" w:color="auto"/>
        <w:bottom w:val="none" w:sz="0" w:space="0" w:color="auto"/>
        <w:right w:val="none" w:sz="0" w:space="0" w:color="auto"/>
      </w:divBdr>
    </w:div>
    <w:div w:id="1402018015">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00812875">
      <w:bodyDiv w:val="1"/>
      <w:marLeft w:val="0"/>
      <w:marRight w:val="0"/>
      <w:marTop w:val="0"/>
      <w:marBottom w:val="0"/>
      <w:divBdr>
        <w:top w:val="none" w:sz="0" w:space="0" w:color="auto"/>
        <w:left w:val="none" w:sz="0" w:space="0" w:color="auto"/>
        <w:bottom w:val="none" w:sz="0" w:space="0" w:color="auto"/>
        <w:right w:val="none" w:sz="0" w:space="0" w:color="auto"/>
      </w:divBdr>
    </w:div>
    <w:div w:id="1708069939">
      <w:bodyDiv w:val="1"/>
      <w:marLeft w:val="0"/>
      <w:marRight w:val="0"/>
      <w:marTop w:val="0"/>
      <w:marBottom w:val="0"/>
      <w:divBdr>
        <w:top w:val="none" w:sz="0" w:space="0" w:color="auto"/>
        <w:left w:val="none" w:sz="0" w:space="0" w:color="auto"/>
        <w:bottom w:val="none" w:sz="0" w:space="0" w:color="auto"/>
        <w:right w:val="none" w:sz="0" w:space="0" w:color="auto"/>
      </w:divBdr>
    </w:div>
    <w:div w:id="1781217163">
      <w:bodyDiv w:val="1"/>
      <w:marLeft w:val="0"/>
      <w:marRight w:val="0"/>
      <w:marTop w:val="0"/>
      <w:marBottom w:val="0"/>
      <w:divBdr>
        <w:top w:val="none" w:sz="0" w:space="0" w:color="auto"/>
        <w:left w:val="none" w:sz="0" w:space="0" w:color="auto"/>
        <w:bottom w:val="none" w:sz="0" w:space="0" w:color="auto"/>
        <w:right w:val="none" w:sz="0" w:space="0" w:color="auto"/>
      </w:divBdr>
    </w:div>
    <w:div w:id="1818297883">
      <w:bodyDiv w:val="1"/>
      <w:marLeft w:val="0"/>
      <w:marRight w:val="0"/>
      <w:marTop w:val="0"/>
      <w:marBottom w:val="0"/>
      <w:divBdr>
        <w:top w:val="none" w:sz="0" w:space="0" w:color="auto"/>
        <w:left w:val="none" w:sz="0" w:space="0" w:color="auto"/>
        <w:bottom w:val="none" w:sz="0" w:space="0" w:color="auto"/>
        <w:right w:val="none" w:sz="0" w:space="0" w:color="auto"/>
      </w:divBdr>
    </w:div>
    <w:div w:id="1983070938">
      <w:bodyDiv w:val="1"/>
      <w:marLeft w:val="0"/>
      <w:marRight w:val="0"/>
      <w:marTop w:val="0"/>
      <w:marBottom w:val="0"/>
      <w:divBdr>
        <w:top w:val="none" w:sz="0" w:space="0" w:color="auto"/>
        <w:left w:val="none" w:sz="0" w:space="0" w:color="auto"/>
        <w:bottom w:val="none" w:sz="0" w:space="0" w:color="auto"/>
        <w:right w:val="none" w:sz="0" w:space="0" w:color="auto"/>
      </w:divBdr>
    </w:div>
    <w:div w:id="1983272271">
      <w:bodyDiv w:val="1"/>
      <w:marLeft w:val="0"/>
      <w:marRight w:val="0"/>
      <w:marTop w:val="0"/>
      <w:marBottom w:val="0"/>
      <w:divBdr>
        <w:top w:val="none" w:sz="0" w:space="0" w:color="auto"/>
        <w:left w:val="none" w:sz="0" w:space="0" w:color="auto"/>
        <w:bottom w:val="none" w:sz="0" w:space="0" w:color="auto"/>
        <w:right w:val="none" w:sz="0" w:space="0" w:color="auto"/>
      </w:divBdr>
    </w:div>
    <w:div w:id="2012098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earchsecurity.techtarget.com/definition/digital-signature"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earchsecurity.techtarget.com/definition/Diffie-Hellman-key-exchange"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0" ma:contentTypeDescription="Create a new document." ma:contentTypeScope="" ma:versionID="9ca7832649406431779bd053c507e579">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0260aa17f018d4ba3c626f6c1eabf7a0"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Mar19</b:Tag>
    <b:SourceType>InternetSite</b:SourceType>
    <b:Guid>{E31EC105-CF8C-4DBE-A64F-B0C60B0A5A35}</b:Guid>
    <b:Author>
      <b:Author>
        <b:Corporate>Margaret Rouse</b:Corporate>
      </b:Author>
    </b:Author>
    <b:Title>Recovering from ransomware: Defend your data with best practices</b:Title>
    <b:ProductionCompany>techtarget</b:ProductionCompany>
    <b:Year>2019</b:Year>
    <b:Month>October</b:Month>
    <b:YearAccessed>2019</b:YearAccessed>
    <b:MonthAccessed>December</b:MonthAccessed>
    <b:DayAccessed>06</b:DayAccessed>
    <b:URL>https://searchsecurity.techtarget.com/definition/encryption</b:URL>
    <b:RefOrder>1</b:RefOrder>
  </b:Source>
  <b:Source>
    <b:Tag>Mic17</b:Tag>
    <b:SourceType>JournalArticle</b:SourceType>
    <b:Guid>{130CD0F1-A5D2-40EB-ADF0-2A1CBF9110DC}</b:Guid>
    <b:Title>Robust Encryption</b:Title>
    <b:Year>2017</b:Year>
    <b:Author>
      <b:Author>
        <b:NameList>
          <b:Person>
            <b:Last>Michel Abdalla</b:Last>
          </b:Person>
          <b:Person>
            <b:Last>Bellare</b:Last>
            <b:First>Mihir </b:First>
          </b:Person>
          <b:Person>
            <b:Last>Neven</b:Last>
            <b:First>Gregory </b:First>
          </b:Person>
        </b:NameList>
      </b:Author>
    </b:Author>
    <b:JournalName>Journal of Cryptography</b:JournalName>
    <b:Pages>308</b:Pages>
    <b:Volume>31</b:Volume>
    <b:Issue>2</b:Issue>
    <b:RefOrder>2</b:RefOrder>
  </b:Source>
  <b:Source>
    <b:Tag>Hwa18</b:Tag>
    <b:SourceType>JournalArticle</b:SourceType>
    <b:Guid>{258EE831-08B6-4AD9-9E6E-A96FDF10FD2A}</b:Guid>
    <b:Author>
      <b:Author>
        <b:NameList>
          <b:Person>
            <b:Last>Hwang</b:Last>
            <b:First>Seong</b:First>
            <b:Middle>Oun, Le, Minh-Ha</b:Middle>
          </b:Person>
        </b:NameList>
      </b:Author>
    </b:Author>
    <b:Title>Efficient certificate-based encryption and hieracical certificate-based encryption schemes in the standard model</b:Title>
    <b:JournalName>Journal of Intelligent &amp; Fuzzy Systems</b:JournalName>
    <b:Year>2018</b:Year>
    <b:Pages>201</b:Pages>
    <b:Volume>35</b:Volume>
    <b:Issue>6</b:Issue>
    <b:RefOrder>4</b:RefOrder>
  </b:Source>
  <b:Source>
    <b:Tag>Moh12</b:Tag>
    <b:SourceType>InternetSite</b:SourceType>
    <b:Guid>{AC39ACDF-DEE7-41EF-9979-706A4355425E}</b:Guid>
    <b:Author>
      <b:Author>
        <b:NameList>
          <b:Person>
            <b:Last>Arora</b:Last>
            <b:First>Mohit</b:First>
          </b:Person>
        </b:NameList>
      </b:Author>
    </b:Author>
    <b:Title>How secure is AES against brute force attacks?</b:Title>
    <b:ProductionCompany>EE Times</b:ProductionCompany>
    <b:Year>2012</b:Year>
    <b:Month>July</b:Month>
    <b:Day>05</b:Day>
    <b:YearAccessed>2019</b:YearAccessed>
    <b:MonthAccessed>Dec</b:MonthAccessed>
    <b:DayAccessed>01</b:DayAccessed>
    <b:URL>https://www.eetimes.com/how-secure-is-aes-against-brute-force-attacks/</b:URL>
    <b:RefOrder>5</b:RefOrder>
  </b:Source>
  <b:Source>
    <b:Tag>Rou14</b:Tag>
    <b:SourceType>InternetSite</b:SourceType>
    <b:Guid>{EACA9762-85D3-463B-A3F8-8EF8AA6DE7E7}</b:Guid>
    <b:Author>
      <b:Author>
        <b:NameList>
          <b:Person>
            <b:Last>Rouse</b:Last>
            <b:First>Margaret</b:First>
          </b:Person>
          <b:Person>
            <b:Last>Cobb</b:Last>
            <b:First>Michael </b:First>
          </b:Person>
          <b:Person>
            <b:Last>Biasc</b:Last>
            <b:First>Laura</b:First>
          </b:Person>
          <b:Person>
            <b:Last>Granum</b:Last>
            <b:First>Lyne</b:First>
          </b:Person>
          <b:Person>
            <b:Last>Rundatz</b:Last>
            <b:First>Frank </b:First>
          </b:Person>
        </b:NameList>
      </b:Author>
    </b:Author>
    <b:Title>Data Encryption Standard (DES)</b:Title>
    <b:ProductionCompany>Tech Target</b:ProductionCompany>
    <b:Year>2014</b:Year>
    <b:Month>Nov</b:Month>
    <b:Day>01</b:Day>
    <b:YearAccessed>2019</b:YearAccessed>
    <b:MonthAccessed>Dec</b:MonthAccessed>
    <b:DayAccessed>02</b:DayAccessed>
    <b:URL>https://searchsecurity.techtarget.com/definition/Data-Encryption-Standard</b:URL>
    <b:RefOrder>6</b:RefOrder>
  </b:Source>
  <b:Source>
    <b:Tag>Gak02</b:Tag>
    <b:SourceType>BookSection</b:SourceType>
    <b:Guid>{7D6AE0B9-A3B7-4B92-A00D-3F19B389466D}</b:Guid>
    <b:Author>
      <b:Author>
        <b:NameList>
          <b:Person>
            <b:Last>Gakbreath</b:Last>
            <b:First>Nick</b:First>
          </b:Person>
        </b:NameList>
      </b:Author>
    </b:Author>
    <b:Title>Public Key Cryptography</b:Title>
    <b:BookTitle>Crypotgraphy for Internet and Database Applications</b:BookTitle>
    <b:Year>2002</b:Year>
    <b:Pages>91</b:Pages>
    <b:Publisher>Bob Ipsen</b:Publisher>
    <b:CountryRegion>USA</b:CountryRegion>
    <b:RefOrder>3</b:RefOrder>
  </b:Source>
  <b:Source>
    <b:Tag>Ver16</b:Tag>
    <b:SourceType>JournalArticle</b:SourceType>
    <b:Guid>{C0D8A46E-555D-4CAC-A4B7-2CA83DC58C46}</b:Guid>
    <b:Title>Can Elliptic Curve technology Be Trusted</b:Title>
    <b:Year>2016</b:Year>
    <b:Author>
      <b:Author>
        <b:NameList>
          <b:Person>
            <b:Last>Stolbikova</b:Last>
            <b:First>Veronika</b:First>
          </b:Person>
        </b:NameList>
      </b:Author>
    </b:Author>
    <b:JournalName>ISACA Journal</b:JournalName>
    <b:Pages>2</b:Pages>
    <b:Volume>3</b:Volume>
    <b:Issue>2</b:Issue>
    <b:RefOrder>7</b:RefOrder>
  </b:Source>
  <b:Source>
    <b:Tag>Rou19</b:Tag>
    <b:SourceType>InternetSite</b:SourceType>
    <b:Guid>{8EFC43C6-2FAA-4AEA-9ED7-E6E752E975AC}</b:Guid>
    <b:Author>
      <b:Author>
        <b:NameList>
          <b:Person>
            <b:Last>Rouse</b:Last>
            <b:First>Margarate</b:First>
          </b:Person>
        </b:NameList>
      </b:Author>
    </b:Author>
    <b:Title>Diffie-Hellman key exchange (exponential key exchange)</b:Title>
    <b:Year>2019</b:Year>
    <b:ProductionCompany>Techtarget</b:ProductionCompany>
    <b:Month>Mar</b:Month>
    <b:Day>01</b:Day>
    <b:YearAccessed>2019</b:YearAccessed>
    <b:MonthAccessed>Dec</b:MonthAccessed>
    <b:DayAccessed>03</b:DayAccessed>
    <b:URL>https://searchsecurity.techtarget.com/definition/Diffie-Hellman-key-exchange</b:URL>
    <b:RefOrder>8</b:RefOrder>
  </b:Source>
</b:Sources>
</file>

<file path=customXml/itemProps1.xml><?xml version="1.0" encoding="utf-8"?>
<ds:datastoreItem xmlns:ds="http://schemas.openxmlformats.org/officeDocument/2006/customXml" ds:itemID="{12B904FD-2443-4EA1-A7F6-F6BDC89C822E}">
  <ds:schemaRefs>
    <ds:schemaRef ds:uri="http://schemas.microsoft.com/sharepoint/v3/contenttype/forms"/>
  </ds:schemaRefs>
</ds:datastoreItem>
</file>

<file path=customXml/itemProps2.xml><?xml version="1.0" encoding="utf-8"?>
<ds:datastoreItem xmlns:ds="http://schemas.openxmlformats.org/officeDocument/2006/customXml" ds:itemID="{D4754BDC-EF59-45F5-AD5B-8157A5892471}">
  <ds:schemaRefs>
    <ds:schemaRef ds:uri="c05bfcf6-161a-4012-bab6-aa68b8b9ab0d"/>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a0d56cd8-48d2-4815-8e01-6dcb6cd2ab35"/>
    <ds:schemaRef ds:uri="http://www.w3.org/XML/1998/namespace"/>
  </ds:schemaRefs>
</ds:datastoreItem>
</file>

<file path=customXml/itemProps3.xml><?xml version="1.0" encoding="utf-8"?>
<ds:datastoreItem xmlns:ds="http://schemas.openxmlformats.org/officeDocument/2006/customXml" ds:itemID="{68B6A760-BD2E-4013-BC79-83CF7989BD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5E137D4-5859-4E98-B111-F244008C2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12</Pages>
  <Words>3658</Words>
  <Characters>20854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24464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Neil O'Mahoney</cp:lastModifiedBy>
  <cp:revision>24</cp:revision>
  <cp:lastPrinted>2015-06-25T18:27:00Z</cp:lastPrinted>
  <dcterms:created xsi:type="dcterms:W3CDTF">2019-12-08T20:22:00Z</dcterms:created>
  <dcterms:modified xsi:type="dcterms:W3CDTF">2019-12-12T23:10:00Z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