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CFCDD" w14:textId="6550C739" w:rsidR="00FB3075" w:rsidRPr="00FB3075" w:rsidRDefault="00FB3075">
      <w:pPr>
        <w:rPr>
          <w:b/>
          <w:bCs/>
          <w:u w:val="single"/>
        </w:rPr>
      </w:pPr>
      <w:r w:rsidRPr="00FB3075">
        <w:rPr>
          <w:b/>
          <w:bCs/>
          <w:u w:val="single"/>
        </w:rPr>
        <w:t>Assignment One – Kayla Pugh</w:t>
      </w:r>
    </w:p>
    <w:p w14:paraId="7124267C" w14:textId="2C52A656" w:rsidR="00FB3075" w:rsidRPr="00FB3075" w:rsidRDefault="00FB3075">
      <w:pPr>
        <w:rPr>
          <w:b/>
          <w:bCs/>
          <w:u w:val="single"/>
        </w:rPr>
      </w:pPr>
      <w:r w:rsidRPr="00FB3075">
        <w:rPr>
          <w:b/>
          <w:bCs/>
          <w:u w:val="single"/>
        </w:rPr>
        <w:t xml:space="preserve">Task one: </w:t>
      </w:r>
    </w:p>
    <w:p w14:paraId="167D2454" w14:textId="47062F3C" w:rsidR="00FB3075" w:rsidRDefault="00FB3075" w:rsidP="00FB3075">
      <w:r>
        <w:t xml:space="preserve">This essay will analyse the role of independent bodies, such as the IOPC and HMICFRS and how they hold the police accountable and whether these independent bodies are effective with police accountability. This essay will also elucidate the importance and why it is necessary to hold officers accountable for their actions. </w:t>
      </w:r>
    </w:p>
    <w:p w14:paraId="1CEB00FD" w14:textId="534EE757" w:rsidR="00FB3075" w:rsidRDefault="00FB3075" w:rsidP="00FB3075">
      <w:r>
        <w:t>Police constables are afforded substantial powers in law, and it is rightly so that the police should follow professional standards of behaviour and are held accountable if they do abuse these powers. Police accountability is important and necessary because it is an officer’s duty to protect members of the public, especially those who are more vulnerable, it is a democratic requirement that the police are held to account, and it shows the status of those officers who acquire a certain status in society. Police accountability is perceived as an issue as a recent study has shown that almost 50% of police who have committed gross misconduct were not dismissed and out of 118 cases which was heard at the misconduct panel, only 55 employees’ contracts were terminated. (Lynch and Bradshaw, 2022) This can potentially be criticised as members of the public can argue that the police service have not taken the appropriate procedures to resolve cultural problems within policing.</w:t>
      </w:r>
    </w:p>
    <w:p w14:paraId="376EA12D" w14:textId="150DC694" w:rsidR="00FB3075" w:rsidRDefault="00FB3075" w:rsidP="00FB3075">
      <w:r>
        <w:t xml:space="preserve">Majority of local complaints are dealt with the forces Professional Standards Department [PSD]. An independent body, called the IOPC, also known as the Independent Office for Police Conduct, handles complaints that members of the public submit about police officers within England and Wales. The role of the IOPC is to “investigate the most serious and sensitive incidents and allegations involving the police in England and Wales”. (IOPC, 2020) It is necessary that the IOPC hold the police to account and investigate the critical failings of police process and any death of a person following contact from police. </w:t>
      </w:r>
    </w:p>
    <w:p w14:paraId="3A4CE761" w14:textId="2D2A21BE" w:rsidR="00971952" w:rsidRDefault="00FB3075" w:rsidP="00FB3075">
      <w:r>
        <w:t xml:space="preserve">One role of the IOPC is to increase public confidence with policing. According to the IOPC, after making the police constable and their line manager aware of a complaint, 93% of the respondents stated that the officer and their manager learning from the complaint is the most important outcome. (Brembor, 2019) </w:t>
      </w:r>
      <w:r w:rsidR="00971952">
        <w:t xml:space="preserve">    </w:t>
      </w:r>
    </w:p>
    <w:p w14:paraId="28FD80D2" w14:textId="6232D8FF" w:rsidR="00FB3075" w:rsidRDefault="00FB3075" w:rsidP="00FB3075">
      <w:r>
        <w:t>This suggests that improving public confidence in policing is by holding the police to account for their actions and that is it crucial that lessons are learnt following this. Furthermore, by the IOPC conducting their investigations, it ensures that policing is by consent, and it provides insight as to how police practice can be improved.</w:t>
      </w:r>
      <w:r w:rsidR="00971952">
        <w:t xml:space="preserve"> </w:t>
      </w:r>
    </w:p>
    <w:p w14:paraId="63EF9886" w14:textId="2E389E2B" w:rsidR="00FB3075" w:rsidRDefault="00FB3075" w:rsidP="00FB3075">
      <w:r>
        <w:t xml:space="preserve">However, an up-to-date article points out that the IOPC’s recommendations are not always considered, meaning that the IOPC is not always effective in fulfilling their tasks. Back in July 2016, </w:t>
      </w:r>
      <w:r w:rsidR="0085028D">
        <w:t>her ex-partner murdered a woman</w:t>
      </w:r>
      <w:r>
        <w:t xml:space="preserve">. The IOPC investigated all police reports made by the victim before her death and stated that the officer’s involved should face misconduct proceedings. However, the officers were cleared at disciplinary hearings by the force. (Thomas, 2022) This suggests how the </w:t>
      </w:r>
      <w:r w:rsidR="0085028D">
        <w:t>officer has</w:t>
      </w:r>
      <w:r>
        <w:t xml:space="preserve"> failed to safeguard the victim and neglected their duties and the IOPC came to a decision that these officers have committed misconduct. However, </w:t>
      </w:r>
      <w:r w:rsidR="0085028D">
        <w:t>police have ignored the officers and their major failings</w:t>
      </w:r>
      <w:r>
        <w:t xml:space="preserve"> and this elucidates that the IOPC are not always effective when attempting to hold the police to account, as the IOPC cannot deal with the officer themselves, their local force deals with the misconduct aspects.</w:t>
      </w:r>
    </w:p>
    <w:p w14:paraId="1BD2CD37" w14:textId="708CF751" w:rsidR="00FB3075" w:rsidRDefault="00FB3075" w:rsidP="00FB3075">
      <w:r>
        <w:t xml:space="preserve">Another independent </w:t>
      </w:r>
      <w:r w:rsidR="0085028D">
        <w:t>body, which</w:t>
      </w:r>
      <w:r>
        <w:t xml:space="preserve"> co-operates with the IOPC is the HMICFRS, and this stands for Her Majesty’s Inspectorate of Constabulary and Fire &amp; Rescue Services, and the role of this independent </w:t>
      </w:r>
      <w:r>
        <w:lastRenderedPageBreak/>
        <w:t xml:space="preserve">body is to inspect, monitor and report on the effectiveness of the police forces within England and Wales. HMIC have introduced “PEEL” assessments and the primary role of this is to assess the police effectiveness, efficiency, and legitimacy. (Constabulary and Fire, 2018). Police accountability is promoted by the HMICFRS and their PEEL </w:t>
      </w:r>
      <w:r w:rsidR="0085028D">
        <w:t>assessment,</w:t>
      </w:r>
      <w:r>
        <w:t xml:space="preserve"> as their duties are to ensure that the professional standards of behaviour are maintained, good practice and values are spread, and that policing performance is improved. In contrast, the HMICFRS are somewhat effective when holding the police to account as all complaints are initially directed to their local force and if the individual wants further action to be taken, the complaint is referred to the IOPC for investigation, not HMICFRS. </w:t>
      </w:r>
    </w:p>
    <w:p w14:paraId="7C55C569" w14:textId="409B1B1E" w:rsidR="00FB3075" w:rsidRDefault="00FB3075" w:rsidP="00FB3075">
      <w:r>
        <w:t xml:space="preserve">Another organisation which seeks to hold police to account for their actions and behaviour is the College of Policing. According to the Blackstone’s Handbook of policing, the ten standards of behaviour and the code of ethics, issued by the college of policing, must be adhered to as a constable. If there is a breach in professional standards by an officer, professional judgement must be considered, and the officer shall take account for their actions. (Bryant and Bryant, 2021, pp. 73 - 74) The college of policing is an effective independent body for holding the police to account as the PCC’s also have a vital role in reassuring the public and holding the police to account for adhering to systems, so high standards of professional behaviour is maintained within the police service. </w:t>
      </w:r>
    </w:p>
    <w:p w14:paraId="01835080" w14:textId="5CCB74E3" w:rsidR="00FB3075" w:rsidRDefault="00FB3075" w:rsidP="00FB3075">
      <w:r>
        <w:t xml:space="preserve">To conclude, there is a wide range of independent </w:t>
      </w:r>
      <w:r w:rsidR="0085028D">
        <w:t>bodies, which</w:t>
      </w:r>
      <w:r>
        <w:t xml:space="preserve"> are effective in ensuring that police are held to account for their actions. Within the police, officers are obliged to act in accordance with organisations such as MOPAC, the NPCC, the IOPC and HMICFRS. Officers are also required to follow internal procedures and legislation such as PACE and its code of practice, the ten standards of professional behaviour, the code of ethics and the human rights act. From the research presented above regarding the IOPC, it is an effective department for highlighting misconduct </w:t>
      </w:r>
      <w:r w:rsidR="0085028D">
        <w:t>however;</w:t>
      </w:r>
      <w:r>
        <w:t xml:space="preserve"> it is somewhat effective for the police service accounting for their behaviour as they only pass the information collected from the investigation of the misconduct to the local force. </w:t>
      </w:r>
    </w:p>
    <w:p w14:paraId="25B3E730" w14:textId="77777777" w:rsidR="00FB3075" w:rsidRDefault="00FB3075" w:rsidP="00FB3075"/>
    <w:p w14:paraId="79C40BAD" w14:textId="60C17E61" w:rsidR="00FB3075" w:rsidRDefault="00FB3075" w:rsidP="00FB3075">
      <w:r>
        <w:t>(969 words)</w:t>
      </w:r>
    </w:p>
    <w:p w14:paraId="7A1A42ED" w14:textId="5C866952" w:rsidR="00FB3075" w:rsidRDefault="00FB3075" w:rsidP="00FB3075"/>
    <w:p w14:paraId="2B8345EF" w14:textId="585E3017" w:rsidR="00FB3075" w:rsidRPr="00FB3075" w:rsidRDefault="00FB3075" w:rsidP="00FB3075">
      <w:pPr>
        <w:rPr>
          <w:b/>
          <w:bCs/>
          <w:u w:val="single"/>
        </w:rPr>
      </w:pPr>
      <w:r w:rsidRPr="00FB3075">
        <w:rPr>
          <w:b/>
          <w:bCs/>
          <w:u w:val="single"/>
        </w:rPr>
        <w:t xml:space="preserve">Task two: </w:t>
      </w:r>
    </w:p>
    <w:p w14:paraId="777B6143" w14:textId="56561CC8" w:rsidR="00FB3075" w:rsidRDefault="00FB3075" w:rsidP="00FB3075">
      <w:r>
        <w:t>In this essay, the effects of multi-culturalism on policing ethics and values will be evaluated. This essay will also focus on the ways which police officer’s police diverse communities. According to Robert Longley, multi-culturalism is defined as the way a society deals with cultural diversity. (Robert Longley, 2019)</w:t>
      </w:r>
    </w:p>
    <w:p w14:paraId="22CBF901" w14:textId="3F12306D" w:rsidR="00FB3075" w:rsidRDefault="0085028D" w:rsidP="00FB3075">
      <w:r>
        <w:t>Sir Robert Peel founded the police service</w:t>
      </w:r>
      <w:r w:rsidR="00FB3075">
        <w:t xml:space="preserve"> in 1829 and he created a Bill for improving and demonstrating the purpose of the police service. Sir Robert Peel then created the nine Peelian Principles to promote a multi-cultural society and for officers to be understanding to those in communities. One </w:t>
      </w:r>
      <w:r>
        <w:t>principle, which is extremely important,</w:t>
      </w:r>
      <w:r w:rsidR="00FB3075">
        <w:t xml:space="preserve"> is the principle: ‘the police are the public and the public are the police’. This is to ensure that the values the public expect the police to uphold are enforced and in doing this, it becomes the accepted social </w:t>
      </w:r>
      <w:r>
        <w:t>norm, which</w:t>
      </w:r>
      <w:r w:rsidR="00FB3075">
        <w:t xml:space="preserve"> positively effects multi-culturalism within the police service. </w:t>
      </w:r>
    </w:p>
    <w:p w14:paraId="0A92D70B" w14:textId="5B3F40D1" w:rsidR="00FB3075" w:rsidRDefault="00FB3075" w:rsidP="00FB3075">
      <w:r>
        <w:t xml:space="preserve">Moreover, since the disturbing murder of Stephen Lawrence which occurred on the 22nd of April 1993, which was a horrific racist killing at a bus station in Southeast London. The police </w:t>
      </w:r>
      <w:r w:rsidR="0085028D">
        <w:t>investigation, which followed,</w:t>
      </w:r>
      <w:r>
        <w:t xml:space="preserve"> suffered significant failures and police received the label that the service was </w:t>
      </w:r>
      <w:r>
        <w:lastRenderedPageBreak/>
        <w:t>‘institutionally racist.’ (Booth, 2019) The effects of multiculturalism on policing ethics and values are that a lack of cultural sensitivity perceived and a failure to address the challenges of policing a multicultural society can create tension between different groups and alienation of that group within the community. There is also an issue with proportional representation as traditionally, people have mistrust us.</w:t>
      </w:r>
    </w:p>
    <w:p w14:paraId="306E6DAC" w14:textId="2124BCFF" w:rsidR="00FB3075" w:rsidRDefault="00FB3075" w:rsidP="00FB3075">
      <w:r>
        <w:t xml:space="preserve">Since the shocking investigation outlined in the Macpherson’s Report, it is important that officers’ police diverse communities and always respect multi-culturalism. There are advantages of having a multi-culturalism workplace as these positively promote the policing ethics and values. Some of the advantages are as follows: there is a better understanding and respect for cultural differences, increased creativity, it adds variety to life across cultures and it can create unity within a shared culture. (Dopico, 2020) This suggests officers are more aware of </w:t>
      </w:r>
      <w:r w:rsidR="0085028D">
        <w:t>diversity, inclusion,</w:t>
      </w:r>
      <w:r>
        <w:t xml:space="preserve"> and the perception and satisfaction of policing improves as members of the public from different ethnic backgrounds and cultures can become more trustworthy of the police. Multiculturalism can affect the policing code of ethics in a positive way because officers can become more sensible to groups as they are upholding the code of fairness. </w:t>
      </w:r>
    </w:p>
    <w:p w14:paraId="126D2994" w14:textId="104A5B5F" w:rsidR="00FB3075" w:rsidRDefault="00FB3075" w:rsidP="00FB3075">
      <w:r>
        <w:t xml:space="preserve">However, multiculturalism can negatively affect police code of ethics and values because of the lack of diversity within the police service. For instance, according to a News Article, it states ‘What is certainly true is that none of the forces operating in England and Wales reflect the population they serve.’ (Booth, 2019) This suggests that there are potential unconscious biases within the police service as everyone grows up with different morals and values and therefore, some ethnic minorities may feel that they are not understood due to sharing different beliefs. </w:t>
      </w:r>
    </w:p>
    <w:p w14:paraId="4D60C4D2" w14:textId="0FA0012A" w:rsidR="00FB3075" w:rsidRDefault="00FB3075" w:rsidP="00FB3075">
      <w:r>
        <w:t xml:space="preserve">On the other hand, it is agreed that the police service do police diverse communities as the diversity within the police service is improving. Since 2019, more members from the black and minority ethnic [BAME] community had joined the police and the statistic of BAME officers had increased to 7% in the UK, which is the highest percentage since records began. (Silverstone and Walker, 2020) Therefore, the police are becoming more reflective of the communities they serve, and this increases trust between the police and the public as there is a better understanding of cultures. </w:t>
      </w:r>
    </w:p>
    <w:p w14:paraId="7BB220DF" w14:textId="08595DD6" w:rsidR="00FB3075" w:rsidRDefault="00FB3075" w:rsidP="00FB3075">
      <w:r>
        <w:t>The police service has taken a positive response to tackling hate crime and making the service more diverse, representative of the population through BAME recruitment campaigns within recent years. The Metropolitan Police have stated that ‘40% of recruits must be BAME backgrounds.’ (Dodd, 2020) This is outlined in the race action plan within the Metropolitan police as the service are trying to employ police officers from all backgrounds and to show an appreciation for different cultures. This quote further suggests that it positively effects the police ethics and values because there is a better understanding of sensitive and different groups, and this emphasises that the police support equality and they respect members in those groups.</w:t>
      </w:r>
    </w:p>
    <w:p w14:paraId="5EB3D5B6" w14:textId="03C8F997" w:rsidR="00FB3075" w:rsidRDefault="00FB3075" w:rsidP="00FB3075">
      <w:r>
        <w:t xml:space="preserve">Communities the police serve are complex and diverse and the NPCC introduced the NPCC policing vision 2025, as it focuses on promoting diversity, equality, and inclusion within communities. The NPCC has also provided a 3-stage </w:t>
      </w:r>
      <w:r w:rsidR="0085028D">
        <w:t>strategy, which</w:t>
      </w:r>
      <w:r>
        <w:t xml:space="preserve"> the police follow to police diverse communities. The strategy highlights a framework to accelerate the progress of equality, inclusion, and diversity. The three elements are: the organisation, the communities, and the partners involved. (NPCC, 2018) Officers will act transparent, and the police create an inclusive culture feel confident. The next element is the communities, and the police seek to increase public confidence and trust, the police do this by acting in accordance with the code of ethics. The final element is the partner agencies involved in promoting diversity and inclusion. An example of this is the Black Lives Matter [BLM] organisation. </w:t>
      </w:r>
    </w:p>
    <w:p w14:paraId="341A7FE9" w14:textId="3A0F8926" w:rsidR="00FB3075" w:rsidRDefault="00FB3075" w:rsidP="00FB3075">
      <w:r>
        <w:lastRenderedPageBreak/>
        <w:t xml:space="preserve">To conclude, the police are taking strides to effectively become more diverse and police diverse communities since the Macpherson </w:t>
      </w:r>
      <w:r w:rsidR="0085028D">
        <w:t>report, which</w:t>
      </w:r>
      <w:r>
        <w:t xml:space="preserve"> was published in 1999. As a result, the police service is recruiting more members from the BAME community and the NPCC have provided frameworks and guidance for officers to adhere to when policing these diverse communities. This positively effects the policing values and ethics as police are becoming intercultural and are showing respect from example.</w:t>
      </w:r>
    </w:p>
    <w:p w14:paraId="77A9CA7C" w14:textId="77777777" w:rsidR="00FB3075" w:rsidRDefault="00FB3075" w:rsidP="00FB3075"/>
    <w:p w14:paraId="3067B5FA" w14:textId="2733C5A0" w:rsidR="00FB3075" w:rsidRDefault="00FB3075" w:rsidP="00FB3075">
      <w:r>
        <w:t>(912 words)</w:t>
      </w:r>
    </w:p>
    <w:p w14:paraId="0831426D" w14:textId="64CE0505" w:rsidR="00FB3075" w:rsidRDefault="00FB3075" w:rsidP="00FB3075"/>
    <w:p w14:paraId="582B5F7F" w14:textId="6985E23B" w:rsidR="00D27391" w:rsidRPr="00D27391" w:rsidRDefault="00FB3075" w:rsidP="00D27391">
      <w:pPr>
        <w:rPr>
          <w:b/>
          <w:bCs/>
          <w:u w:val="single"/>
        </w:rPr>
      </w:pPr>
      <w:r w:rsidRPr="00FB3075">
        <w:rPr>
          <w:b/>
          <w:bCs/>
          <w:u w:val="single"/>
        </w:rPr>
        <w:t xml:space="preserve">Task three: </w:t>
      </w:r>
    </w:p>
    <w:p w14:paraId="12FB7E28" w14:textId="09054383" w:rsidR="00D27391" w:rsidRDefault="00D27391" w:rsidP="00D27391">
      <w:r w:rsidRPr="00D27391">
        <w:t xml:space="preserve">This task will consider early intervention and partnership approaches and whether they </w:t>
      </w:r>
      <w:r w:rsidR="008311CB" w:rsidRPr="00D27391">
        <w:t>affects</w:t>
      </w:r>
      <w:r w:rsidRPr="00D27391">
        <w:t xml:space="preserve"> reducing re-offending in gang-related activity.</w:t>
      </w:r>
      <w:r w:rsidR="00B75309">
        <w:t xml:space="preserve"> The interventions this task will focus on is the Early Intervention Foundation, St Giles Trust, Gangmasters and the partnership CAPRICORN.</w:t>
      </w:r>
      <w:r w:rsidR="00C838BD">
        <w:t xml:space="preserve"> The essay will also assess theories of onset offending such as the impact of peer pressure and </w:t>
      </w:r>
      <w:r w:rsidR="005D1879">
        <w:t>the lifestyle theory and how they influence the interventions.</w:t>
      </w:r>
    </w:p>
    <w:p w14:paraId="5069A37C" w14:textId="68FBADA4" w:rsidR="00CA3F8F" w:rsidRDefault="0051176E" w:rsidP="00D27391">
      <w:r>
        <w:t>The noun ‘gang’ is defined as ‘</w:t>
      </w:r>
      <w:r w:rsidRPr="0051176E">
        <w:t>a group of persons, usually youths, who share a common identity and who generally engage in criminal behaviour</w:t>
      </w:r>
      <w:r>
        <w:t xml:space="preserve">.’ </w:t>
      </w:r>
      <w:r w:rsidR="00CA3F8F" w:rsidRPr="00CA3F8F">
        <w:t>(Curry and Decker, 2010)</w:t>
      </w:r>
      <w:r w:rsidR="00CA3F8F">
        <w:t xml:space="preserve"> There are multiple reasons as to why youths in society decide to participate in gang-related activity and </w:t>
      </w:r>
      <w:r w:rsidR="00812A68">
        <w:t>every young person</w:t>
      </w:r>
      <w:r w:rsidR="00CA3F8F">
        <w:t xml:space="preserve"> has a different reason to join a gang. According to </w:t>
      </w:r>
      <w:r w:rsidR="00CA3F8F" w:rsidRPr="00CA3F8F">
        <w:t>(Free Essays - PhDessay.com, 2017)</w:t>
      </w:r>
      <w:r w:rsidR="00CA3F8F">
        <w:t xml:space="preserve">, </w:t>
      </w:r>
      <w:r w:rsidR="00EC1B07">
        <w:t xml:space="preserve">most </w:t>
      </w:r>
      <w:r w:rsidR="00CA3F8F">
        <w:t xml:space="preserve">youths join gangs to feel like they have a purpose in society and the youths who join the gangs </w:t>
      </w:r>
      <w:r w:rsidR="00812A68">
        <w:t xml:space="preserve">are from </w:t>
      </w:r>
      <w:r w:rsidR="00CA3F8F">
        <w:t xml:space="preserve">dysfunctional </w:t>
      </w:r>
      <w:r w:rsidR="00812A68">
        <w:t xml:space="preserve">families and they are seeking to feel the need to belong. </w:t>
      </w:r>
      <w:r w:rsidR="00EC1B07">
        <w:t xml:space="preserve">There are also theories that gang members target youths </w:t>
      </w:r>
      <w:r w:rsidR="004B354B">
        <w:t xml:space="preserve">who are as vulnerable within the community </w:t>
      </w:r>
      <w:r w:rsidR="009A5F8A">
        <w:t>as they have poor family backgrounds</w:t>
      </w:r>
      <w:r w:rsidR="004B354B">
        <w:t xml:space="preserve">. </w:t>
      </w:r>
    </w:p>
    <w:p w14:paraId="60FB38DF" w14:textId="5FA40DFA" w:rsidR="007B1EBB" w:rsidRDefault="009A5F8A" w:rsidP="00EF2F47">
      <w:r>
        <w:t>As youths are targe</w:t>
      </w:r>
      <w:r w:rsidR="00E004D4">
        <w:t>t</w:t>
      </w:r>
      <w:r>
        <w:t xml:space="preserve">ed to join gangs, early intervention and partnership approaches have been introduced to prevent re-offending in relation to gang-related activity. One </w:t>
      </w:r>
      <w:r w:rsidR="0085028D">
        <w:t>intervention, which</w:t>
      </w:r>
      <w:r>
        <w:t xml:space="preserve"> was introduced in 2018, is the Early Intervention Foundation and this primarily focuses on preventing gang and youth violence</w:t>
      </w:r>
      <w:r w:rsidR="00E004D4">
        <w:t xml:space="preserve"> thr</w:t>
      </w:r>
      <w:r w:rsidR="00EF2F47">
        <w:t xml:space="preserve">ough identifying risk factors within the teacher’s literature reports on the pupil. </w:t>
      </w:r>
      <w:r w:rsidR="00C70CFE">
        <w:t>The intervention works by the teachers being professionally trained to identify risk factors with children and to be aware of the signs of gang activity. Once these signs are identified, teachers will raise their concerns and work with other organisations and the wider early help system to support the child and prevent gang activity or offending. According to research, t</w:t>
      </w:r>
      <w:r w:rsidR="00EF2F47">
        <w:t>he Early Intervention Foundation implemented 67 programmes across the UK and USA, however, findings show that 54 programmes were found effective, and 13 programmes were found ineffective</w:t>
      </w:r>
      <w:r w:rsidR="00C611F2">
        <w:t>. Further</w:t>
      </w:r>
      <w:r w:rsidR="00EF2F47">
        <w:t xml:space="preserve"> meaning that </w:t>
      </w:r>
      <w:r w:rsidR="00C611F2">
        <w:t>80</w:t>
      </w:r>
      <w:r w:rsidR="00EF2F47">
        <w:t>% of interventions are effective at reducing offending and preventing gang activity within youths</w:t>
      </w:r>
      <w:r w:rsidR="00AB74A6">
        <w:t xml:space="preserve"> due to the different types of schools involved in the programme</w:t>
      </w:r>
      <w:r w:rsidR="00EF2F47">
        <w:t xml:space="preserve">. </w:t>
      </w:r>
      <w:r w:rsidR="00EF2F47" w:rsidRPr="00EF2F47">
        <w:t>(Waddell, 2018)</w:t>
      </w:r>
      <w:r w:rsidR="00CD6EEB">
        <w:t xml:space="preserve"> Twenty-eight interviews of teachers, a member of the senior leadership team and a specialist who works with vulnerable children were interviewed for robust analysis of the programme.</w:t>
      </w:r>
      <w:r w:rsidR="00EF2F47">
        <w:t xml:space="preserve"> </w:t>
      </w:r>
      <w:r w:rsidR="00CD6EEB" w:rsidRPr="00CD6EEB">
        <w:t>(Waddell and Jones, 2018)</w:t>
      </w:r>
      <w:r w:rsidR="00CD6EEB">
        <w:t xml:space="preserve"> </w:t>
      </w:r>
      <w:r w:rsidR="00C611F2">
        <w:t>This indicates that most programmes are effective a</w:t>
      </w:r>
      <w:r w:rsidR="00C70CFE">
        <w:t xml:space="preserve">s most teachers are trained to identify risk factors </w:t>
      </w:r>
      <w:r w:rsidR="008C58B3">
        <w:t xml:space="preserve">and </w:t>
      </w:r>
      <w:r w:rsidR="007B1EBB">
        <w:t>act</w:t>
      </w:r>
      <w:r w:rsidR="008C58B3">
        <w:t xml:space="preserve"> once identified</w:t>
      </w:r>
      <w:r w:rsidR="00CD6EEB">
        <w:t>. It further indicates that teachers are committed to working with youths at risk of gang development and re-offending with gang-related activity to ensure they have support at the earliest opportunity</w:t>
      </w:r>
      <w:r w:rsidR="00AB74A6">
        <w:t xml:space="preserve">. Teachers and education staff are mentoring those who are at risk of re-offending and participating in gang related activity, and the statistics show that there is careful consideration given to those who are at risk and different school environments can affect whether the programme is effective or not. The programme can prevent </w:t>
      </w:r>
      <w:r w:rsidR="00AB74A6">
        <w:lastRenderedPageBreak/>
        <w:t xml:space="preserve">youths from going into gangs by them receiving support and being educated about the risks of associating with gangs and re-offending. </w:t>
      </w:r>
      <w:r w:rsidR="007B1EBB">
        <w:t xml:space="preserve">However, limitations of this intervention </w:t>
      </w:r>
      <w:r w:rsidR="00CD6EEB">
        <w:t>are</w:t>
      </w:r>
      <w:r w:rsidR="007B1EBB">
        <w:t xml:space="preserve"> that teachers need </w:t>
      </w:r>
      <w:r w:rsidR="00CD6EEB">
        <w:t xml:space="preserve">more </w:t>
      </w:r>
      <w:r w:rsidR="007B1EBB">
        <w:t>frequent training</w:t>
      </w:r>
      <w:r w:rsidR="00CD6EEB">
        <w:t xml:space="preserve"> on how</w:t>
      </w:r>
      <w:r w:rsidR="007B1EBB">
        <w:t xml:space="preserve"> to recognize the signs of gang involvement </w:t>
      </w:r>
      <w:r w:rsidR="00CD6EEB">
        <w:t xml:space="preserve">and re-offending </w:t>
      </w:r>
      <w:r w:rsidR="007B1EBB">
        <w:t>in youths</w:t>
      </w:r>
      <w:r w:rsidR="006154FC">
        <w:t>.</w:t>
      </w:r>
      <w:r w:rsidR="00CD6EEB">
        <w:t xml:space="preserve"> </w:t>
      </w:r>
      <w:r w:rsidR="008F5976">
        <w:t xml:space="preserve">The programme is effective at preventing gang activity and reoffending </w:t>
      </w:r>
      <w:r w:rsidR="0085028D">
        <w:t>however,</w:t>
      </w:r>
      <w:r w:rsidR="008F5976">
        <w:t xml:space="preserve"> there is room for improvement due to the 20% of the </w:t>
      </w:r>
      <w:r w:rsidR="0085028D">
        <w:t>findings, which</w:t>
      </w:r>
      <w:r w:rsidR="008F5976">
        <w:t xml:space="preserve"> demonstrates the programme is ineffective as youths did re-offend. </w:t>
      </w:r>
    </w:p>
    <w:p w14:paraId="444C0239" w14:textId="040396B3" w:rsidR="00FE3FB7" w:rsidRDefault="00490EED" w:rsidP="00D27391">
      <w:r>
        <w:t xml:space="preserve">Moreover, </w:t>
      </w:r>
      <w:r w:rsidR="00A661E0">
        <w:t xml:space="preserve">St Giles Trust and this is an intervention whereby the staff help vulnerable people who have been exposed to a combination of issues, which has affected their everyday lives. During 2020 and 2021, 1,704 young people at risk of gangs and serious violence were helped to prevent them from reoffending. St Giles Trust have done this by involving specialists to target groups of 10 young people in meetings to give them a presentation on the realities and consequences of gang culture and re-offending. </w:t>
      </w:r>
      <w:r w:rsidR="00E30046">
        <w:t xml:space="preserve">According to St Giles Trust, 38 children and their families provided with one to one support and 85% of those children had positive outcomes as 31% of the children exited gang activity and 54% of the children decreased risk of re-offending and engaging with gang crime. </w:t>
      </w:r>
      <w:r w:rsidR="00965A3D" w:rsidRPr="00965A3D">
        <w:t>(St Giles Trust, 2022)</w:t>
      </w:r>
      <w:r w:rsidR="00C838BD">
        <w:t xml:space="preserve"> </w:t>
      </w:r>
      <w:r w:rsidR="0034579A">
        <w:t xml:space="preserve">This evidence is </w:t>
      </w:r>
      <w:r w:rsidR="00E30046">
        <w:t xml:space="preserve">subjective because to the interventions standards, it is </w:t>
      </w:r>
      <w:r w:rsidR="00965A3D">
        <w:t>perceived</w:t>
      </w:r>
      <w:r w:rsidR="00E30046">
        <w:t xml:space="preserve"> as a positive outcome however from a policing perspective, this information could be biased as the website could be promoting their own agenda. Therefore, as 31% of children have stopped engaging with gang activity, it is some</w:t>
      </w:r>
      <w:r w:rsidR="0085028D">
        <w:t>what effective this be due to c</w:t>
      </w:r>
      <w:r w:rsidR="002847E4">
        <w:t>h</w:t>
      </w:r>
      <w:r w:rsidR="00E30046">
        <w:t>ildren not being willing to engage in assessments and as it is involving family members, these members may already be living a lifestyle of crime</w:t>
      </w:r>
      <w:r w:rsidR="00486ADD">
        <w:t xml:space="preserve"> or are more predisposed to a life of crime with their social environments.</w:t>
      </w:r>
      <w:r w:rsidR="00E30046">
        <w:t xml:space="preserve"> </w:t>
      </w:r>
      <w:r w:rsidR="00F969FB">
        <w:t>A theory of onset offending is</w:t>
      </w:r>
      <w:r w:rsidR="00486ADD">
        <w:t xml:space="preserve"> the theory of</w:t>
      </w:r>
      <w:r w:rsidR="00F969FB">
        <w:t xml:space="preserve"> peer pressure</w:t>
      </w:r>
      <w:r w:rsidR="005D1879">
        <w:t xml:space="preserve"> and the lifestyle theory</w:t>
      </w:r>
      <w:r w:rsidR="00486ADD">
        <w:t>,</w:t>
      </w:r>
      <w:r w:rsidR="00F969FB">
        <w:t xml:space="preserve"> and reports have stated that adult supervision can affect the way the child behaves. (Theobald and Farrington, 2014). </w:t>
      </w:r>
      <w:r w:rsidR="00512BE3">
        <w:t>Therefore,</w:t>
      </w:r>
      <w:r w:rsidR="00FE3FB7">
        <w:t xml:space="preserve"> peer pressure from family members who involve themselves with gang culture and reoffending can influence the youth to participa</w:t>
      </w:r>
      <w:r w:rsidR="009F2E38">
        <w:t>te in it and this negatively influences the St Giles intervention.</w:t>
      </w:r>
    </w:p>
    <w:p w14:paraId="5B21FDF1" w14:textId="736A8E1D" w:rsidR="00E004D4" w:rsidRDefault="00EA14DF" w:rsidP="00E004D4">
      <w:r>
        <w:t xml:space="preserve">CAPRICORN is a </w:t>
      </w:r>
      <w:r w:rsidR="00E004D4">
        <w:t xml:space="preserve">partnership-focused </w:t>
      </w:r>
      <w:r>
        <w:t>framework where police collaborate with other agencies to prevent youth re-offending in young people</w:t>
      </w:r>
      <w:r w:rsidR="0085028D">
        <w:t xml:space="preserve">. </w:t>
      </w:r>
      <w:r>
        <w:t xml:space="preserve">The framework is effective, as partner agencies will share data with police and the main goal of the framework is to address the root cause of the crime and the individuals involved will be peer mentored by specialists to build them life skills and to prevent a life of offending. </w:t>
      </w:r>
      <w:r w:rsidR="0085028D">
        <w:t xml:space="preserve">CAPRICORN uses the whole systems approach to prevent re-offending and gang activity. </w:t>
      </w:r>
      <w:r w:rsidR="00E004D4" w:rsidRPr="00E004D4">
        <w:t>(Public Health England, 2019)</w:t>
      </w:r>
    </w:p>
    <w:p w14:paraId="43A5295A" w14:textId="19A9DA59" w:rsidR="00E004D4" w:rsidRDefault="00E004D4" w:rsidP="00E004D4">
      <w:r>
        <w:t>To conclude, the intervention schemes are somewhat effective as their sole role is to identify risks of gang activity and re-offending and to help the youth to develop life skills. However, these interventions do not always work and this could possibly be due to the theories of onset offending such as the lifestyle theory and deviant place theory. These theories negatively influence the interventions and affect the results of the programme.</w:t>
      </w:r>
    </w:p>
    <w:p w14:paraId="242A46F9" w14:textId="77777777" w:rsidR="00E004D4" w:rsidRPr="00E004D4" w:rsidRDefault="00E004D4" w:rsidP="00E004D4"/>
    <w:p w14:paraId="5D75DF3E" w14:textId="4FA43A1F" w:rsidR="00FB3075" w:rsidRPr="00E004D4" w:rsidRDefault="00E004D4" w:rsidP="00E004D4">
      <w:pPr>
        <w:rPr>
          <w:bCs/>
        </w:rPr>
      </w:pPr>
      <w:r w:rsidRPr="00E004D4">
        <w:rPr>
          <w:b/>
          <w:bCs/>
          <w:u w:val="single"/>
        </w:rPr>
        <w:t>‌</w:t>
      </w:r>
      <w:r w:rsidRPr="00E004D4">
        <w:rPr>
          <w:bCs/>
        </w:rPr>
        <w:t>(1012 words)</w:t>
      </w:r>
    </w:p>
    <w:p w14:paraId="6A56A94D" w14:textId="77777777" w:rsidR="00E004D4" w:rsidRDefault="00E004D4" w:rsidP="00E004D4">
      <w:pPr>
        <w:rPr>
          <w:b/>
          <w:bCs/>
          <w:u w:val="single"/>
        </w:rPr>
      </w:pPr>
    </w:p>
    <w:p w14:paraId="042886E6" w14:textId="448EB2AF" w:rsidR="00FB3075" w:rsidRDefault="00FB3075" w:rsidP="00FB3075">
      <w:pPr>
        <w:rPr>
          <w:b/>
          <w:bCs/>
          <w:u w:val="single"/>
        </w:rPr>
      </w:pPr>
      <w:r>
        <w:rPr>
          <w:b/>
          <w:bCs/>
          <w:u w:val="single"/>
        </w:rPr>
        <w:t xml:space="preserve">Task four: </w:t>
      </w:r>
    </w:p>
    <w:p w14:paraId="77FECDFF" w14:textId="63CE247F" w:rsidR="00FB3075" w:rsidRDefault="00FB3075" w:rsidP="00FB3075">
      <w:r>
        <w:t xml:space="preserve">This essay will establish the links between serious and organised crime and public protection issues, such as the Multi-agency Public Protection Arrangement [MAPPA]. This essay will also consider why </w:t>
      </w:r>
      <w:r w:rsidR="0085028D">
        <w:t>serious organised crime groups target certain</w:t>
      </w:r>
      <w:r>
        <w:t xml:space="preserve"> groups.</w:t>
      </w:r>
    </w:p>
    <w:p w14:paraId="5B36FF40" w14:textId="7F73FDE1" w:rsidR="00FB3075" w:rsidRDefault="00FB3075" w:rsidP="00FB3075">
      <w:r>
        <w:lastRenderedPageBreak/>
        <w:t xml:space="preserve">Serious and organised crime [SOC] is criminal </w:t>
      </w:r>
      <w:r w:rsidR="0085028D">
        <w:t>activity, which</w:t>
      </w:r>
      <w:r>
        <w:t xml:space="preserve"> is premediated and committed by individuals in groups. An example of organised crime is county lines, kidnapping and child sexual exploitation. In 2013 – 2018 </w:t>
      </w:r>
      <w:r w:rsidR="00EA14DF">
        <w:t>at</w:t>
      </w:r>
      <w:r>
        <w:t xml:space="preserve"> 4 P framework was introduced, and it was designed to tackle serious and organised crime. (Winchester, 2020. P.6) states that the four P’s stand for: prevent people from involving themselves in organised crime, pursue and disrupt organised crime, protect the public and prepare for when organised crime may occur. This framework illustrates that there is a clear link between public protection and serious and organised criminal groups, and it is the job of the police and partner agencies, to protect members of the public from organised crime. </w:t>
      </w:r>
    </w:p>
    <w:p w14:paraId="44B5B6C1" w14:textId="5CC8AA43" w:rsidR="00FB3075" w:rsidRDefault="0085028D" w:rsidP="00FB3075">
      <w:r>
        <w:t>Organised crime groups often target certain</w:t>
      </w:r>
      <w:r w:rsidR="00FB3075">
        <w:t xml:space="preserve"> groups, and this could be due to several factors, such as: vulnerability, protection, age, and peer pressure. It ca</w:t>
      </w:r>
      <w:bookmarkStart w:id="0" w:name="_GoBack"/>
      <w:bookmarkEnd w:id="0"/>
      <w:r w:rsidR="00FB3075">
        <w:t xml:space="preserve">n be argued that youths/children are more likely to be recruited to join organised criminal groups. In 2020, “the number of children assessed by children’s social care of being at risk from gang involvement increased from 10,960 to 14,700.” (Barnardo’s, 2021) This statistic suggests that children in social services care are clearly at a high risk for being exploited by criminals to join gangs and participate in county lines. It also suggests that criminal groups prey on children who are perceived as vulnerable. However, a limitation of this research is that other individuals argue that victims of previous </w:t>
      </w:r>
      <w:r>
        <w:t>crimes</w:t>
      </w:r>
      <w:r w:rsidR="00FB3075">
        <w:t xml:space="preserve"> are more likely to be targeted by organised crime groups. </w:t>
      </w:r>
    </w:p>
    <w:p w14:paraId="10FEF54E" w14:textId="09AEF46D" w:rsidR="00FB3075" w:rsidRDefault="00FB3075" w:rsidP="00FB3075">
      <w:r>
        <w:t xml:space="preserve">A public protection strategy used is MASH, known as Multi-Agency Safeguarding Hubs and these occur to safeguard vulnerable victims or children, mainly those under the age of eighteen. MASH is closely aligned with serious and organised crime, such as county lines according to Home Office (2014). Referrals are made quickly in MASH due to dealing with children who are involved with crime and who are deemed as vulnerable. However, it is argued that MASH is ineffective, and it highlights the public protection issues. Misunderstandings can occur within partner agencies as many individuals felt that information was withheld due to the risks they perceived, and their perception of the risk was not accurate. (Home Office, 2014, p12) This suggests how public protection has issues as practitioners won’t share information and this could negatively impact the welfare of the child who requires safeguarding and by withholding information, other agencies will not be aware of the risk posed to the child. </w:t>
      </w:r>
    </w:p>
    <w:p w14:paraId="739205A6" w14:textId="3A1B3BC5" w:rsidR="00FB3075" w:rsidRDefault="00FB3075" w:rsidP="00FB3075">
      <w:r>
        <w:t xml:space="preserve">Another public protection strategy is MAPPA, and this was introduced in the 21st century and it sets out statutory arrangements designed to protect members of the public, including victims of serious harm caused by violent and sexual offenders, alongside offenders who pose a risk to members of the public. MAPPA was introduced under sections 325 to 327 of the Criminal Justice Act 2003. There are three broad categories within MAPPA: category one is applied to registered sexual offenders, this means that anyone who has committed a sexual </w:t>
      </w:r>
      <w:r w:rsidR="00E7690F">
        <w:t>offence</w:t>
      </w:r>
      <w:r>
        <w:t xml:space="preserve"> is placed into category one. Whereas category two involves dangerous offenders, and the offender is placed into this category when they have been convicted of a violent offence and they have been sent to prison for 12 months or more. And the last category, is number three, this includes any dangerous offender who do not qualify under category one or two, so they are placed into category three as they pose a threat of risk and harm to members of the public. </w:t>
      </w:r>
    </w:p>
    <w:p w14:paraId="5C404825" w14:textId="1DE5D3ED" w:rsidR="00FB3075" w:rsidRDefault="00FB3075" w:rsidP="00FB3075">
      <w:r>
        <w:t xml:space="preserve">There are also three levels of management involving MAPPA. Level one is an ordinary agency management as the risks are managed by the lead agency. Level </w:t>
      </w:r>
      <w:r w:rsidR="00E7690F">
        <w:t>2</w:t>
      </w:r>
      <w:r>
        <w:t xml:space="preserve"> is an active multi-agency management as the risk is assessed as high. Level </w:t>
      </w:r>
      <w:r w:rsidR="00E7690F">
        <w:t>3</w:t>
      </w:r>
      <w:r>
        <w:t xml:space="preserve"> is active multi-agency management, and the high risk requires senior representation. (College of Policing, 2017) The use of levels within MAPPA is useful as police/staff can monitor the offenders progress and report any breach. Multi-agency protection departments are important as they address the re-offending behaviour of sexual and </w:t>
      </w:r>
      <w:r>
        <w:lastRenderedPageBreak/>
        <w:t xml:space="preserve">violent offenders by risk assessing the individual. However, in contrast to this, the management of offenders is crucial because a mistake, such as being placed into the wrong level or category, the programme will become unsuccessful, </w:t>
      </w:r>
      <w:r w:rsidR="00E7690F">
        <w:t>the</w:t>
      </w:r>
      <w:r>
        <w:t xml:space="preserve"> offender’s behaviour may escalate further, and the consequences can be tragic.</w:t>
      </w:r>
    </w:p>
    <w:p w14:paraId="47BDF0D2" w14:textId="386B436F" w:rsidR="00FB3075" w:rsidRDefault="00FB3075" w:rsidP="00FB3075">
      <w:r>
        <w:t xml:space="preserve">There has been criticism involving MAPPA and its current public protection issues due to offenders being placed into the wrong category or levels. A major failing of MAPPA involves the case of Thomas Bennie Smith, who raped and murdered his neighbour Diane Fallon and her daughter, Holly Fallon in 2010. (Thomson, 2010) Thomas was placed into the MAPPA programme, and he undertook the programme under category and level one in 2008, prior to the murders, as he was a registered sex offender and criminal. However, it is strongly argued that Thomas should have been placed into category and level two in the MAPPA programme due to his previous convictions and dangerous demeanour and that he posed a high risk. It is argued that those involved with the MAPPA programme failed to communicate with each other and share information involving Thomas. Had the information been shared, he would have been placed into category two. The MAPPA process clearly had no impact on Thomas’s behaviour, as two years after him being in category one, he murdered and raped two women. </w:t>
      </w:r>
    </w:p>
    <w:p w14:paraId="5CCC7504" w14:textId="154B2186" w:rsidR="00FB3075" w:rsidRDefault="00FB3075" w:rsidP="00FB3075">
      <w:r>
        <w:t xml:space="preserve">To conclude, serious and organised crime links to public protection issues because those who are </w:t>
      </w:r>
      <w:r w:rsidR="00B11FCC">
        <w:t>vulnerable</w:t>
      </w:r>
      <w:r>
        <w:t xml:space="preserve"> are targeted by criminal organisations. Therefore, it is vital that public protection agencies can risk assess the individual and implement protection referrals, as it is their duty to keep the community safe. MAPPA is a well-known public protection </w:t>
      </w:r>
      <w:r w:rsidR="00B11FCC">
        <w:t>agency, which</w:t>
      </w:r>
      <w:r>
        <w:t xml:space="preserve"> is used for dangerous </w:t>
      </w:r>
      <w:r w:rsidR="00B11FCC">
        <w:t>offenders;</w:t>
      </w:r>
      <w:r>
        <w:t xml:space="preserve"> </w:t>
      </w:r>
      <w:r w:rsidR="00B11FCC">
        <w:t>however,</w:t>
      </w:r>
      <w:r>
        <w:t xml:space="preserve"> there are issues within the </w:t>
      </w:r>
      <w:r w:rsidR="00B11FCC">
        <w:t>agency, which</w:t>
      </w:r>
      <w:r>
        <w:t xml:space="preserve"> has previously led to devastating consequences. Therefore, MAPPA and public protection agencies need to improve their systems.</w:t>
      </w:r>
    </w:p>
    <w:p w14:paraId="2AB1F44B" w14:textId="77777777" w:rsidR="00FB3075" w:rsidRDefault="00FB3075" w:rsidP="00FB3075"/>
    <w:p w14:paraId="3169CF06" w14:textId="0656CA49" w:rsidR="00FB3075" w:rsidRDefault="00B11FCC" w:rsidP="00FB3075">
      <w:r>
        <w:t>(1010</w:t>
      </w:r>
      <w:r w:rsidR="00FB3075">
        <w:t xml:space="preserve"> words)</w:t>
      </w:r>
    </w:p>
    <w:p w14:paraId="297C3271" w14:textId="1CA7D392" w:rsidR="00FB3075" w:rsidRDefault="00FB3075" w:rsidP="00FB3075"/>
    <w:p w14:paraId="6D6C5C8E" w14:textId="70CC254B" w:rsidR="00FB3075" w:rsidRDefault="00FB3075" w:rsidP="00FB3075">
      <w:pPr>
        <w:rPr>
          <w:b/>
          <w:bCs/>
          <w:u w:val="single"/>
        </w:rPr>
      </w:pPr>
      <w:r w:rsidRPr="00FB3075">
        <w:rPr>
          <w:b/>
          <w:bCs/>
          <w:u w:val="single"/>
        </w:rPr>
        <w:t>Bibliography:</w:t>
      </w:r>
    </w:p>
    <w:p w14:paraId="38850127" w14:textId="42BC4281" w:rsidR="00B11FCC" w:rsidRDefault="00B11FCC" w:rsidP="00FB3075">
      <w:r>
        <w:t xml:space="preserve">Barnardo’s. (2021). </w:t>
      </w:r>
      <w:r w:rsidRPr="009A3627">
        <w:rPr>
          <w:i/>
        </w:rPr>
        <w:t>Organised crime gangs take advantage of pandemic to target children</w:t>
      </w:r>
      <w:r>
        <w:t xml:space="preserve">. Available at: https://www.barnardos.org.uk/news/urgent-action-needed-organised-crime-gangs-take-advantage-pandemic-target-vulnerable-children?msclkid=51444927bc1111ec8b33ba95db254494 {Accessed 14 Apr. 2022]. </w:t>
      </w:r>
    </w:p>
    <w:p w14:paraId="4B5023AF" w14:textId="77777777" w:rsidR="009A3627" w:rsidRDefault="009A3627" w:rsidP="00FB3075"/>
    <w:p w14:paraId="618A0E8E" w14:textId="6D5DF4CE" w:rsidR="00B11FCC" w:rsidRDefault="00B11FCC" w:rsidP="00FB3075">
      <w:r>
        <w:t xml:space="preserve">Booth, R. (2019). </w:t>
      </w:r>
      <w:r w:rsidRPr="009A3627">
        <w:rPr>
          <w:i/>
        </w:rPr>
        <w:t>‘Institutional racism’: 20 years since Stephen Lawrence inquiry</w:t>
      </w:r>
      <w:r>
        <w:t>. The Guardian. Available at: https://www.theguardian.com/uk-news/2019/feb/22/institutional-racism-britain-stephen-lawrence-inquiry-20-years. [Accessed: 20th June 2022]</w:t>
      </w:r>
    </w:p>
    <w:p w14:paraId="488573E7" w14:textId="77777777" w:rsidR="009A3627" w:rsidRDefault="009A3627" w:rsidP="00FB3075"/>
    <w:p w14:paraId="085D522E" w14:textId="105DEDCC" w:rsidR="00B11FCC" w:rsidRDefault="00B11FCC" w:rsidP="00FB3075">
      <w:r>
        <w:t xml:space="preserve">Brembor, S. (2019). </w:t>
      </w:r>
      <w:r w:rsidRPr="009A3627">
        <w:rPr>
          <w:i/>
        </w:rPr>
        <w:t>Response to the Home Secretary on the efficiency, effectiveness and profile of the IOPC.</w:t>
      </w:r>
      <w:r>
        <w:t xml:space="preserve"> Available at: https://assets.publishing.service.gov.uk/government/uploads/system/uploads/attachment_data/file/867998/Response_to_the_Home_Secretary_on_the_efficiency__effectiveness_and_profile_of_the_IOPC.pdf. [Accessed: 9th Apr. 2022]</w:t>
      </w:r>
    </w:p>
    <w:p w14:paraId="7E786F97" w14:textId="77777777" w:rsidR="009A3627" w:rsidRDefault="009A3627" w:rsidP="00FB3075"/>
    <w:p w14:paraId="7F265419" w14:textId="39B28981" w:rsidR="00B11FCC" w:rsidRDefault="00B11FCC" w:rsidP="00FB3075">
      <w:r>
        <w:lastRenderedPageBreak/>
        <w:t>Bryant, R. and Bryant, S. (2021</w:t>
      </w:r>
      <w:r w:rsidRPr="009A3627">
        <w:rPr>
          <w:i/>
        </w:rPr>
        <w:t>). Blackstone’s handbook for policing students</w:t>
      </w:r>
      <w:r>
        <w:t>. Oxford: Oxford University Press. [Accessed: 9th Apr. 2022]</w:t>
      </w:r>
    </w:p>
    <w:p w14:paraId="1151F62E" w14:textId="77777777" w:rsidR="009A3627" w:rsidRDefault="009A3627" w:rsidP="00FB3075"/>
    <w:p w14:paraId="7C75356B" w14:textId="1146B6EE" w:rsidR="00B11FCC" w:rsidRDefault="00B11FCC" w:rsidP="00FB3075">
      <w:r>
        <w:t>College of Policing. (2017). Multi-agency public protection arrangements (MAPPA). Available at: https://www.app.college.police.uk/app-content/major-investigation-and-public-protection/managing-sexual-offenders-and-violent-offenders/mappa/?msclkid=8665e816bc1711ec9949448c6f13d474 [Accessed 14 Apr. 2022].</w:t>
      </w:r>
    </w:p>
    <w:p w14:paraId="60E48441" w14:textId="77777777" w:rsidR="009A3627" w:rsidRDefault="009A3627" w:rsidP="00FB3075"/>
    <w:p w14:paraId="378F5144" w14:textId="0F7CD900" w:rsidR="00B11FCC" w:rsidRDefault="00B11FCC" w:rsidP="00FB3075">
      <w:r>
        <w:t xml:space="preserve">Constabulary, H.M.I. of and Fire (2018). </w:t>
      </w:r>
      <w:r w:rsidRPr="009A3627">
        <w:rPr>
          <w:i/>
        </w:rPr>
        <w:t>PEEL assessments 2021/22. HMICFRS</w:t>
      </w:r>
      <w:r>
        <w:t xml:space="preserve">.  Available at: https://www.justiceinspectorates.gov.uk/hmicfrs/peel-assessments/peel-assessments-2021-22/. [Accessed: 9th Apr. 2022] </w:t>
      </w:r>
    </w:p>
    <w:p w14:paraId="439DA16D" w14:textId="77777777" w:rsidR="009A3627" w:rsidRDefault="009A3627" w:rsidP="00FB3075"/>
    <w:p w14:paraId="102D803D" w14:textId="38A4380A" w:rsidR="00B11FCC" w:rsidRDefault="00B11FCC" w:rsidP="00FB3075">
      <w:r w:rsidRPr="00CA3F8F">
        <w:t xml:space="preserve">Curry, G.D. and Decker, S.H. (2010). Gang | crime. </w:t>
      </w:r>
      <w:r w:rsidRPr="00CA3F8F">
        <w:rPr>
          <w:i/>
          <w:iCs/>
        </w:rPr>
        <w:t>In: Encyclopædia Britannica</w:t>
      </w:r>
      <w:r w:rsidRPr="00CA3F8F">
        <w:t xml:space="preserve">. Available at: </w:t>
      </w:r>
      <w:hyperlink r:id="rId8" w:history="1">
        <w:r w:rsidRPr="00FF32A6">
          <w:rPr>
            <w:rStyle w:val="Hyperlink"/>
          </w:rPr>
          <w:t>https://www.britannica.com/topic/gang-crime</w:t>
        </w:r>
      </w:hyperlink>
      <w:r w:rsidRPr="00CA3F8F">
        <w:t>.</w:t>
      </w:r>
      <w:r>
        <w:t xml:space="preserve"> [Accessed: 28</w:t>
      </w:r>
      <w:r w:rsidRPr="00CA3F8F">
        <w:rPr>
          <w:vertAlign w:val="superscript"/>
        </w:rPr>
        <w:t>th</w:t>
      </w:r>
      <w:r>
        <w:t xml:space="preserve"> July 2022]</w:t>
      </w:r>
    </w:p>
    <w:p w14:paraId="0F06B5E5" w14:textId="77777777" w:rsidR="009A3627" w:rsidRDefault="009A3627" w:rsidP="00FB3075"/>
    <w:p w14:paraId="3C9D522B" w14:textId="6E44EEC1" w:rsidR="00B11FCC" w:rsidRDefault="00B11FCC" w:rsidP="00FB3075">
      <w:r>
        <w:t xml:space="preserve">Dodd, V. (2020). </w:t>
      </w:r>
      <w:r w:rsidRPr="009A3627">
        <w:rPr>
          <w:i/>
        </w:rPr>
        <w:t>Met Police Told 40% of Recruits Must Be from BAME Backgrounds</w:t>
      </w:r>
      <w:r>
        <w:t>. The Guardian. 13 Nov. Available at: https://www.theguardian.com/uk-news/2020/nov/13/met-police-told-40-of-recruits-must-be-from-bame-backgrounds. [Accessed: 20th June 2022]</w:t>
      </w:r>
    </w:p>
    <w:p w14:paraId="65884AA3" w14:textId="77777777" w:rsidR="009A3627" w:rsidRDefault="009A3627" w:rsidP="00FB3075"/>
    <w:p w14:paraId="7A660353" w14:textId="3EEB8989" w:rsidR="00B11FCC" w:rsidRDefault="00B11FCC" w:rsidP="00FB3075">
      <w:r>
        <w:t xml:space="preserve">Dopico, A. (2020). </w:t>
      </w:r>
      <w:r w:rsidRPr="00B11FCC">
        <w:rPr>
          <w:i/>
        </w:rPr>
        <w:t>What are the positive effects of multiculturalism? – JanetPanic.com. Janetpanic.com.</w:t>
      </w:r>
      <w:r>
        <w:t xml:space="preserve"> Available at: </w:t>
      </w:r>
      <w:hyperlink r:id="rId9" w:history="1">
        <w:r w:rsidR="009A3627" w:rsidRPr="00513830">
          <w:rPr>
            <w:rStyle w:val="Hyperlink"/>
          </w:rPr>
          <w:t>https://janetpanic.com/what-are-the-positive-effects-of-multiculturalism/#:~:text=What%20are%20the%20positive%20effects%20of%20multiculturalism%3F%201</w:t>
        </w:r>
      </w:hyperlink>
      <w:r w:rsidR="009A3627">
        <w:t xml:space="preserve"> </w:t>
      </w:r>
      <w:r>
        <w:t xml:space="preserve"> [Accessed 14 Apr. 2022]</w:t>
      </w:r>
    </w:p>
    <w:p w14:paraId="6D0830CC" w14:textId="77777777" w:rsidR="009A3627" w:rsidRDefault="009A3627" w:rsidP="00FB3075"/>
    <w:p w14:paraId="369A80D6" w14:textId="1E1D0548" w:rsidR="00B11FCC" w:rsidRDefault="00B11FCC" w:rsidP="00FB3075">
      <w:r>
        <w:t xml:space="preserve">Free Essays – PhDessay.com. (2017) </w:t>
      </w:r>
      <w:r w:rsidRPr="00CA3F8F">
        <w:rPr>
          <w:i/>
          <w:iCs/>
        </w:rPr>
        <w:t>Why do youths join gangs?</w:t>
      </w:r>
      <w:r>
        <w:t xml:space="preserve"> Available at: </w:t>
      </w:r>
      <w:hyperlink r:id="rId10" w:anchor=":~:text=Most%20commonly%2C%20teens%20become%20gang%20members%20to%20fill,for%20protection%2C%20loyalty%20and%20a%20sense%20of%20identity" w:history="1">
        <w:r w:rsidRPr="00FF32A6">
          <w:rPr>
            <w:rStyle w:val="Hyperlink"/>
          </w:rPr>
          <w:t>https://phdessay.com/why-do-youths-join-gangs/#:~:text=Most%20commonly%2C%20teens%20become%20gang%20members%20to%20fill,for%20protection%2C%20loyalty%20and%20a%20sense%20of%20identity</w:t>
        </w:r>
      </w:hyperlink>
      <w:r w:rsidRPr="00CA3F8F">
        <w:t>.</w:t>
      </w:r>
      <w:r>
        <w:t xml:space="preserve"> </w:t>
      </w:r>
    </w:p>
    <w:p w14:paraId="5A60640F" w14:textId="77777777" w:rsidR="009A3627" w:rsidRDefault="009A3627" w:rsidP="00FB3075"/>
    <w:p w14:paraId="604D6AFB" w14:textId="77777777" w:rsidR="00B11FCC" w:rsidRDefault="00B11FCC" w:rsidP="00FB3075">
      <w:r>
        <w:t xml:space="preserve">Home Office. (2014) </w:t>
      </w:r>
      <w:r w:rsidRPr="009A3627">
        <w:rPr>
          <w:i/>
        </w:rPr>
        <w:t>Multi Agency Working and Information Sharing Project Final report.</w:t>
      </w:r>
      <w:r>
        <w:t xml:space="preserve"> Available at: https://assets.publishing.service.gov.uk/government/uploads/system/uploads/attachment_data/file/338875/MASH.pdf?msclkid=b1495ac1bc1f11ec8a767420e4a30d62 [Accessed 14 Apr. 2022]. </w:t>
      </w:r>
    </w:p>
    <w:p w14:paraId="150E05D7" w14:textId="3C933898" w:rsidR="00B11FCC" w:rsidRDefault="00B11FCC" w:rsidP="00FB3075">
      <w:r>
        <w:t xml:space="preserve">Lynch, P. and Bradshaw, P. (2022). </w:t>
      </w:r>
      <w:r w:rsidRPr="009A3627">
        <w:rPr>
          <w:i/>
        </w:rPr>
        <w:t xml:space="preserve">Gross misconduct probe police officers avoid sack. </w:t>
      </w:r>
      <w:r>
        <w:t>BBC News.11 Feb. Available at: https://www.bbc.co.uk/news/uk-59594712?msclkid=f0627d0bb81e11ecbedf309775d5bf02. [Accessed: 9th Apr. 2022]</w:t>
      </w:r>
    </w:p>
    <w:p w14:paraId="76EEF4DC" w14:textId="77777777" w:rsidR="009A3627" w:rsidRDefault="009A3627" w:rsidP="00FB3075"/>
    <w:p w14:paraId="5602B6BC" w14:textId="48348D5D" w:rsidR="00B11FCC" w:rsidRDefault="00B11FCC" w:rsidP="00FB3075">
      <w:r>
        <w:lastRenderedPageBreak/>
        <w:t xml:space="preserve">NPCC (2018) </w:t>
      </w:r>
      <w:r w:rsidRPr="009A3627">
        <w:rPr>
          <w:i/>
        </w:rPr>
        <w:t>2018 – 2025 NPCC Diversity, Equality &amp; Inclusion Strategy</w:t>
      </w:r>
      <w:r>
        <w:t>. https://www.npcc.police.uk/documents/edhr/2018/NPCC%20Diversity%20Equality%20Inclusion%20Strategy%20May%202018.pdf?msclkid=3178a9f0bbf011ec8e830f049f07dd59 [Accessed: 14th Apr. 2022]</w:t>
      </w:r>
    </w:p>
    <w:p w14:paraId="232002ED" w14:textId="77777777" w:rsidR="009A3627" w:rsidRDefault="009A3627" w:rsidP="00FB3075"/>
    <w:p w14:paraId="41293BE3" w14:textId="37B52D2F" w:rsidR="00B11FCC" w:rsidRDefault="00B11FCC" w:rsidP="00FB3075">
      <w:r>
        <w:t xml:space="preserve">Policeconduct.gov.uk. (2020). </w:t>
      </w:r>
      <w:r w:rsidRPr="009A3627">
        <w:rPr>
          <w:i/>
        </w:rPr>
        <w:t>StackPath</w:t>
      </w:r>
      <w:r>
        <w:t xml:space="preserve">. Available at: </w:t>
      </w:r>
      <w:hyperlink r:id="rId11" w:history="1">
        <w:r w:rsidR="009A3627" w:rsidRPr="00513830">
          <w:rPr>
            <w:rStyle w:val="Hyperlink"/>
          </w:rPr>
          <w:t>https://policeconduct.gov.uk/investigations/what-we-investigate-and-next-steps</w:t>
        </w:r>
      </w:hyperlink>
      <w:r>
        <w:t>.</w:t>
      </w:r>
      <w:r w:rsidR="009A3627">
        <w:t xml:space="preserve"> </w:t>
      </w:r>
      <w:r>
        <w:t xml:space="preserve"> [Accessed: 9th Apr. 2022]</w:t>
      </w:r>
    </w:p>
    <w:p w14:paraId="655A5217" w14:textId="77777777" w:rsidR="009A3627" w:rsidRDefault="009A3627" w:rsidP="00FB3075"/>
    <w:p w14:paraId="65EB5B63" w14:textId="18486D20" w:rsidR="00B11FCC" w:rsidRDefault="00B11FCC" w:rsidP="00E004D4">
      <w:pPr>
        <w:rPr>
          <w:bCs/>
        </w:rPr>
      </w:pPr>
      <w:r w:rsidRPr="00E004D4">
        <w:rPr>
          <w:bCs/>
        </w:rPr>
        <w:t xml:space="preserve">Public Health England (2019). </w:t>
      </w:r>
      <w:r w:rsidRPr="00E004D4">
        <w:rPr>
          <w:bCs/>
          <w:i/>
        </w:rPr>
        <w:t xml:space="preserve">Collaborative approaches to preventing offending and re-offending by children (CAPRICORN): summary. GOV.UK. </w:t>
      </w:r>
      <w:r w:rsidRPr="00E004D4">
        <w:rPr>
          <w:bCs/>
        </w:rPr>
        <w:t xml:space="preserve">Available at: </w:t>
      </w:r>
      <w:hyperlink r:id="rId12" w:history="1">
        <w:r w:rsidR="009A3627" w:rsidRPr="00513830">
          <w:rPr>
            <w:rStyle w:val="Hyperlink"/>
            <w:bCs/>
          </w:rPr>
          <w:t>https://www.gov.uk/government/publications/preventing-offending-and-re-offending-by-children/collaborative-approaches-to-preventing-offending-and-re-offending-by-children-capricorn-summary</w:t>
        </w:r>
      </w:hyperlink>
      <w:r>
        <w:rPr>
          <w:bCs/>
        </w:rPr>
        <w:t>.</w:t>
      </w:r>
    </w:p>
    <w:p w14:paraId="6C0ECA18" w14:textId="77777777" w:rsidR="009A3627" w:rsidRPr="00E004D4" w:rsidRDefault="009A3627" w:rsidP="00E004D4">
      <w:pPr>
        <w:rPr>
          <w:bCs/>
        </w:rPr>
      </w:pPr>
    </w:p>
    <w:p w14:paraId="111DE2B3" w14:textId="77777777" w:rsidR="00B11FCC" w:rsidRDefault="00B11FCC" w:rsidP="00FB3075">
      <w:r>
        <w:t xml:space="preserve">Robert Longley (2019). </w:t>
      </w:r>
      <w:r w:rsidRPr="009A3627">
        <w:rPr>
          <w:i/>
        </w:rPr>
        <w:t>What Is Multiculturalism? Definition, Theories, and Examples. ThoughtCo.</w:t>
      </w:r>
      <w:r>
        <w:t xml:space="preserve"> Available at: https://www.thoughtco.com/what-is-multiculturalism-4689285. [Accessed: 14th Apr. 2022] </w:t>
      </w:r>
    </w:p>
    <w:p w14:paraId="428E9890" w14:textId="33C692CA" w:rsidR="00B11FCC" w:rsidRDefault="00B11FCC" w:rsidP="00FB3075">
      <w:r>
        <w:t>Silverstone, D. and Walker, D. (2020</w:t>
      </w:r>
      <w:r w:rsidRPr="009A3627">
        <w:rPr>
          <w:i/>
        </w:rPr>
        <w:t>). Police force diversity is improving in the UK – but there’s a long way to go. The Conversation</w:t>
      </w:r>
      <w:r>
        <w:t>. Available at: https://theconversation.com/police-force-diversity-is-improving-in-the-uk-but-theres-a-long-way-to-go-139997. [Accessed: 20th June 2022]</w:t>
      </w:r>
    </w:p>
    <w:p w14:paraId="63FA2A45" w14:textId="77777777" w:rsidR="009A3627" w:rsidRDefault="009A3627" w:rsidP="00FB3075"/>
    <w:p w14:paraId="737F943E" w14:textId="1E54E6A8" w:rsidR="00B11FCC" w:rsidRDefault="00B11FCC" w:rsidP="00330AA2">
      <w:pPr>
        <w:rPr>
          <w:bCs/>
        </w:rPr>
      </w:pPr>
      <w:r w:rsidRPr="00330AA2">
        <w:rPr>
          <w:bCs/>
        </w:rPr>
        <w:t>S</w:t>
      </w:r>
      <w:r>
        <w:rPr>
          <w:bCs/>
        </w:rPr>
        <w:t>t Giles</w:t>
      </w:r>
      <w:r w:rsidRPr="00330AA2">
        <w:rPr>
          <w:bCs/>
        </w:rPr>
        <w:t>.</w:t>
      </w:r>
      <w:r>
        <w:rPr>
          <w:bCs/>
        </w:rPr>
        <w:t xml:space="preserve"> (2022</w:t>
      </w:r>
      <w:r w:rsidRPr="00330AA2">
        <w:rPr>
          <w:bCs/>
        </w:rPr>
        <w:t xml:space="preserve">). </w:t>
      </w:r>
      <w:r w:rsidRPr="00330AA2">
        <w:rPr>
          <w:bCs/>
          <w:i/>
        </w:rPr>
        <w:t>Kent County Lines Final Evaluation.</w:t>
      </w:r>
      <w:r>
        <w:rPr>
          <w:bCs/>
        </w:rPr>
        <w:t xml:space="preserve"> </w:t>
      </w:r>
      <w:r w:rsidRPr="00330AA2">
        <w:rPr>
          <w:bCs/>
        </w:rPr>
        <w:t xml:space="preserve"> Available at: </w:t>
      </w:r>
      <w:hyperlink r:id="rId13" w:history="1">
        <w:r w:rsidRPr="00E75A4B">
          <w:rPr>
            <w:rStyle w:val="Hyperlink"/>
            <w:bCs/>
          </w:rPr>
          <w:t>https://www.stgilestrust.org.uk/our-impact/evaluations-of-our-work/children-and-young-people/kent-county-lines-final-evaluation/</w:t>
        </w:r>
      </w:hyperlink>
      <w:r>
        <w:rPr>
          <w:bCs/>
        </w:rPr>
        <w:t xml:space="preserve"> </w:t>
      </w:r>
      <w:r w:rsidRPr="00330AA2">
        <w:rPr>
          <w:bCs/>
        </w:rPr>
        <w:t xml:space="preserve"> [Accessed 29 Jul. 2022].</w:t>
      </w:r>
    </w:p>
    <w:p w14:paraId="3A218A62" w14:textId="77777777" w:rsidR="009A3627" w:rsidRPr="00330AA2" w:rsidRDefault="009A3627" w:rsidP="00330AA2">
      <w:pPr>
        <w:rPr>
          <w:bCs/>
        </w:rPr>
      </w:pPr>
    </w:p>
    <w:p w14:paraId="0066F6C1" w14:textId="1B941976" w:rsidR="00B11FCC" w:rsidRDefault="00B11FCC" w:rsidP="00330AA2">
      <w:pPr>
        <w:rPr>
          <w:bCs/>
        </w:rPr>
      </w:pPr>
      <w:r w:rsidRPr="00330AA2">
        <w:rPr>
          <w:bCs/>
        </w:rPr>
        <w:t xml:space="preserve">Theobald D, Farrington D.P (2014) </w:t>
      </w:r>
      <w:r w:rsidRPr="00330AA2">
        <w:rPr>
          <w:bCs/>
          <w:i/>
        </w:rPr>
        <w:t>Onset of offending. Enclypodedia of criminology and criminal justice</w:t>
      </w:r>
      <w:r>
        <w:rPr>
          <w:bCs/>
        </w:rPr>
        <w:t xml:space="preserve">. </w:t>
      </w:r>
      <w:r w:rsidRPr="00330AA2">
        <w:rPr>
          <w:bCs/>
        </w:rPr>
        <w:t xml:space="preserve">Available at: </w:t>
      </w:r>
      <w:hyperlink r:id="rId14" w:history="1">
        <w:r w:rsidRPr="00E75A4B">
          <w:rPr>
            <w:rStyle w:val="Hyperlink"/>
            <w:bCs/>
          </w:rPr>
          <w:t>https://doi.org/10.1007/978-1-4614-5690-2_86</w:t>
        </w:r>
      </w:hyperlink>
      <w:r>
        <w:rPr>
          <w:bCs/>
        </w:rPr>
        <w:t xml:space="preserve"> [Accessed: 29</w:t>
      </w:r>
      <w:r w:rsidRPr="00330AA2">
        <w:rPr>
          <w:bCs/>
          <w:vertAlign w:val="superscript"/>
        </w:rPr>
        <w:t>th</w:t>
      </w:r>
      <w:r>
        <w:rPr>
          <w:bCs/>
        </w:rPr>
        <w:t xml:space="preserve"> July 2022]</w:t>
      </w:r>
    </w:p>
    <w:p w14:paraId="1BA18415" w14:textId="77777777" w:rsidR="009A3627" w:rsidRPr="00330AA2" w:rsidRDefault="009A3627" w:rsidP="00330AA2">
      <w:pPr>
        <w:rPr>
          <w:bCs/>
        </w:rPr>
      </w:pPr>
    </w:p>
    <w:p w14:paraId="0914F0B4" w14:textId="1DA76588" w:rsidR="00B11FCC" w:rsidRDefault="00B11FCC" w:rsidP="00FB3075">
      <w:r>
        <w:t>Thomas, N. (2022</w:t>
      </w:r>
      <w:r w:rsidRPr="009A3627">
        <w:rPr>
          <w:i/>
        </w:rPr>
        <w:t>). IOPC: How effective is the complaints system for police conduct? South Wales Argus.</w:t>
      </w:r>
      <w:r>
        <w:t xml:space="preserve"> Available at: https://www.southwalesargus.co.uk/news/19917314.analysing-iopc-police-misconduct-complaints-system/?msclkid=6b972b12b80e11ec98959cded276c14b [Accessed 9 Apr. 2022].  </w:t>
      </w:r>
    </w:p>
    <w:p w14:paraId="39EEDCA9" w14:textId="77777777" w:rsidR="009A3627" w:rsidRDefault="009A3627" w:rsidP="00FB3075"/>
    <w:p w14:paraId="0362F1C7" w14:textId="5ED6FDED" w:rsidR="00B11FCC" w:rsidRDefault="00B11FCC" w:rsidP="00FB3075">
      <w:r>
        <w:t>Thomson, R. (2010</w:t>
      </w:r>
      <w:r w:rsidRPr="009A3627">
        <w:rPr>
          <w:i/>
        </w:rPr>
        <w:t>). INDEPENDENT MULTI-AGENCY SIGNIFICANT CASE REVIEW.</w:t>
      </w:r>
      <w:r>
        <w:t xml:space="preserve"> Available at: https://www.east-ayrshire.gov.uk/Resources/PDF/I/IndependentSignificantCaseReviewThomasBennieSmith.pdf?msclkid=051746e3bc1511ec8acdfe43983a58d8. [Accessed: 14th Apr. 2022]</w:t>
      </w:r>
    </w:p>
    <w:p w14:paraId="78D850F9" w14:textId="77777777" w:rsidR="009A3627" w:rsidRDefault="009A3627" w:rsidP="00FB3075"/>
    <w:p w14:paraId="05E20C9E" w14:textId="21141DA0" w:rsidR="00B11FCC" w:rsidRDefault="00B11FCC" w:rsidP="00FB3075">
      <w:r w:rsidRPr="00EF2F47">
        <w:lastRenderedPageBreak/>
        <w:t xml:space="preserve">Waddell, S. (2018). </w:t>
      </w:r>
      <w:r w:rsidRPr="00EF2F47">
        <w:rPr>
          <w:i/>
          <w:iCs/>
        </w:rPr>
        <w:t>What works to prevent gang involvement, youth violence and crime: A rapid review of interventions delivered in the UK and abroad.</w:t>
      </w:r>
      <w:r w:rsidRPr="00EF2F47">
        <w:t xml:space="preserve"> </w:t>
      </w:r>
      <w:r w:rsidRPr="00EF2F47">
        <w:rPr>
          <w:i/>
          <w:iCs/>
        </w:rPr>
        <w:t>Early Intervention Foundation</w:t>
      </w:r>
      <w:r w:rsidRPr="00EF2F47">
        <w:t xml:space="preserve">. Available at: </w:t>
      </w:r>
      <w:hyperlink r:id="rId15" w:history="1">
        <w:r w:rsidRPr="00FF32A6">
          <w:rPr>
            <w:rStyle w:val="Hyperlink"/>
          </w:rPr>
          <w:t>https://www.eif.org.uk/report/what-works-to-prevent-gang-involvement-youth-violence-and-crime-a-rapid-review-of-interventions-delivered-in-the-uk-and-abroad</w:t>
        </w:r>
      </w:hyperlink>
      <w:r w:rsidRPr="00EF2F47">
        <w:t>.</w:t>
      </w:r>
      <w:r>
        <w:t xml:space="preserve"> [Accessed: 28</w:t>
      </w:r>
      <w:r w:rsidRPr="00EF2F47">
        <w:rPr>
          <w:vertAlign w:val="superscript"/>
        </w:rPr>
        <w:t>th</w:t>
      </w:r>
      <w:r>
        <w:t xml:space="preserve"> July 2022]</w:t>
      </w:r>
    </w:p>
    <w:p w14:paraId="1BC139E6" w14:textId="77777777" w:rsidR="009A3627" w:rsidRDefault="009A3627" w:rsidP="00FB3075"/>
    <w:p w14:paraId="4C0ACFDC" w14:textId="4C447530" w:rsidR="00B11FCC" w:rsidRDefault="00B11FCC" w:rsidP="00FB3075">
      <w:r w:rsidRPr="004452A4">
        <w:t xml:space="preserve">Waddell, S. and Jones, N. (2018). </w:t>
      </w:r>
      <w:r w:rsidRPr="004452A4">
        <w:rPr>
          <w:i/>
          <w:iCs/>
        </w:rPr>
        <w:t>INTERVENING EARLY TO PREVENT  GANG AND YOUTH VIOLENCE:</w:t>
      </w:r>
      <w:r w:rsidRPr="004452A4">
        <w:t xml:space="preserve">  </w:t>
      </w:r>
      <w:r w:rsidRPr="004452A4">
        <w:rPr>
          <w:i/>
          <w:iCs/>
        </w:rPr>
        <w:t>THE ROLE OF PRIMARY SCHOOLS</w:t>
      </w:r>
      <w:r w:rsidRPr="004452A4">
        <w:t xml:space="preserve">. </w:t>
      </w:r>
      <w:r w:rsidRPr="004452A4">
        <w:rPr>
          <w:i/>
          <w:iCs/>
        </w:rPr>
        <w:t>Early Intervention Foundation.</w:t>
      </w:r>
      <w:r w:rsidRPr="004452A4">
        <w:t xml:space="preserve"> Available at: </w:t>
      </w:r>
      <w:hyperlink r:id="rId16" w:history="1">
        <w:r w:rsidRPr="00FF32A6">
          <w:rPr>
            <w:rStyle w:val="Hyperlink"/>
          </w:rPr>
          <w:t>file:///C:/Users/SWP6931/Downloads/intervening-early-gang-youth-violence-primary-schools.pdf</w:t>
        </w:r>
      </w:hyperlink>
      <w:r w:rsidRPr="004452A4">
        <w:t>.</w:t>
      </w:r>
      <w:r>
        <w:t xml:space="preserve"> [Accessed: 28</w:t>
      </w:r>
      <w:r w:rsidRPr="004452A4">
        <w:rPr>
          <w:vertAlign w:val="superscript"/>
        </w:rPr>
        <w:t>th</w:t>
      </w:r>
      <w:r>
        <w:t xml:space="preserve"> July 2022]</w:t>
      </w:r>
    </w:p>
    <w:p w14:paraId="7950853B" w14:textId="77777777" w:rsidR="009A3627" w:rsidRDefault="009A3627" w:rsidP="00FB3075"/>
    <w:p w14:paraId="55D50247" w14:textId="77777777" w:rsidR="00B11FCC" w:rsidRDefault="00B11FCC" w:rsidP="00FB3075">
      <w:r>
        <w:t xml:space="preserve">Winchester, N. (2020) </w:t>
      </w:r>
      <w:r w:rsidRPr="009A3627">
        <w:rPr>
          <w:i/>
        </w:rPr>
        <w:t>Policing in the UK: Serious and Organised Crime</w:t>
      </w:r>
      <w:r>
        <w:t>. Available at: https://researchbriefings.files.parliament.uk/documents/LLN-2020-0016/LLN-2020-0016.pdf?msclkid=29cf7d3ebc0d11ecb07be1c94bd0e97a [Accessed: 14th Apr. 2022]</w:t>
      </w:r>
    </w:p>
    <w:p w14:paraId="5F4F60E2" w14:textId="0344AAAD" w:rsidR="00971952" w:rsidRDefault="00971952" w:rsidP="00FB3075"/>
    <w:sectPr w:rsidR="00971952" w:rsidSect="00A661E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4F479" w14:textId="77777777" w:rsidR="00B11FCC" w:rsidRDefault="00B11FCC" w:rsidP="00FB3075">
      <w:pPr>
        <w:spacing w:after="0" w:line="240" w:lineRule="auto"/>
      </w:pPr>
      <w:r>
        <w:separator/>
      </w:r>
    </w:p>
  </w:endnote>
  <w:endnote w:type="continuationSeparator" w:id="0">
    <w:p w14:paraId="401DAAB2" w14:textId="77777777" w:rsidR="00B11FCC" w:rsidRDefault="00B11FCC" w:rsidP="00FB3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6E00D" w14:textId="0C6D6F55" w:rsidR="00B11FCC" w:rsidRDefault="00E7690F" w:rsidP="00E7690F">
    <w:pPr>
      <w:pStyle w:val="Footer"/>
      <w:rPr>
        <w:color w:val="000000"/>
        <w:sz w:val="17"/>
      </w:rPr>
    </w:pPr>
    <w:bookmarkStart w:id="3" w:name="TITUS1FooterEvenPages"/>
    <w:r>
      <w:rPr>
        <w:color w:val="000000"/>
        <w:sz w:val="17"/>
      </w:rPr>
      <w:t> </w:t>
    </w:r>
  </w:p>
  <w:bookmarkEnd w:id="3"/>
  <w:p w14:paraId="592DD3E8" w14:textId="77777777" w:rsidR="00B11FCC" w:rsidRDefault="00B11FCC" w:rsidP="00682E3F">
    <w:pPr>
      <w:pStyle w:val="Footer"/>
    </w:pPr>
  </w:p>
  <w:p w14:paraId="0AE27A1A" w14:textId="77777777" w:rsidR="00B11FCC" w:rsidRDefault="00B11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44FB6" w14:textId="1F5BEEFB" w:rsidR="00B11FCC" w:rsidRDefault="00E7690F" w:rsidP="00E7690F">
    <w:pPr>
      <w:pStyle w:val="Footer"/>
      <w:rPr>
        <w:color w:val="000000"/>
        <w:sz w:val="17"/>
      </w:rPr>
    </w:pPr>
    <w:bookmarkStart w:id="4" w:name="TITUS1FooterPrimary"/>
    <w:r>
      <w:rPr>
        <w:color w:val="000000"/>
        <w:sz w:val="17"/>
      </w:rPr>
      <w:t> </w:t>
    </w:r>
  </w:p>
  <w:bookmarkEnd w:id="4"/>
  <w:p w14:paraId="37E599F4" w14:textId="77777777" w:rsidR="00B11FCC" w:rsidRDefault="00B11F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9A125" w14:textId="30001E6C" w:rsidR="00B11FCC" w:rsidRDefault="00E7690F" w:rsidP="00E7690F">
    <w:pPr>
      <w:pStyle w:val="Footer"/>
      <w:rPr>
        <w:color w:val="000000"/>
        <w:sz w:val="17"/>
      </w:rPr>
    </w:pPr>
    <w:bookmarkStart w:id="6" w:name="TITUS1FooterFirstPage"/>
    <w:r>
      <w:rPr>
        <w:color w:val="000000"/>
        <w:sz w:val="17"/>
      </w:rPr>
      <w:t> </w:t>
    </w:r>
  </w:p>
  <w:bookmarkEnd w:id="6"/>
  <w:p w14:paraId="2EDE980F" w14:textId="77777777" w:rsidR="00B11FCC" w:rsidRDefault="00B11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B7DF8" w14:textId="77777777" w:rsidR="00B11FCC" w:rsidRDefault="00B11FCC" w:rsidP="00FB3075">
      <w:pPr>
        <w:spacing w:after="0" w:line="240" w:lineRule="auto"/>
      </w:pPr>
      <w:r>
        <w:separator/>
      </w:r>
    </w:p>
  </w:footnote>
  <w:footnote w:type="continuationSeparator" w:id="0">
    <w:p w14:paraId="024C207E" w14:textId="77777777" w:rsidR="00B11FCC" w:rsidRDefault="00B11FCC" w:rsidP="00FB3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AE517" w14:textId="3C6D7AA5" w:rsidR="00B11FCC" w:rsidRDefault="00E7690F" w:rsidP="00E7690F">
    <w:pPr>
      <w:pStyle w:val="Header"/>
      <w:rPr>
        <w:color w:val="000000"/>
        <w:sz w:val="17"/>
      </w:rPr>
    </w:pPr>
    <w:bookmarkStart w:id="1" w:name="TITUS1HeaderEvenPages"/>
    <w:r>
      <w:rPr>
        <w:color w:val="000000"/>
        <w:sz w:val="17"/>
      </w:rPr>
      <w:t> </w:t>
    </w:r>
  </w:p>
  <w:bookmarkEnd w:id="1"/>
  <w:p w14:paraId="6A615056" w14:textId="77777777" w:rsidR="00B11FCC" w:rsidRDefault="00B11FCC" w:rsidP="00682E3F">
    <w:pPr>
      <w:pStyle w:val="Header"/>
    </w:pPr>
  </w:p>
  <w:p w14:paraId="3D7098F7" w14:textId="77777777" w:rsidR="00B11FCC" w:rsidRDefault="00B11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CA25A" w14:textId="2E6FBE29" w:rsidR="00B11FCC" w:rsidRDefault="00E7690F" w:rsidP="00E7690F">
    <w:pPr>
      <w:pStyle w:val="Header"/>
      <w:rPr>
        <w:color w:val="000000"/>
        <w:sz w:val="17"/>
      </w:rPr>
    </w:pPr>
    <w:bookmarkStart w:id="2" w:name="TITUS1HeaderPrimary"/>
    <w:r>
      <w:rPr>
        <w:color w:val="000000"/>
        <w:sz w:val="17"/>
      </w:rPr>
      <w:t> </w:t>
    </w:r>
  </w:p>
  <w:bookmarkEnd w:id="2"/>
  <w:p w14:paraId="022BFC44" w14:textId="77777777" w:rsidR="00B11FCC" w:rsidRDefault="00B11F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463F0" w14:textId="4AFD1A3D" w:rsidR="00B11FCC" w:rsidRDefault="00E7690F" w:rsidP="00E7690F">
    <w:pPr>
      <w:pStyle w:val="Header"/>
      <w:rPr>
        <w:color w:val="000000"/>
        <w:sz w:val="17"/>
      </w:rPr>
    </w:pPr>
    <w:bookmarkStart w:id="5" w:name="TITUS1HeaderFirstPage"/>
    <w:r>
      <w:rPr>
        <w:color w:val="000000"/>
        <w:sz w:val="17"/>
      </w:rPr>
      <w:t> </w:t>
    </w:r>
  </w:p>
  <w:bookmarkEnd w:id="5"/>
  <w:p w14:paraId="26490F42" w14:textId="77777777" w:rsidR="00B11FCC" w:rsidRDefault="00B11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4843F5"/>
    <w:multiLevelType w:val="hybridMultilevel"/>
    <w:tmpl w:val="B1801B80"/>
    <w:lvl w:ilvl="0" w:tplc="80363F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D143A0"/>
    <w:multiLevelType w:val="hybridMultilevel"/>
    <w:tmpl w:val="9D08A402"/>
    <w:lvl w:ilvl="0" w:tplc="7C96E7A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075"/>
    <w:rsid w:val="0005589D"/>
    <w:rsid w:val="002847E4"/>
    <w:rsid w:val="00330AA2"/>
    <w:rsid w:val="0034579A"/>
    <w:rsid w:val="004452A4"/>
    <w:rsid w:val="00486ADD"/>
    <w:rsid w:val="00490EED"/>
    <w:rsid w:val="004B354B"/>
    <w:rsid w:val="0051176E"/>
    <w:rsid w:val="00512BE3"/>
    <w:rsid w:val="00566951"/>
    <w:rsid w:val="005D1879"/>
    <w:rsid w:val="006154FC"/>
    <w:rsid w:val="006543ED"/>
    <w:rsid w:val="00682E3F"/>
    <w:rsid w:val="006B75DE"/>
    <w:rsid w:val="00727BA3"/>
    <w:rsid w:val="00731322"/>
    <w:rsid w:val="007B1EBB"/>
    <w:rsid w:val="00812A68"/>
    <w:rsid w:val="008311CB"/>
    <w:rsid w:val="0085028D"/>
    <w:rsid w:val="00872340"/>
    <w:rsid w:val="00881CB1"/>
    <w:rsid w:val="008C58B3"/>
    <w:rsid w:val="008F5976"/>
    <w:rsid w:val="00921A4F"/>
    <w:rsid w:val="00965A3D"/>
    <w:rsid w:val="00971952"/>
    <w:rsid w:val="00974AB0"/>
    <w:rsid w:val="009A3627"/>
    <w:rsid w:val="009A5F8A"/>
    <w:rsid w:val="009F2E38"/>
    <w:rsid w:val="00A40EC1"/>
    <w:rsid w:val="00A441A8"/>
    <w:rsid w:val="00A661E0"/>
    <w:rsid w:val="00AB74A6"/>
    <w:rsid w:val="00B11FCC"/>
    <w:rsid w:val="00B75309"/>
    <w:rsid w:val="00BA5FBF"/>
    <w:rsid w:val="00C611F2"/>
    <w:rsid w:val="00C70CFE"/>
    <w:rsid w:val="00C838BD"/>
    <w:rsid w:val="00CA3F8F"/>
    <w:rsid w:val="00CD6EEB"/>
    <w:rsid w:val="00D10C3E"/>
    <w:rsid w:val="00D27391"/>
    <w:rsid w:val="00D66D76"/>
    <w:rsid w:val="00E004D4"/>
    <w:rsid w:val="00E30046"/>
    <w:rsid w:val="00E62828"/>
    <w:rsid w:val="00E7690F"/>
    <w:rsid w:val="00E96CED"/>
    <w:rsid w:val="00EA14DF"/>
    <w:rsid w:val="00EC1B07"/>
    <w:rsid w:val="00ED2C72"/>
    <w:rsid w:val="00EF2F47"/>
    <w:rsid w:val="00F969FB"/>
    <w:rsid w:val="00FB3075"/>
    <w:rsid w:val="00FE3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D3922"/>
  <w15:chartTrackingRefBased/>
  <w15:docId w15:val="{DE1D87AE-B611-4A55-940E-4BD207D5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195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F8F"/>
    <w:rPr>
      <w:color w:val="0563C1" w:themeColor="hyperlink"/>
      <w:u w:val="single"/>
    </w:rPr>
  </w:style>
  <w:style w:type="character" w:customStyle="1" w:styleId="UnresolvedMention">
    <w:name w:val="Unresolved Mention"/>
    <w:basedOn w:val="DefaultParagraphFont"/>
    <w:uiPriority w:val="99"/>
    <w:semiHidden/>
    <w:unhideWhenUsed/>
    <w:rsid w:val="00CA3F8F"/>
    <w:rPr>
      <w:color w:val="605E5C"/>
      <w:shd w:val="clear" w:color="auto" w:fill="E1DFDD"/>
    </w:rPr>
  </w:style>
  <w:style w:type="paragraph" w:styleId="Header">
    <w:name w:val="header"/>
    <w:basedOn w:val="Normal"/>
    <w:link w:val="HeaderChar"/>
    <w:uiPriority w:val="99"/>
    <w:unhideWhenUsed/>
    <w:rsid w:val="00A66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1E0"/>
  </w:style>
  <w:style w:type="paragraph" w:styleId="Footer">
    <w:name w:val="footer"/>
    <w:basedOn w:val="Normal"/>
    <w:link w:val="FooterChar"/>
    <w:uiPriority w:val="99"/>
    <w:unhideWhenUsed/>
    <w:rsid w:val="00A66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1E0"/>
  </w:style>
  <w:style w:type="character" w:customStyle="1" w:styleId="Heading1Char">
    <w:name w:val="Heading 1 Char"/>
    <w:basedOn w:val="DefaultParagraphFont"/>
    <w:link w:val="Heading1"/>
    <w:uiPriority w:val="9"/>
    <w:rsid w:val="0097195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71952"/>
  </w:style>
  <w:style w:type="paragraph" w:styleId="ListParagraph">
    <w:name w:val="List Paragraph"/>
    <w:basedOn w:val="Normal"/>
    <w:uiPriority w:val="34"/>
    <w:qFormat/>
    <w:rsid w:val="009719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246044">
      <w:bodyDiv w:val="1"/>
      <w:marLeft w:val="0"/>
      <w:marRight w:val="0"/>
      <w:marTop w:val="0"/>
      <w:marBottom w:val="0"/>
      <w:divBdr>
        <w:top w:val="none" w:sz="0" w:space="0" w:color="auto"/>
        <w:left w:val="none" w:sz="0" w:space="0" w:color="auto"/>
        <w:bottom w:val="none" w:sz="0" w:space="0" w:color="auto"/>
        <w:right w:val="none" w:sz="0" w:space="0" w:color="auto"/>
      </w:divBdr>
    </w:div>
    <w:div w:id="414984246">
      <w:bodyDiv w:val="1"/>
      <w:marLeft w:val="0"/>
      <w:marRight w:val="0"/>
      <w:marTop w:val="0"/>
      <w:marBottom w:val="0"/>
      <w:divBdr>
        <w:top w:val="none" w:sz="0" w:space="0" w:color="auto"/>
        <w:left w:val="none" w:sz="0" w:space="0" w:color="auto"/>
        <w:bottom w:val="none" w:sz="0" w:space="0" w:color="auto"/>
        <w:right w:val="none" w:sz="0" w:space="0" w:color="auto"/>
      </w:divBdr>
    </w:div>
    <w:div w:id="425614648">
      <w:bodyDiv w:val="1"/>
      <w:marLeft w:val="0"/>
      <w:marRight w:val="0"/>
      <w:marTop w:val="0"/>
      <w:marBottom w:val="0"/>
      <w:divBdr>
        <w:top w:val="none" w:sz="0" w:space="0" w:color="auto"/>
        <w:left w:val="none" w:sz="0" w:space="0" w:color="auto"/>
        <w:bottom w:val="none" w:sz="0" w:space="0" w:color="auto"/>
        <w:right w:val="none" w:sz="0" w:space="0" w:color="auto"/>
      </w:divBdr>
    </w:div>
    <w:div w:id="823425995">
      <w:bodyDiv w:val="1"/>
      <w:marLeft w:val="0"/>
      <w:marRight w:val="0"/>
      <w:marTop w:val="0"/>
      <w:marBottom w:val="0"/>
      <w:divBdr>
        <w:top w:val="none" w:sz="0" w:space="0" w:color="auto"/>
        <w:left w:val="none" w:sz="0" w:space="0" w:color="auto"/>
        <w:bottom w:val="none" w:sz="0" w:space="0" w:color="auto"/>
        <w:right w:val="none" w:sz="0" w:space="0" w:color="auto"/>
      </w:divBdr>
    </w:div>
    <w:div w:id="1622880458">
      <w:bodyDiv w:val="1"/>
      <w:marLeft w:val="0"/>
      <w:marRight w:val="0"/>
      <w:marTop w:val="0"/>
      <w:marBottom w:val="0"/>
      <w:divBdr>
        <w:top w:val="none" w:sz="0" w:space="0" w:color="auto"/>
        <w:left w:val="none" w:sz="0" w:space="0" w:color="auto"/>
        <w:bottom w:val="none" w:sz="0" w:space="0" w:color="auto"/>
        <w:right w:val="none" w:sz="0" w:space="0" w:color="auto"/>
      </w:divBdr>
    </w:div>
    <w:div w:id="1957711200">
      <w:bodyDiv w:val="1"/>
      <w:marLeft w:val="0"/>
      <w:marRight w:val="0"/>
      <w:marTop w:val="0"/>
      <w:marBottom w:val="0"/>
      <w:divBdr>
        <w:top w:val="none" w:sz="0" w:space="0" w:color="auto"/>
        <w:left w:val="none" w:sz="0" w:space="0" w:color="auto"/>
        <w:bottom w:val="none" w:sz="0" w:space="0" w:color="auto"/>
        <w:right w:val="none" w:sz="0" w:space="0" w:color="auto"/>
      </w:divBdr>
    </w:div>
    <w:div w:id="204046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gang-crime" TargetMode="External"/><Relationship Id="rId13" Type="http://schemas.openxmlformats.org/officeDocument/2006/relationships/hyperlink" Target="https://www.stgilestrust.org.uk/our-impact/evaluations-of-our-work/children-and-young-people/kent-county-lines-final-evaluati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government/publications/preventing-offending-and-re-offending-by-children/collaborative-approaches-to-preventing-offending-and-re-offending-by-children-capricorn-summar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SWP6931/Downloads/intervening-early-gang-youth-violence-primary-school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liceconduct.gov.uk/investigations/what-we-investigate-and-next-step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f.org.uk/report/what-works-to-prevent-gang-involvement-youth-violence-and-crime-a-rapid-review-of-interventions-delivered-in-the-uk-and-abroad" TargetMode="External"/><Relationship Id="rId23" Type="http://schemas.openxmlformats.org/officeDocument/2006/relationships/fontTable" Target="fontTable.xml"/><Relationship Id="rId10" Type="http://schemas.openxmlformats.org/officeDocument/2006/relationships/hyperlink" Target="https://phdessay.com/why-do-youths-join-gang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anetpanic.com/what-are-the-positive-effects-of-multiculturalism/#:~:text=What%20are%20the%20positive%20effects%20of%20multiculturalism%3F%201" TargetMode="External"/><Relationship Id="rId14" Type="http://schemas.openxmlformats.org/officeDocument/2006/relationships/hyperlink" Target="https://doi.org/10.1007/978-1-4614-5690-2_86"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Hom19</b:Tag>
    <b:SourceType>InternetSite</b:SourceType>
    <b:Guid>{1611C34B-A6D8-4F41-B2FC-5BF4D9DC7F46}</b:Guid>
    <b:Year>2019</b:Year>
    <b:Author>
      <b:Author>
        <b:Corporate>Home Secretary</b:Corporate>
      </b:Author>
    </b:Author>
    <b:YearAccessed>2022</b:YearAccessed>
    <b:MonthAccessed>April</b:MonthAccessed>
    <b:DayAccessed>9</b:DayAccessed>
    <b:RefOrder>2</b:RefOrder>
  </b:Source>
  <b:Source>
    <b:Tag>StG22</b:Tag>
    <b:SourceType>InternetSite</b:SourceType>
    <b:Guid>{9F7F30D4-7E39-446A-968D-02993D774D16}</b:Guid>
    <b:Author>
      <b:Author>
        <b:Corporate>St Giles Trust Cymru</b:Corporate>
      </b:Author>
    </b:Author>
    <b:Title>St Giles</b:Title>
    <b:Year>2022</b:Year>
    <b:YearAccessed>2022</b:YearAccessed>
    <b:MonthAccessed>July</b:MonthAccessed>
    <b:DayAccessed>29</b:DayAccessed>
    <b:URL>https://www.stgilestrust.org.uk/our-impact/evaluations-of-our-work/children-and-young-people/kent-county-lines-final-evaluation/</b:URL>
    <b:RefOrder>1</b:RefOrder>
  </b:Source>
</b:Sources>
</file>

<file path=customXml/itemProps1.xml><?xml version="1.0" encoding="utf-8"?>
<ds:datastoreItem xmlns:ds="http://schemas.openxmlformats.org/officeDocument/2006/customXml" ds:itemID="{2537B63E-0947-4C57-81D3-C79C1DECF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10</Pages>
  <Words>4825</Words>
  <Characters>27508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Pugh,Kayla swp6931</dc:creator>
  <cp:keywords/>
  <dc:description/>
  <cp:lastModifiedBy>Pugh,Kayla swp6931</cp:lastModifiedBy>
  <cp:revision>34</cp:revision>
  <dcterms:created xsi:type="dcterms:W3CDTF">2022-07-28T18:04:00Z</dcterms:created>
  <dcterms:modified xsi:type="dcterms:W3CDTF">2022-07-30T03:21:00Z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2022-06-20T02:50:56Z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e3aa0764-898c-4fb0-8495-35774181007f</vt:lpwstr>
  </property>
  <property fmtid="{D5CDD505-2E9C-101B-9397-08002B2CF9AE}" pid="8" name="MSIP_Label_66cf8fe5-b7b7-4df7-b38d-1c61ac2f6639_ContentBits">
    <vt:lpwstr>0</vt:lpwstr>
  </property>
  <property fmtid="{D5CDD505-2E9C-101B-9397-08002B2CF9AE}" pid="9" name="TitusGUID">
    <vt:lpwstr>a7505807-a898-42d4-b388-f0a6bbb4a31d</vt:lpwstr>
  </property>
  <property fmtid="{D5CDD505-2E9C-101B-9397-08002B2CF9AE}" pid="10" name="Classification">
    <vt:lpwstr>OFFICIAL</vt:lpwstr>
  </property>
  <property fmtid="{D5CDD505-2E9C-101B-9397-08002B2CF9AE}" pid="11" name="Visibility">
    <vt:lpwstr>NOT VISIBLE</vt:lpwstr>
  </property>
</Properties>
</file>