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A1915C" w14:textId="77777777" w:rsidR="004361D3" w:rsidRPr="00AB06BA" w:rsidRDefault="004361D3" w:rsidP="004361D3">
      <w:pPr>
        <w:jc w:val="center"/>
        <w:rPr>
          <w:b/>
          <w:bCs/>
          <w:sz w:val="44"/>
          <w:szCs w:val="40"/>
          <w:lang w:val="en-GB" w:eastAsia="en-IN"/>
        </w:rPr>
      </w:pPr>
    </w:p>
    <w:p w14:paraId="52526F48" w14:textId="77777777" w:rsidR="004361D3" w:rsidRPr="00AB06BA" w:rsidRDefault="004361D3" w:rsidP="004361D3">
      <w:pPr>
        <w:jc w:val="center"/>
        <w:rPr>
          <w:b/>
          <w:bCs/>
          <w:sz w:val="44"/>
          <w:szCs w:val="40"/>
          <w:lang w:val="en-GB" w:eastAsia="en-IN"/>
        </w:rPr>
      </w:pPr>
    </w:p>
    <w:p w14:paraId="3F83F68C" w14:textId="77777777" w:rsidR="004361D3" w:rsidRPr="00AB06BA" w:rsidRDefault="004361D3" w:rsidP="004361D3">
      <w:pPr>
        <w:jc w:val="center"/>
        <w:rPr>
          <w:b/>
          <w:bCs/>
          <w:sz w:val="44"/>
          <w:szCs w:val="40"/>
          <w:lang w:val="en-GB" w:eastAsia="en-IN"/>
        </w:rPr>
      </w:pPr>
    </w:p>
    <w:p w14:paraId="44962716" w14:textId="77777777" w:rsidR="004361D3" w:rsidRPr="00D8045B" w:rsidRDefault="00290B46" w:rsidP="004361D3">
      <w:pPr>
        <w:jc w:val="center"/>
        <w:rPr>
          <w:rFonts w:ascii="Arial" w:hAnsi="Arial" w:cs="Arial"/>
          <w:b/>
          <w:bCs/>
          <w:color w:val="auto"/>
          <w:szCs w:val="24"/>
          <w:lang w:val="en-GB" w:eastAsia="en-IN"/>
        </w:rPr>
      </w:pPr>
      <w:r w:rsidRPr="00D8045B">
        <w:rPr>
          <w:rFonts w:ascii="Arial" w:hAnsi="Arial" w:cs="Arial"/>
          <w:b/>
          <w:bCs/>
          <w:szCs w:val="24"/>
          <w:lang w:val="en-GB" w:eastAsia="en-IN"/>
        </w:rPr>
        <w:t>Module Code: BMIH5007</w:t>
      </w:r>
    </w:p>
    <w:p w14:paraId="4F6642BE" w14:textId="77777777" w:rsidR="004361D3" w:rsidRPr="00D8045B" w:rsidRDefault="00290B46" w:rsidP="004361D3">
      <w:pPr>
        <w:jc w:val="center"/>
        <w:rPr>
          <w:rFonts w:ascii="Arial" w:hAnsi="Arial" w:cs="Arial"/>
          <w:b/>
          <w:bCs/>
          <w:szCs w:val="24"/>
          <w:lang w:val="en-GB" w:eastAsia="en-IN"/>
        </w:rPr>
      </w:pPr>
      <w:r w:rsidRPr="00D8045B">
        <w:rPr>
          <w:rFonts w:ascii="Arial" w:hAnsi="Arial" w:cs="Arial"/>
          <w:b/>
          <w:bCs/>
          <w:szCs w:val="24"/>
          <w:lang w:val="en-GB" w:eastAsia="en-IN"/>
        </w:rPr>
        <w:t>Module Name: Financial Management for the Hotel Industry</w:t>
      </w:r>
    </w:p>
    <w:p w14:paraId="6FA3F951" w14:textId="6E80F743" w:rsidR="000E0078" w:rsidRPr="00D8045B" w:rsidRDefault="000E0078" w:rsidP="004361D3">
      <w:pPr>
        <w:jc w:val="center"/>
        <w:rPr>
          <w:rFonts w:ascii="Arial" w:hAnsi="Arial" w:cs="Arial"/>
          <w:b/>
          <w:bCs/>
          <w:szCs w:val="24"/>
          <w:lang w:val="en-GB" w:eastAsia="en-IN"/>
        </w:rPr>
      </w:pPr>
      <w:r w:rsidRPr="00D8045B">
        <w:rPr>
          <w:rFonts w:ascii="Arial" w:hAnsi="Arial" w:cs="Arial"/>
          <w:b/>
          <w:bCs/>
          <w:szCs w:val="24"/>
          <w:lang w:val="en-GB" w:eastAsia="en-IN"/>
        </w:rPr>
        <w:t>Student name: Cristiana Andreea Staicu</w:t>
      </w:r>
    </w:p>
    <w:p w14:paraId="20EB2386" w14:textId="51BB48F0" w:rsidR="000E0078" w:rsidRDefault="000E0078" w:rsidP="004361D3">
      <w:pPr>
        <w:jc w:val="center"/>
        <w:rPr>
          <w:rFonts w:ascii="Arial" w:hAnsi="Arial" w:cs="Arial"/>
          <w:b/>
          <w:bCs/>
          <w:szCs w:val="24"/>
          <w:lang w:val="en-GB" w:eastAsia="en-IN"/>
        </w:rPr>
      </w:pPr>
      <w:r w:rsidRPr="00D8045B">
        <w:rPr>
          <w:rFonts w:ascii="Arial" w:hAnsi="Arial" w:cs="Arial"/>
          <w:b/>
          <w:bCs/>
          <w:szCs w:val="24"/>
          <w:lang w:val="en-GB" w:eastAsia="en-IN"/>
        </w:rPr>
        <w:t xml:space="preserve">Student </w:t>
      </w:r>
      <w:r w:rsidR="00BF2708" w:rsidRPr="00D8045B">
        <w:rPr>
          <w:rFonts w:ascii="Arial" w:hAnsi="Arial" w:cs="Arial"/>
          <w:b/>
          <w:bCs/>
          <w:szCs w:val="24"/>
          <w:lang w:val="en-GB" w:eastAsia="en-IN"/>
        </w:rPr>
        <w:t>ID</w:t>
      </w:r>
      <w:r w:rsidRPr="00D8045B">
        <w:rPr>
          <w:rFonts w:ascii="Arial" w:hAnsi="Arial" w:cs="Arial"/>
          <w:b/>
          <w:bCs/>
          <w:szCs w:val="24"/>
          <w:lang w:val="en-GB" w:eastAsia="en-IN"/>
        </w:rPr>
        <w:t xml:space="preserve">: </w:t>
      </w:r>
      <w:r w:rsidR="00BF2708" w:rsidRPr="00D8045B">
        <w:rPr>
          <w:rFonts w:ascii="Arial" w:hAnsi="Arial" w:cs="Arial"/>
          <w:b/>
          <w:bCs/>
          <w:szCs w:val="24"/>
          <w:lang w:val="en-GB" w:eastAsia="en-IN"/>
        </w:rPr>
        <w:t>2026517</w:t>
      </w:r>
    </w:p>
    <w:p w14:paraId="4E914FDA" w14:textId="575C4873" w:rsidR="00F45E04" w:rsidRPr="00D8045B" w:rsidRDefault="000935EB" w:rsidP="004361D3">
      <w:pPr>
        <w:jc w:val="center"/>
        <w:rPr>
          <w:rFonts w:ascii="Arial" w:hAnsi="Arial" w:cs="Arial"/>
          <w:b/>
          <w:bCs/>
          <w:color w:val="auto"/>
          <w:szCs w:val="24"/>
          <w:lang w:val="en-GB" w:eastAsia="en-IN"/>
        </w:rPr>
      </w:pPr>
      <w:r>
        <w:rPr>
          <w:rFonts w:ascii="Arial" w:hAnsi="Arial" w:cs="Arial"/>
          <w:b/>
          <w:bCs/>
          <w:color w:val="auto"/>
          <w:szCs w:val="24"/>
          <w:lang w:val="en-GB" w:eastAsia="en-IN"/>
        </w:rPr>
        <w:t>Lecture</w:t>
      </w:r>
      <w:r w:rsidR="007800E4">
        <w:rPr>
          <w:rFonts w:ascii="Arial" w:hAnsi="Arial" w:cs="Arial"/>
          <w:b/>
          <w:bCs/>
          <w:color w:val="auto"/>
          <w:szCs w:val="24"/>
          <w:lang w:val="en-GB" w:eastAsia="en-IN"/>
        </w:rPr>
        <w:t xml:space="preserve">r </w:t>
      </w:r>
      <w:r w:rsidR="009E50BE">
        <w:rPr>
          <w:rFonts w:ascii="Arial" w:hAnsi="Arial" w:cs="Arial"/>
          <w:b/>
          <w:bCs/>
          <w:color w:val="auto"/>
          <w:szCs w:val="24"/>
          <w:lang w:val="en-GB" w:eastAsia="en-IN"/>
        </w:rPr>
        <w:t>Name:</w:t>
      </w:r>
      <w:r w:rsidR="00777CC4">
        <w:rPr>
          <w:rFonts w:ascii="Arial" w:hAnsi="Arial" w:cs="Arial"/>
          <w:b/>
          <w:bCs/>
          <w:color w:val="auto"/>
          <w:szCs w:val="24"/>
          <w:lang w:val="en-GB" w:eastAsia="en-IN"/>
        </w:rPr>
        <w:t xml:space="preserve"> Tristan </w:t>
      </w:r>
      <w:r w:rsidR="0095265D">
        <w:rPr>
          <w:rFonts w:ascii="Arial" w:hAnsi="Arial" w:cs="Arial"/>
          <w:b/>
          <w:bCs/>
          <w:color w:val="auto"/>
          <w:szCs w:val="24"/>
          <w:lang w:val="en-GB" w:eastAsia="en-IN"/>
        </w:rPr>
        <w:t>Hawkins</w:t>
      </w:r>
    </w:p>
    <w:p w14:paraId="211B655E" w14:textId="77777777" w:rsidR="004361D3" w:rsidRPr="00D8045B" w:rsidRDefault="00290B46" w:rsidP="004361D3">
      <w:pPr>
        <w:jc w:val="center"/>
        <w:rPr>
          <w:rFonts w:ascii="Arial" w:hAnsi="Arial" w:cs="Arial"/>
          <w:b/>
          <w:bCs/>
          <w:color w:val="auto"/>
          <w:szCs w:val="24"/>
          <w:lang w:val="en-GB" w:eastAsia="en-IN"/>
        </w:rPr>
      </w:pPr>
      <w:r w:rsidRPr="00D8045B">
        <w:rPr>
          <w:rFonts w:ascii="Arial" w:hAnsi="Arial" w:cs="Arial"/>
          <w:b/>
          <w:bCs/>
          <w:szCs w:val="24"/>
          <w:lang w:val="en-GB" w:eastAsia="en-IN"/>
        </w:rPr>
        <w:t>Assignment Title: Report Case Study: The City Hotel</w:t>
      </w:r>
    </w:p>
    <w:p w14:paraId="01D751A5" w14:textId="40BEEDDF" w:rsidR="004361D3" w:rsidRPr="00D8045B" w:rsidRDefault="008554AA" w:rsidP="004361D3">
      <w:pPr>
        <w:jc w:val="center"/>
        <w:rPr>
          <w:rFonts w:ascii="Arial" w:hAnsi="Arial" w:cs="Arial"/>
          <w:color w:val="auto"/>
          <w:szCs w:val="24"/>
          <w:lang w:val="en-GB" w:eastAsia="en-IN"/>
        </w:rPr>
      </w:pPr>
      <w:r>
        <w:rPr>
          <w:rFonts w:ascii="Arial" w:hAnsi="Arial" w:cs="Arial"/>
          <w:color w:val="auto"/>
          <w:szCs w:val="24"/>
          <w:lang w:eastAsia="en-IN"/>
        </w:rPr>
        <w:t>“</w:t>
      </w:r>
      <w:r w:rsidRPr="008554AA">
        <w:rPr>
          <w:rFonts w:ascii="Arial" w:hAnsi="Arial" w:cs="Arial"/>
          <w:color w:val="auto"/>
          <w:szCs w:val="24"/>
          <w:lang w:eastAsia="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color w:val="auto"/>
          <w:szCs w:val="24"/>
          <w:lang w:eastAsia="en-IN"/>
        </w:rPr>
        <w:t>”</w:t>
      </w:r>
    </w:p>
    <w:p w14:paraId="3C63D639" w14:textId="77777777" w:rsidR="004361D3" w:rsidRPr="00D8045B" w:rsidRDefault="004361D3" w:rsidP="004361D3">
      <w:pPr>
        <w:jc w:val="center"/>
        <w:rPr>
          <w:rFonts w:ascii="Arial" w:hAnsi="Arial" w:cs="Arial"/>
          <w:color w:val="auto"/>
          <w:szCs w:val="24"/>
          <w:lang w:val="en-GB" w:eastAsia="en-IN"/>
        </w:rPr>
      </w:pPr>
    </w:p>
    <w:p w14:paraId="5D1E13C9" w14:textId="77777777" w:rsidR="004361D3" w:rsidRPr="00D8045B" w:rsidRDefault="004361D3" w:rsidP="004361D3">
      <w:pPr>
        <w:jc w:val="center"/>
        <w:rPr>
          <w:rFonts w:ascii="Arial" w:hAnsi="Arial" w:cs="Arial"/>
          <w:color w:val="auto"/>
          <w:szCs w:val="24"/>
          <w:lang w:val="en-GB" w:eastAsia="en-IN"/>
        </w:rPr>
      </w:pPr>
    </w:p>
    <w:p w14:paraId="65E9F702" w14:textId="77777777" w:rsidR="004361D3" w:rsidRPr="00D8045B" w:rsidRDefault="00290B46">
      <w:pPr>
        <w:spacing w:line="259" w:lineRule="auto"/>
        <w:jc w:val="left"/>
        <w:rPr>
          <w:rFonts w:ascii="Arial" w:hAnsi="Arial" w:cs="Arial"/>
          <w:szCs w:val="24"/>
          <w:lang w:val="en-GB" w:eastAsia="en-IN"/>
        </w:rPr>
      </w:pPr>
      <w:r w:rsidRPr="00D8045B">
        <w:rPr>
          <w:rFonts w:ascii="Arial" w:hAnsi="Arial" w:cs="Arial"/>
          <w:szCs w:val="24"/>
          <w:lang w:val="en-GB" w:eastAsia="en-IN"/>
        </w:rPr>
        <w:br w:type="page"/>
      </w:r>
    </w:p>
    <w:sdt>
      <w:sdtPr>
        <w:rPr>
          <w:rFonts w:ascii="Arial" w:eastAsiaTheme="minorHAnsi" w:hAnsi="Arial" w:cs="Arial"/>
          <w:color w:val="000000" w:themeColor="text1"/>
          <w:kern w:val="2"/>
          <w:sz w:val="24"/>
          <w:szCs w:val="24"/>
          <w:lang w:val="en-GB"/>
        </w:rPr>
        <w:id w:val="1824857644"/>
        <w:docPartObj>
          <w:docPartGallery w:val="Table of Contents"/>
          <w:docPartUnique/>
        </w:docPartObj>
      </w:sdtPr>
      <w:sdtEndPr>
        <w:rPr>
          <w:b/>
          <w:bCs/>
        </w:rPr>
      </w:sdtEndPr>
      <w:sdtContent>
        <w:p w14:paraId="5BB604A1" w14:textId="77777777" w:rsidR="002C693D" w:rsidRPr="00D8045B" w:rsidRDefault="002C693D">
          <w:pPr>
            <w:pStyle w:val="TOCHeading"/>
            <w:rPr>
              <w:rFonts w:ascii="Arial" w:hAnsi="Arial" w:cs="Arial"/>
              <w:b/>
              <w:bCs/>
              <w:sz w:val="24"/>
              <w:szCs w:val="24"/>
              <w:lang w:val="en-GB"/>
            </w:rPr>
          </w:pPr>
          <w:r w:rsidRPr="00D8045B">
            <w:rPr>
              <w:rFonts w:ascii="Arial" w:hAnsi="Arial" w:cs="Arial"/>
              <w:b/>
              <w:bCs/>
              <w:sz w:val="24"/>
              <w:szCs w:val="24"/>
              <w:lang w:val="en-GB"/>
            </w:rPr>
            <w:t>Table of Contents</w:t>
          </w:r>
        </w:p>
        <w:p w14:paraId="70DC8CD2" w14:textId="77777777" w:rsidR="002C693D" w:rsidRPr="00D8045B" w:rsidRDefault="00BE4855">
          <w:pPr>
            <w:pStyle w:val="TOC1"/>
            <w:tabs>
              <w:tab w:val="right" w:leader="dot" w:pos="9016"/>
            </w:tabs>
            <w:rPr>
              <w:rFonts w:ascii="Arial" w:hAnsi="Arial" w:cs="Arial"/>
              <w:szCs w:val="24"/>
              <w:lang w:val="en-GB"/>
            </w:rPr>
          </w:pPr>
          <w:r w:rsidRPr="00D8045B">
            <w:rPr>
              <w:rFonts w:ascii="Arial" w:hAnsi="Arial" w:cs="Arial"/>
              <w:szCs w:val="24"/>
              <w:lang w:val="en-GB"/>
            </w:rPr>
            <w:fldChar w:fldCharType="begin"/>
          </w:r>
          <w:r w:rsidR="002C693D" w:rsidRPr="00D8045B">
            <w:rPr>
              <w:rFonts w:ascii="Arial" w:hAnsi="Arial" w:cs="Arial"/>
              <w:szCs w:val="24"/>
              <w:lang w:val="en-GB"/>
            </w:rPr>
            <w:instrText xml:space="preserve"> TOC \o "1-3" \h \z \u </w:instrText>
          </w:r>
          <w:r w:rsidRPr="00D8045B">
            <w:rPr>
              <w:rFonts w:ascii="Arial" w:hAnsi="Arial" w:cs="Arial"/>
              <w:szCs w:val="24"/>
              <w:lang w:val="en-GB"/>
            </w:rPr>
            <w:fldChar w:fldCharType="separate"/>
          </w:r>
          <w:hyperlink w:anchor="_Toc181631234" w:history="1">
            <w:r w:rsidR="002C693D" w:rsidRPr="00D8045B">
              <w:rPr>
                <w:rStyle w:val="Hyperlink"/>
                <w:rFonts w:ascii="Arial" w:eastAsia="Times New Roman" w:hAnsi="Arial" w:cs="Arial"/>
                <w:szCs w:val="24"/>
                <w:lang w:val="en-GB" w:eastAsia="en-IN"/>
              </w:rPr>
              <w:t>Introduction</w:t>
            </w:r>
            <w:r w:rsidR="002C693D" w:rsidRPr="00D8045B">
              <w:rPr>
                <w:rFonts w:ascii="Arial" w:hAnsi="Arial" w:cs="Arial"/>
                <w:webHidden/>
                <w:szCs w:val="24"/>
                <w:lang w:val="en-GB"/>
              </w:rPr>
              <w:tab/>
            </w:r>
            <w:r w:rsidRPr="00D8045B">
              <w:rPr>
                <w:rFonts w:ascii="Arial" w:hAnsi="Arial" w:cs="Arial"/>
                <w:webHidden/>
                <w:szCs w:val="24"/>
                <w:lang w:val="en-GB"/>
              </w:rPr>
              <w:fldChar w:fldCharType="begin"/>
            </w:r>
            <w:r w:rsidR="002C693D" w:rsidRPr="00D8045B">
              <w:rPr>
                <w:rFonts w:ascii="Arial" w:hAnsi="Arial" w:cs="Arial"/>
                <w:webHidden/>
                <w:szCs w:val="24"/>
                <w:lang w:val="en-GB"/>
              </w:rPr>
              <w:instrText xml:space="preserve"> PAGEREF _Toc181631234 \h </w:instrText>
            </w:r>
            <w:r w:rsidRPr="00D8045B">
              <w:rPr>
                <w:rFonts w:ascii="Arial" w:hAnsi="Arial" w:cs="Arial"/>
                <w:webHidden/>
                <w:szCs w:val="24"/>
                <w:lang w:val="en-GB"/>
              </w:rPr>
            </w:r>
            <w:r w:rsidRPr="00D8045B">
              <w:rPr>
                <w:rFonts w:ascii="Arial" w:hAnsi="Arial" w:cs="Arial"/>
                <w:webHidden/>
                <w:szCs w:val="24"/>
                <w:lang w:val="en-GB"/>
              </w:rPr>
              <w:fldChar w:fldCharType="separate"/>
            </w:r>
            <w:r w:rsidR="002C693D" w:rsidRPr="00D8045B">
              <w:rPr>
                <w:rFonts w:ascii="Arial" w:hAnsi="Arial" w:cs="Arial"/>
                <w:webHidden/>
                <w:szCs w:val="24"/>
                <w:lang w:val="en-GB"/>
              </w:rPr>
              <w:t>3</w:t>
            </w:r>
            <w:r w:rsidRPr="00D8045B">
              <w:rPr>
                <w:rFonts w:ascii="Arial" w:hAnsi="Arial" w:cs="Arial"/>
                <w:webHidden/>
                <w:szCs w:val="24"/>
                <w:lang w:val="en-GB"/>
              </w:rPr>
              <w:fldChar w:fldCharType="end"/>
            </w:r>
          </w:hyperlink>
        </w:p>
        <w:p w14:paraId="5813498D" w14:textId="77777777" w:rsidR="002C693D" w:rsidRPr="00D8045B" w:rsidRDefault="002C693D">
          <w:pPr>
            <w:pStyle w:val="TOC1"/>
            <w:tabs>
              <w:tab w:val="right" w:leader="dot" w:pos="9016"/>
            </w:tabs>
            <w:rPr>
              <w:rFonts w:ascii="Arial" w:hAnsi="Arial" w:cs="Arial"/>
              <w:szCs w:val="24"/>
              <w:lang w:val="en-GB"/>
            </w:rPr>
          </w:pPr>
          <w:hyperlink w:anchor="_Toc181631235" w:history="1">
            <w:r w:rsidRPr="00D8045B">
              <w:rPr>
                <w:rStyle w:val="Hyperlink"/>
                <w:rFonts w:ascii="Arial" w:eastAsia="Times New Roman" w:hAnsi="Arial" w:cs="Arial"/>
                <w:szCs w:val="24"/>
                <w:lang w:val="en-GB" w:eastAsia="en-IN"/>
              </w:rPr>
              <w:t>Evaluation of Financial Performance Trends at The City Hotel</w:t>
            </w:r>
            <w:r w:rsidRPr="00D8045B">
              <w:rPr>
                <w:rFonts w:ascii="Arial" w:hAnsi="Arial" w:cs="Arial"/>
                <w:webHidden/>
                <w:szCs w:val="24"/>
                <w:lang w:val="en-GB"/>
              </w:rPr>
              <w:tab/>
            </w:r>
            <w:r w:rsidR="00BE4855" w:rsidRPr="00D8045B">
              <w:rPr>
                <w:rFonts w:ascii="Arial" w:hAnsi="Arial" w:cs="Arial"/>
                <w:webHidden/>
                <w:szCs w:val="24"/>
                <w:lang w:val="en-GB"/>
              </w:rPr>
              <w:fldChar w:fldCharType="begin"/>
            </w:r>
            <w:r w:rsidRPr="00D8045B">
              <w:rPr>
                <w:rFonts w:ascii="Arial" w:hAnsi="Arial" w:cs="Arial"/>
                <w:webHidden/>
                <w:szCs w:val="24"/>
                <w:lang w:val="en-GB"/>
              </w:rPr>
              <w:instrText xml:space="preserve"> PAGEREF _Toc181631235 \h </w:instrText>
            </w:r>
            <w:r w:rsidR="00BE4855" w:rsidRPr="00D8045B">
              <w:rPr>
                <w:rFonts w:ascii="Arial" w:hAnsi="Arial" w:cs="Arial"/>
                <w:webHidden/>
                <w:szCs w:val="24"/>
                <w:lang w:val="en-GB"/>
              </w:rPr>
            </w:r>
            <w:r w:rsidR="00BE4855" w:rsidRPr="00D8045B">
              <w:rPr>
                <w:rFonts w:ascii="Arial" w:hAnsi="Arial" w:cs="Arial"/>
                <w:webHidden/>
                <w:szCs w:val="24"/>
                <w:lang w:val="en-GB"/>
              </w:rPr>
              <w:fldChar w:fldCharType="separate"/>
            </w:r>
            <w:r w:rsidRPr="00D8045B">
              <w:rPr>
                <w:rFonts w:ascii="Arial" w:hAnsi="Arial" w:cs="Arial"/>
                <w:webHidden/>
                <w:szCs w:val="24"/>
                <w:lang w:val="en-GB"/>
              </w:rPr>
              <w:t>4</w:t>
            </w:r>
            <w:r w:rsidR="00BE4855" w:rsidRPr="00D8045B">
              <w:rPr>
                <w:rFonts w:ascii="Arial" w:hAnsi="Arial" w:cs="Arial"/>
                <w:webHidden/>
                <w:szCs w:val="24"/>
                <w:lang w:val="en-GB"/>
              </w:rPr>
              <w:fldChar w:fldCharType="end"/>
            </w:r>
          </w:hyperlink>
        </w:p>
        <w:p w14:paraId="76F98A66" w14:textId="77777777" w:rsidR="002C693D" w:rsidRPr="00D8045B" w:rsidRDefault="002C693D">
          <w:pPr>
            <w:pStyle w:val="TOC1"/>
            <w:tabs>
              <w:tab w:val="right" w:leader="dot" w:pos="9016"/>
            </w:tabs>
            <w:rPr>
              <w:rFonts w:ascii="Arial" w:hAnsi="Arial" w:cs="Arial"/>
              <w:szCs w:val="24"/>
              <w:lang w:val="en-GB"/>
            </w:rPr>
          </w:pPr>
          <w:hyperlink w:anchor="_Toc181631236" w:history="1">
            <w:r w:rsidRPr="00D8045B">
              <w:rPr>
                <w:rStyle w:val="Hyperlink"/>
                <w:rFonts w:ascii="Arial" w:eastAsia="Times New Roman" w:hAnsi="Arial" w:cs="Arial"/>
                <w:szCs w:val="24"/>
                <w:lang w:val="en-GB" w:eastAsia="en-IN"/>
              </w:rPr>
              <w:t>Key Reasons for Decline in Profitability at The City Hotel</w:t>
            </w:r>
            <w:r w:rsidRPr="00D8045B">
              <w:rPr>
                <w:rFonts w:ascii="Arial" w:hAnsi="Arial" w:cs="Arial"/>
                <w:webHidden/>
                <w:szCs w:val="24"/>
                <w:lang w:val="en-GB"/>
              </w:rPr>
              <w:tab/>
            </w:r>
            <w:r w:rsidR="00BE4855" w:rsidRPr="00D8045B">
              <w:rPr>
                <w:rFonts w:ascii="Arial" w:hAnsi="Arial" w:cs="Arial"/>
                <w:webHidden/>
                <w:szCs w:val="24"/>
                <w:lang w:val="en-GB"/>
              </w:rPr>
              <w:fldChar w:fldCharType="begin"/>
            </w:r>
            <w:r w:rsidRPr="00D8045B">
              <w:rPr>
                <w:rFonts w:ascii="Arial" w:hAnsi="Arial" w:cs="Arial"/>
                <w:webHidden/>
                <w:szCs w:val="24"/>
                <w:lang w:val="en-GB"/>
              </w:rPr>
              <w:instrText xml:space="preserve"> PAGEREF _Toc181631236 \h </w:instrText>
            </w:r>
            <w:r w:rsidR="00BE4855" w:rsidRPr="00D8045B">
              <w:rPr>
                <w:rFonts w:ascii="Arial" w:hAnsi="Arial" w:cs="Arial"/>
                <w:webHidden/>
                <w:szCs w:val="24"/>
                <w:lang w:val="en-GB"/>
              </w:rPr>
            </w:r>
            <w:r w:rsidR="00BE4855" w:rsidRPr="00D8045B">
              <w:rPr>
                <w:rFonts w:ascii="Arial" w:hAnsi="Arial" w:cs="Arial"/>
                <w:webHidden/>
                <w:szCs w:val="24"/>
                <w:lang w:val="en-GB"/>
              </w:rPr>
              <w:fldChar w:fldCharType="separate"/>
            </w:r>
            <w:r w:rsidRPr="00D8045B">
              <w:rPr>
                <w:rFonts w:ascii="Arial" w:hAnsi="Arial" w:cs="Arial"/>
                <w:webHidden/>
                <w:szCs w:val="24"/>
                <w:lang w:val="en-GB"/>
              </w:rPr>
              <w:t>5</w:t>
            </w:r>
            <w:r w:rsidR="00BE4855" w:rsidRPr="00D8045B">
              <w:rPr>
                <w:rFonts w:ascii="Arial" w:hAnsi="Arial" w:cs="Arial"/>
                <w:webHidden/>
                <w:szCs w:val="24"/>
                <w:lang w:val="en-GB"/>
              </w:rPr>
              <w:fldChar w:fldCharType="end"/>
            </w:r>
          </w:hyperlink>
        </w:p>
        <w:p w14:paraId="5E3F65A3" w14:textId="77777777" w:rsidR="002C693D" w:rsidRPr="00D8045B" w:rsidRDefault="002C693D">
          <w:pPr>
            <w:pStyle w:val="TOC1"/>
            <w:tabs>
              <w:tab w:val="right" w:leader="dot" w:pos="9016"/>
            </w:tabs>
            <w:rPr>
              <w:rFonts w:ascii="Arial" w:hAnsi="Arial" w:cs="Arial"/>
              <w:szCs w:val="24"/>
              <w:lang w:val="en-GB"/>
            </w:rPr>
          </w:pPr>
          <w:hyperlink w:anchor="_Toc181631237" w:history="1">
            <w:r w:rsidRPr="00D8045B">
              <w:rPr>
                <w:rStyle w:val="Hyperlink"/>
                <w:rFonts w:ascii="Arial" w:eastAsia="Times New Roman" w:hAnsi="Arial" w:cs="Arial"/>
                <w:szCs w:val="24"/>
                <w:lang w:val="en-GB" w:eastAsia="en-IN"/>
              </w:rPr>
              <w:t>Turnaround Strategy for The City Hotel</w:t>
            </w:r>
            <w:r w:rsidRPr="00D8045B">
              <w:rPr>
                <w:rFonts w:ascii="Arial" w:hAnsi="Arial" w:cs="Arial"/>
                <w:webHidden/>
                <w:szCs w:val="24"/>
                <w:lang w:val="en-GB"/>
              </w:rPr>
              <w:tab/>
            </w:r>
            <w:r w:rsidR="00BE4855" w:rsidRPr="00D8045B">
              <w:rPr>
                <w:rFonts w:ascii="Arial" w:hAnsi="Arial" w:cs="Arial"/>
                <w:webHidden/>
                <w:szCs w:val="24"/>
                <w:lang w:val="en-GB"/>
              </w:rPr>
              <w:fldChar w:fldCharType="begin"/>
            </w:r>
            <w:r w:rsidRPr="00D8045B">
              <w:rPr>
                <w:rFonts w:ascii="Arial" w:hAnsi="Arial" w:cs="Arial"/>
                <w:webHidden/>
                <w:szCs w:val="24"/>
                <w:lang w:val="en-GB"/>
              </w:rPr>
              <w:instrText xml:space="preserve"> PAGEREF _Toc181631237 \h </w:instrText>
            </w:r>
            <w:r w:rsidR="00BE4855" w:rsidRPr="00D8045B">
              <w:rPr>
                <w:rFonts w:ascii="Arial" w:hAnsi="Arial" w:cs="Arial"/>
                <w:webHidden/>
                <w:szCs w:val="24"/>
                <w:lang w:val="en-GB"/>
              </w:rPr>
            </w:r>
            <w:r w:rsidR="00BE4855" w:rsidRPr="00D8045B">
              <w:rPr>
                <w:rFonts w:ascii="Arial" w:hAnsi="Arial" w:cs="Arial"/>
                <w:webHidden/>
                <w:szCs w:val="24"/>
                <w:lang w:val="en-GB"/>
              </w:rPr>
              <w:fldChar w:fldCharType="separate"/>
            </w:r>
            <w:r w:rsidRPr="00D8045B">
              <w:rPr>
                <w:rFonts w:ascii="Arial" w:hAnsi="Arial" w:cs="Arial"/>
                <w:webHidden/>
                <w:szCs w:val="24"/>
                <w:lang w:val="en-GB"/>
              </w:rPr>
              <w:t>6</w:t>
            </w:r>
            <w:r w:rsidR="00BE4855" w:rsidRPr="00D8045B">
              <w:rPr>
                <w:rFonts w:ascii="Arial" w:hAnsi="Arial" w:cs="Arial"/>
                <w:webHidden/>
                <w:szCs w:val="24"/>
                <w:lang w:val="en-GB"/>
              </w:rPr>
              <w:fldChar w:fldCharType="end"/>
            </w:r>
          </w:hyperlink>
        </w:p>
        <w:p w14:paraId="412AFE59" w14:textId="77777777" w:rsidR="002C693D" w:rsidRPr="00D8045B" w:rsidRDefault="002C693D">
          <w:pPr>
            <w:pStyle w:val="TOC1"/>
            <w:tabs>
              <w:tab w:val="right" w:leader="dot" w:pos="9016"/>
            </w:tabs>
            <w:rPr>
              <w:rFonts w:ascii="Arial" w:hAnsi="Arial" w:cs="Arial"/>
              <w:szCs w:val="24"/>
              <w:lang w:val="en-GB"/>
            </w:rPr>
          </w:pPr>
          <w:hyperlink w:anchor="_Toc181631238" w:history="1">
            <w:r w:rsidRPr="00D8045B">
              <w:rPr>
                <w:rStyle w:val="Hyperlink"/>
                <w:rFonts w:ascii="Arial" w:eastAsia="Times New Roman" w:hAnsi="Arial" w:cs="Arial"/>
                <w:szCs w:val="24"/>
                <w:lang w:val="en-GB" w:eastAsia="en-IN"/>
              </w:rPr>
              <w:t>Ratio Calculations</w:t>
            </w:r>
            <w:r w:rsidRPr="00D8045B">
              <w:rPr>
                <w:rFonts w:ascii="Arial" w:hAnsi="Arial" w:cs="Arial"/>
                <w:webHidden/>
                <w:szCs w:val="24"/>
                <w:lang w:val="en-GB"/>
              </w:rPr>
              <w:tab/>
            </w:r>
            <w:r w:rsidR="00BE4855" w:rsidRPr="00D8045B">
              <w:rPr>
                <w:rFonts w:ascii="Arial" w:hAnsi="Arial" w:cs="Arial"/>
                <w:webHidden/>
                <w:szCs w:val="24"/>
                <w:lang w:val="en-GB"/>
              </w:rPr>
              <w:fldChar w:fldCharType="begin"/>
            </w:r>
            <w:r w:rsidRPr="00D8045B">
              <w:rPr>
                <w:rFonts w:ascii="Arial" w:hAnsi="Arial" w:cs="Arial"/>
                <w:webHidden/>
                <w:szCs w:val="24"/>
                <w:lang w:val="en-GB"/>
              </w:rPr>
              <w:instrText xml:space="preserve"> PAGEREF _Toc181631238 \h </w:instrText>
            </w:r>
            <w:r w:rsidR="00BE4855" w:rsidRPr="00D8045B">
              <w:rPr>
                <w:rFonts w:ascii="Arial" w:hAnsi="Arial" w:cs="Arial"/>
                <w:webHidden/>
                <w:szCs w:val="24"/>
                <w:lang w:val="en-GB"/>
              </w:rPr>
            </w:r>
            <w:r w:rsidR="00BE4855" w:rsidRPr="00D8045B">
              <w:rPr>
                <w:rFonts w:ascii="Arial" w:hAnsi="Arial" w:cs="Arial"/>
                <w:webHidden/>
                <w:szCs w:val="24"/>
                <w:lang w:val="en-GB"/>
              </w:rPr>
              <w:fldChar w:fldCharType="separate"/>
            </w:r>
            <w:r w:rsidRPr="00D8045B">
              <w:rPr>
                <w:rFonts w:ascii="Arial" w:hAnsi="Arial" w:cs="Arial"/>
                <w:webHidden/>
                <w:szCs w:val="24"/>
                <w:lang w:val="en-GB"/>
              </w:rPr>
              <w:t>7</w:t>
            </w:r>
            <w:r w:rsidR="00BE4855" w:rsidRPr="00D8045B">
              <w:rPr>
                <w:rFonts w:ascii="Arial" w:hAnsi="Arial" w:cs="Arial"/>
                <w:webHidden/>
                <w:szCs w:val="24"/>
                <w:lang w:val="en-GB"/>
              </w:rPr>
              <w:fldChar w:fldCharType="end"/>
            </w:r>
          </w:hyperlink>
        </w:p>
        <w:p w14:paraId="296C77E5" w14:textId="77777777" w:rsidR="002C693D" w:rsidRPr="00D8045B" w:rsidRDefault="002C693D">
          <w:pPr>
            <w:pStyle w:val="TOC1"/>
            <w:tabs>
              <w:tab w:val="right" w:leader="dot" w:pos="9016"/>
            </w:tabs>
            <w:rPr>
              <w:rFonts w:ascii="Arial" w:hAnsi="Arial" w:cs="Arial"/>
              <w:szCs w:val="24"/>
              <w:lang w:val="en-GB"/>
            </w:rPr>
          </w:pPr>
          <w:hyperlink w:anchor="_Toc181631239" w:history="1">
            <w:r w:rsidRPr="00D8045B">
              <w:rPr>
                <w:rStyle w:val="Hyperlink"/>
                <w:rFonts w:ascii="Arial" w:eastAsia="Times New Roman" w:hAnsi="Arial" w:cs="Arial"/>
                <w:szCs w:val="24"/>
                <w:lang w:val="en-GB" w:eastAsia="en-IN"/>
              </w:rPr>
              <w:t>Conclusion</w:t>
            </w:r>
            <w:r w:rsidRPr="00D8045B">
              <w:rPr>
                <w:rFonts w:ascii="Arial" w:hAnsi="Arial" w:cs="Arial"/>
                <w:webHidden/>
                <w:szCs w:val="24"/>
                <w:lang w:val="en-GB"/>
              </w:rPr>
              <w:tab/>
            </w:r>
            <w:r w:rsidR="00BE4855" w:rsidRPr="00D8045B">
              <w:rPr>
                <w:rFonts w:ascii="Arial" w:hAnsi="Arial" w:cs="Arial"/>
                <w:webHidden/>
                <w:szCs w:val="24"/>
                <w:lang w:val="en-GB"/>
              </w:rPr>
              <w:fldChar w:fldCharType="begin"/>
            </w:r>
            <w:r w:rsidRPr="00D8045B">
              <w:rPr>
                <w:rFonts w:ascii="Arial" w:hAnsi="Arial" w:cs="Arial"/>
                <w:webHidden/>
                <w:szCs w:val="24"/>
                <w:lang w:val="en-GB"/>
              </w:rPr>
              <w:instrText xml:space="preserve"> PAGEREF _Toc181631239 \h </w:instrText>
            </w:r>
            <w:r w:rsidR="00BE4855" w:rsidRPr="00D8045B">
              <w:rPr>
                <w:rFonts w:ascii="Arial" w:hAnsi="Arial" w:cs="Arial"/>
                <w:webHidden/>
                <w:szCs w:val="24"/>
                <w:lang w:val="en-GB"/>
              </w:rPr>
            </w:r>
            <w:r w:rsidR="00BE4855" w:rsidRPr="00D8045B">
              <w:rPr>
                <w:rFonts w:ascii="Arial" w:hAnsi="Arial" w:cs="Arial"/>
                <w:webHidden/>
                <w:szCs w:val="24"/>
                <w:lang w:val="en-GB"/>
              </w:rPr>
              <w:fldChar w:fldCharType="separate"/>
            </w:r>
            <w:r w:rsidRPr="00D8045B">
              <w:rPr>
                <w:rFonts w:ascii="Arial" w:hAnsi="Arial" w:cs="Arial"/>
                <w:webHidden/>
                <w:szCs w:val="24"/>
                <w:lang w:val="en-GB"/>
              </w:rPr>
              <w:t>11</w:t>
            </w:r>
            <w:r w:rsidR="00BE4855" w:rsidRPr="00D8045B">
              <w:rPr>
                <w:rFonts w:ascii="Arial" w:hAnsi="Arial" w:cs="Arial"/>
                <w:webHidden/>
                <w:szCs w:val="24"/>
                <w:lang w:val="en-GB"/>
              </w:rPr>
              <w:fldChar w:fldCharType="end"/>
            </w:r>
          </w:hyperlink>
        </w:p>
        <w:p w14:paraId="414064AF" w14:textId="77777777" w:rsidR="002C693D" w:rsidRPr="00D8045B" w:rsidRDefault="00BE4855">
          <w:pPr>
            <w:rPr>
              <w:rFonts w:ascii="Arial" w:hAnsi="Arial" w:cs="Arial"/>
              <w:szCs w:val="24"/>
              <w:lang w:val="en-GB"/>
            </w:rPr>
          </w:pPr>
          <w:r w:rsidRPr="00D8045B">
            <w:rPr>
              <w:rFonts w:ascii="Arial" w:hAnsi="Arial" w:cs="Arial"/>
              <w:b/>
              <w:bCs/>
              <w:szCs w:val="24"/>
              <w:lang w:val="en-GB"/>
            </w:rPr>
            <w:fldChar w:fldCharType="end"/>
          </w:r>
        </w:p>
      </w:sdtContent>
    </w:sdt>
    <w:p w14:paraId="5E6354E8" w14:textId="77777777" w:rsidR="002C693D" w:rsidRPr="00D8045B" w:rsidRDefault="002C693D">
      <w:pPr>
        <w:spacing w:line="259" w:lineRule="auto"/>
        <w:jc w:val="left"/>
        <w:rPr>
          <w:rFonts w:ascii="Arial" w:eastAsia="Times New Roman" w:hAnsi="Arial" w:cs="Arial"/>
          <w:b/>
          <w:szCs w:val="24"/>
          <w:lang w:val="en-GB" w:eastAsia="en-IN"/>
        </w:rPr>
      </w:pPr>
      <w:r w:rsidRPr="00D8045B">
        <w:rPr>
          <w:rFonts w:ascii="Arial" w:eastAsia="Times New Roman" w:hAnsi="Arial" w:cs="Arial"/>
          <w:szCs w:val="24"/>
          <w:lang w:val="en-GB" w:eastAsia="en-IN"/>
        </w:rPr>
        <w:br w:type="page"/>
      </w:r>
    </w:p>
    <w:p w14:paraId="23BD1F20" w14:textId="77777777" w:rsidR="004361D3" w:rsidRPr="00D8045B" w:rsidRDefault="00290B46" w:rsidP="004361D3">
      <w:pPr>
        <w:pStyle w:val="Heading1"/>
        <w:rPr>
          <w:rFonts w:ascii="Arial" w:eastAsia="Times New Roman" w:hAnsi="Arial" w:cs="Arial"/>
          <w:color w:val="auto"/>
          <w:sz w:val="24"/>
          <w:szCs w:val="24"/>
          <w:lang w:val="en-GB" w:eastAsia="en-IN"/>
        </w:rPr>
      </w:pPr>
      <w:bookmarkStart w:id="0" w:name="_Toc181631234"/>
      <w:r w:rsidRPr="00D8045B">
        <w:rPr>
          <w:rFonts w:ascii="Arial" w:eastAsia="Times New Roman" w:hAnsi="Arial" w:cs="Arial"/>
          <w:sz w:val="24"/>
          <w:szCs w:val="24"/>
          <w:lang w:val="en-GB" w:eastAsia="en-IN"/>
        </w:rPr>
        <w:lastRenderedPageBreak/>
        <w:t>Introduction</w:t>
      </w:r>
      <w:bookmarkEnd w:id="0"/>
      <w:r w:rsidRPr="00D8045B">
        <w:rPr>
          <w:rFonts w:ascii="Arial" w:eastAsia="Times New Roman" w:hAnsi="Arial" w:cs="Arial"/>
          <w:sz w:val="24"/>
          <w:szCs w:val="24"/>
          <w:lang w:val="en-GB" w:eastAsia="en-IN"/>
        </w:rPr>
        <w:t> </w:t>
      </w:r>
    </w:p>
    <w:p w14:paraId="295FD61C"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 xml:space="preserve">The main purpose of this report is to evaluate the operational challenges and financial performance encountered by The City Hotel. This is a hospitality establishment featuring a bar and restaurant. It is also situated in an urban environment. In recent years this hotel has encountered a significant decline in occupancy rates, revenue and overall customer satisfaction. These approaches have raised concerns about long-term visibility within the dynamic hospitality industry. The owner has recognised that immediate expert evaluation and assistance can be helpful in determining the company's strategic turnover approach. This report will elaborate on this hotel's financial metrics and understand key areas for improvement. It primarily aims to offer actionable recommendations that can restore profitability and obtain the hotel's competitive position within the market. </w:t>
      </w:r>
    </w:p>
    <w:p w14:paraId="5CA5AE96" w14:textId="77777777" w:rsidR="004361D3" w:rsidRPr="00D8045B" w:rsidRDefault="00290B46">
      <w:pPr>
        <w:spacing w:line="259" w:lineRule="auto"/>
        <w:jc w:val="left"/>
        <w:rPr>
          <w:rFonts w:ascii="Arial" w:eastAsia="Times New Roman" w:hAnsi="Arial" w:cs="Arial"/>
          <w:b/>
          <w:szCs w:val="24"/>
          <w:lang w:val="en-GB" w:eastAsia="en-IN"/>
        </w:rPr>
      </w:pPr>
      <w:r w:rsidRPr="00D8045B">
        <w:rPr>
          <w:rFonts w:ascii="Arial" w:eastAsia="Times New Roman" w:hAnsi="Arial" w:cs="Arial"/>
          <w:szCs w:val="24"/>
          <w:lang w:val="en-GB" w:eastAsia="en-IN"/>
        </w:rPr>
        <w:br w:type="page"/>
      </w:r>
    </w:p>
    <w:p w14:paraId="5B279618" w14:textId="77777777" w:rsidR="004361D3" w:rsidRPr="00D8045B" w:rsidRDefault="00290B46" w:rsidP="004361D3">
      <w:pPr>
        <w:pStyle w:val="Heading1"/>
        <w:rPr>
          <w:rFonts w:ascii="Arial" w:eastAsia="Times New Roman" w:hAnsi="Arial" w:cs="Arial"/>
          <w:color w:val="auto"/>
          <w:sz w:val="24"/>
          <w:szCs w:val="24"/>
          <w:lang w:val="en-GB" w:eastAsia="en-IN"/>
        </w:rPr>
      </w:pPr>
      <w:bookmarkStart w:id="1" w:name="_Toc181631235"/>
      <w:r w:rsidRPr="00D8045B">
        <w:rPr>
          <w:rFonts w:ascii="Arial" w:eastAsia="Times New Roman" w:hAnsi="Arial" w:cs="Arial"/>
          <w:sz w:val="24"/>
          <w:szCs w:val="24"/>
          <w:lang w:val="en-GB" w:eastAsia="en-IN"/>
        </w:rPr>
        <w:lastRenderedPageBreak/>
        <w:t>Evaluation of Financial Performance Trends at The City Hotel</w:t>
      </w:r>
      <w:bookmarkEnd w:id="1"/>
    </w:p>
    <w:p w14:paraId="18B5FC40"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The City Hotels has encountered a significant financial challenge over the past three years. This company has witnessed declining probability, revenue liquidity and solvency metrics. These detailed analyses of the patterns are important in understanding the possible areas for improvement and challenges for this hotel. </w:t>
      </w:r>
    </w:p>
    <w:p w14:paraId="189ADB73" w14:textId="77777777" w:rsidR="004361D3" w:rsidRPr="00D8045B" w:rsidRDefault="00290B46" w:rsidP="004361D3">
      <w:pPr>
        <w:pStyle w:val="ListParagraph"/>
        <w:numPr>
          <w:ilvl w:val="0"/>
          <w:numId w:val="1"/>
        </w:numPr>
        <w:rPr>
          <w:rFonts w:ascii="Arial" w:hAnsi="Arial" w:cs="Arial"/>
          <w:color w:val="auto"/>
          <w:szCs w:val="24"/>
          <w:lang w:val="en-GB" w:eastAsia="en-IN"/>
        </w:rPr>
      </w:pPr>
      <w:r w:rsidRPr="00D8045B">
        <w:rPr>
          <w:rFonts w:ascii="Arial" w:hAnsi="Arial" w:cs="Arial"/>
          <w:b/>
          <w:bCs/>
          <w:szCs w:val="24"/>
          <w:lang w:val="en-GB" w:eastAsia="en-IN"/>
        </w:rPr>
        <w:t xml:space="preserve">Revenue trends: </w:t>
      </w:r>
      <w:r w:rsidRPr="00D8045B">
        <w:rPr>
          <w:rFonts w:ascii="Arial" w:hAnsi="Arial" w:cs="Arial"/>
          <w:szCs w:val="24"/>
          <w:lang w:val="en-GB" w:eastAsia="en-IN"/>
        </w:rPr>
        <w:t xml:space="preserve">This hotel had </w:t>
      </w:r>
      <w:r w:rsidR="00C50C95" w:rsidRPr="00D8045B">
        <w:rPr>
          <w:rFonts w:ascii="Arial" w:hAnsi="Arial" w:cs="Arial"/>
          <w:szCs w:val="24"/>
          <w:lang w:val="en-GB" w:eastAsia="en-IN"/>
        </w:rPr>
        <w:t>revenue</w:t>
      </w:r>
      <w:r w:rsidRPr="00D8045B">
        <w:rPr>
          <w:rFonts w:ascii="Arial" w:hAnsi="Arial" w:cs="Arial"/>
          <w:szCs w:val="24"/>
          <w:lang w:val="en-GB" w:eastAsia="en-IN"/>
        </w:rPr>
        <w:t xml:space="preserve"> of £5,248,290 in 2021 and it has dropped down to £2,325,440 in 2023. This decline showcases the challenges with demand and occupancy. This is especially affected by external economic factors and increased competition. Such a reduction in revenue highlights urgent requirements for revenue management approaches to recover market share and reputation. </w:t>
      </w:r>
    </w:p>
    <w:p w14:paraId="07E18719" w14:textId="77777777" w:rsidR="004361D3" w:rsidRPr="00D8045B" w:rsidRDefault="00290B46" w:rsidP="004361D3">
      <w:pPr>
        <w:pStyle w:val="ListParagraph"/>
        <w:numPr>
          <w:ilvl w:val="0"/>
          <w:numId w:val="1"/>
        </w:numPr>
        <w:rPr>
          <w:rFonts w:ascii="Arial" w:hAnsi="Arial" w:cs="Arial"/>
          <w:color w:val="auto"/>
          <w:szCs w:val="24"/>
          <w:lang w:val="en-GB" w:eastAsia="en-IN"/>
        </w:rPr>
      </w:pPr>
      <w:r w:rsidRPr="00D8045B">
        <w:rPr>
          <w:rFonts w:ascii="Arial" w:hAnsi="Arial" w:cs="Arial"/>
          <w:b/>
          <w:bCs/>
          <w:szCs w:val="24"/>
          <w:lang w:val="en-GB" w:eastAsia="en-IN"/>
        </w:rPr>
        <w:t xml:space="preserve">Expense patterns: </w:t>
      </w:r>
      <w:r w:rsidRPr="00D8045B">
        <w:rPr>
          <w:rFonts w:ascii="Arial" w:hAnsi="Arial" w:cs="Arial"/>
          <w:szCs w:val="24"/>
          <w:lang w:val="en-GB" w:eastAsia="en-IN"/>
        </w:rPr>
        <w:t xml:space="preserve">The City Hotels highlights a mixed trend in expenses. Employee cost and the cost of goods sold both have decreased. This is reflecting </w:t>
      </w:r>
      <w:r w:rsidRPr="00D8045B">
        <w:rPr>
          <w:rFonts w:ascii="Arial" w:hAnsi="Arial" w:cs="Arial"/>
          <w:szCs w:val="24"/>
          <w:lang w:val="en-GB"/>
        </w:rPr>
        <w:t>reduced operational volume and cost control efforts</w:t>
      </w:r>
      <w:r w:rsidRPr="00D8045B">
        <w:rPr>
          <w:rFonts w:ascii="Arial" w:hAnsi="Arial" w:cs="Arial"/>
          <w:szCs w:val="24"/>
          <w:lang w:val="en-GB" w:eastAsia="en-IN"/>
        </w:rPr>
        <w:t>. However, employee expenses remain a substantial part of expenses. This demonstrates that labour efficiency can be developed. External expenses of the hotel have also dropped but not in part because of the decline in revenue. It highlights possible inefficiencies in expense approaches</w:t>
      </w:r>
      <w:r w:rsidR="006B1F45" w:rsidRPr="00D8045B">
        <w:rPr>
          <w:rFonts w:ascii="Arial" w:hAnsi="Arial" w:cs="Arial"/>
          <w:szCs w:val="24"/>
          <w:lang w:val="en-GB" w:eastAsia="en-IN"/>
        </w:rPr>
        <w:t xml:space="preserve"> (</w:t>
      </w:r>
      <w:r w:rsidR="006B1F45" w:rsidRPr="00D8045B">
        <w:rPr>
          <w:rFonts w:ascii="Arial" w:hAnsi="Arial" w:cs="Arial"/>
          <w:szCs w:val="24"/>
          <w:shd w:val="clear" w:color="auto" w:fill="FFFFFF"/>
          <w:lang w:val="en-GB"/>
        </w:rPr>
        <w:t>Franco, et. al., 2020</w:t>
      </w:r>
      <w:r w:rsidR="006B1F45" w:rsidRPr="00D8045B">
        <w:rPr>
          <w:rFonts w:ascii="Arial" w:hAnsi="Arial" w:cs="Arial"/>
          <w:szCs w:val="24"/>
          <w:lang w:val="en-GB" w:eastAsia="en-IN"/>
        </w:rPr>
        <w:t>)</w:t>
      </w:r>
      <w:r w:rsidRPr="00D8045B">
        <w:rPr>
          <w:rFonts w:ascii="Arial" w:hAnsi="Arial" w:cs="Arial"/>
          <w:szCs w:val="24"/>
          <w:lang w:val="en-GB" w:eastAsia="en-IN"/>
        </w:rPr>
        <w:t>. </w:t>
      </w:r>
    </w:p>
    <w:p w14:paraId="72088606" w14:textId="77777777" w:rsidR="004361D3" w:rsidRPr="00D8045B" w:rsidRDefault="00290B46" w:rsidP="004361D3">
      <w:pPr>
        <w:pStyle w:val="ListParagraph"/>
        <w:numPr>
          <w:ilvl w:val="0"/>
          <w:numId w:val="1"/>
        </w:numPr>
        <w:rPr>
          <w:rFonts w:ascii="Arial" w:hAnsi="Arial" w:cs="Arial"/>
          <w:color w:val="auto"/>
          <w:szCs w:val="24"/>
          <w:lang w:val="en-GB" w:eastAsia="en-IN"/>
        </w:rPr>
      </w:pPr>
      <w:r w:rsidRPr="00D8045B">
        <w:rPr>
          <w:rFonts w:ascii="Arial" w:hAnsi="Arial" w:cs="Arial"/>
          <w:b/>
          <w:bCs/>
          <w:szCs w:val="24"/>
          <w:lang w:val="en-GB" w:eastAsia="en-IN"/>
        </w:rPr>
        <w:t xml:space="preserve">Profitability: </w:t>
      </w:r>
      <w:r w:rsidRPr="00D8045B">
        <w:rPr>
          <w:rFonts w:ascii="Arial" w:hAnsi="Arial" w:cs="Arial"/>
          <w:szCs w:val="24"/>
          <w:lang w:val="en-GB" w:eastAsia="en-IN"/>
        </w:rPr>
        <w:t>This hotel's operating income has reduced significantly with a negative trend visible in 2023 (£-1,218,850). This reduction adjusts with the revenue drop and showcases that fixed expenses can be high. This is damaging profitability as revenue declines. Moreover, provisions, taxes and depreciation continue to develop heavily on net income. It is further reducing profitability. </w:t>
      </w:r>
    </w:p>
    <w:p w14:paraId="4C0A7A02" w14:textId="77777777" w:rsidR="004361D3" w:rsidRPr="00D8045B" w:rsidRDefault="00290B46" w:rsidP="004361D3">
      <w:pPr>
        <w:pStyle w:val="ListParagraph"/>
        <w:numPr>
          <w:ilvl w:val="0"/>
          <w:numId w:val="1"/>
        </w:numPr>
        <w:rPr>
          <w:rFonts w:ascii="Arial" w:hAnsi="Arial" w:cs="Arial"/>
          <w:color w:val="auto"/>
          <w:szCs w:val="24"/>
          <w:lang w:val="en-GB" w:eastAsia="en-IN"/>
        </w:rPr>
      </w:pPr>
      <w:r w:rsidRPr="00D8045B">
        <w:rPr>
          <w:rFonts w:ascii="Arial" w:hAnsi="Arial" w:cs="Arial"/>
          <w:b/>
          <w:bCs/>
          <w:szCs w:val="24"/>
          <w:lang w:val="en-GB" w:eastAsia="en-IN"/>
        </w:rPr>
        <w:lastRenderedPageBreak/>
        <w:t xml:space="preserve">Liquidity and solvency: </w:t>
      </w:r>
      <w:r w:rsidRPr="00D8045B">
        <w:rPr>
          <w:rFonts w:ascii="Arial" w:hAnsi="Arial" w:cs="Arial"/>
          <w:szCs w:val="24"/>
          <w:lang w:val="en-GB" w:eastAsia="en-IN"/>
        </w:rPr>
        <w:t>This hotel's liquidity ratio showcases the current ratio and it discloses tightening cash reserves. The cash and equivalents declined from £740,590 in 2021 to £295,510 in 2023. Increased trade payables and short-term debt indicate improving dependency on external funding. Solvency concerns are also important as the debt-to-equity ratio improves. They suggest higher financial leverage and a declined buffer against financial strain</w:t>
      </w:r>
      <w:r w:rsidR="00D37E9D" w:rsidRPr="00D8045B">
        <w:rPr>
          <w:rFonts w:ascii="Arial" w:hAnsi="Arial" w:cs="Arial"/>
          <w:szCs w:val="24"/>
          <w:lang w:val="en-GB" w:eastAsia="en-IN"/>
        </w:rPr>
        <w:t xml:space="preserve"> (</w:t>
      </w:r>
      <w:r w:rsidR="00D37E9D" w:rsidRPr="00D8045B">
        <w:rPr>
          <w:rFonts w:ascii="Arial" w:hAnsi="Arial" w:cs="Arial"/>
          <w:szCs w:val="24"/>
          <w:shd w:val="clear" w:color="auto" w:fill="FFFFFF"/>
          <w:lang w:val="en-GB"/>
        </w:rPr>
        <w:t>Pavone, et. al, 2023</w:t>
      </w:r>
      <w:r w:rsidR="00D37E9D" w:rsidRPr="00D8045B">
        <w:rPr>
          <w:rFonts w:ascii="Arial" w:hAnsi="Arial" w:cs="Arial"/>
          <w:szCs w:val="24"/>
          <w:lang w:val="en-GB" w:eastAsia="en-IN"/>
        </w:rPr>
        <w:t>)</w:t>
      </w:r>
      <w:r w:rsidRPr="00D8045B">
        <w:rPr>
          <w:rFonts w:ascii="Arial" w:hAnsi="Arial" w:cs="Arial"/>
          <w:szCs w:val="24"/>
          <w:lang w:val="en-GB" w:eastAsia="en-IN"/>
        </w:rPr>
        <w:t>. </w:t>
      </w:r>
    </w:p>
    <w:p w14:paraId="48F772DF" w14:textId="77777777" w:rsidR="004361D3" w:rsidRPr="00D8045B" w:rsidRDefault="00290B46" w:rsidP="006B1F45">
      <w:pPr>
        <w:rPr>
          <w:rFonts w:ascii="Arial" w:hAnsi="Arial" w:cs="Arial"/>
          <w:color w:val="auto"/>
          <w:szCs w:val="24"/>
          <w:lang w:val="en-GB" w:eastAsia="en-IN"/>
        </w:rPr>
      </w:pPr>
      <w:r w:rsidRPr="00D8045B">
        <w:rPr>
          <w:rFonts w:ascii="Arial" w:hAnsi="Arial" w:cs="Arial"/>
          <w:szCs w:val="24"/>
          <w:lang w:val="en-GB" w:eastAsia="en-IN"/>
        </w:rPr>
        <w:t>Overall, this hotel's financial performance highlights challenges in cost control, revenue generation and financial stability. It is important to address these areas with the help of expense optimization, revenue maintenance and date restructuring. </w:t>
      </w:r>
    </w:p>
    <w:p w14:paraId="57FEAE2D" w14:textId="77777777" w:rsidR="004361D3" w:rsidRPr="00D8045B" w:rsidRDefault="00290B46" w:rsidP="004361D3">
      <w:pPr>
        <w:pStyle w:val="Heading1"/>
        <w:rPr>
          <w:rFonts w:ascii="Arial" w:eastAsia="Times New Roman" w:hAnsi="Arial" w:cs="Arial"/>
          <w:color w:val="auto"/>
          <w:sz w:val="24"/>
          <w:szCs w:val="24"/>
          <w:lang w:val="en-GB" w:eastAsia="en-IN"/>
        </w:rPr>
      </w:pPr>
      <w:bookmarkStart w:id="2" w:name="_Toc181631236"/>
      <w:r w:rsidRPr="00D8045B">
        <w:rPr>
          <w:rFonts w:ascii="Arial" w:eastAsia="Times New Roman" w:hAnsi="Arial" w:cs="Arial"/>
          <w:sz w:val="24"/>
          <w:szCs w:val="24"/>
          <w:lang w:val="en-GB" w:eastAsia="en-IN"/>
        </w:rPr>
        <w:t>Key Reasons for Decline in Profitability at The City Hotel</w:t>
      </w:r>
      <w:bookmarkEnd w:id="2"/>
    </w:p>
    <w:p w14:paraId="606CD408"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The City Hotel’s profitability has declined over the past three years. It is mainly motivated by a mix of industry-specific factors, economic challenges and operational inefficiencies</w:t>
      </w:r>
      <w:r w:rsidR="00D37E9D" w:rsidRPr="00D8045B">
        <w:rPr>
          <w:rFonts w:ascii="Arial" w:hAnsi="Arial" w:cs="Arial"/>
          <w:szCs w:val="24"/>
          <w:lang w:val="en-GB" w:eastAsia="en-IN"/>
        </w:rPr>
        <w:t xml:space="preserve"> (</w:t>
      </w:r>
      <w:r w:rsidR="00D37E9D" w:rsidRPr="00D8045B">
        <w:rPr>
          <w:rFonts w:ascii="Arial" w:hAnsi="Arial" w:cs="Arial"/>
          <w:szCs w:val="24"/>
          <w:shd w:val="clear" w:color="auto" w:fill="FFFFFF"/>
          <w:lang w:val="en-GB"/>
        </w:rPr>
        <w:t>Chatzoudes, et. al., 2022</w:t>
      </w:r>
      <w:r w:rsidR="00D37E9D" w:rsidRPr="00D8045B">
        <w:rPr>
          <w:rFonts w:ascii="Arial" w:hAnsi="Arial" w:cs="Arial"/>
          <w:szCs w:val="24"/>
          <w:lang w:val="en-GB" w:eastAsia="en-IN"/>
        </w:rPr>
        <w:t>)</w:t>
      </w:r>
      <w:r w:rsidRPr="00D8045B">
        <w:rPr>
          <w:rFonts w:ascii="Arial" w:hAnsi="Arial" w:cs="Arial"/>
          <w:szCs w:val="24"/>
          <w:lang w:val="en-GB" w:eastAsia="en-IN"/>
        </w:rPr>
        <w:t>. There is an essentiality of understanding the main reasons behind these reductions to provide effective strategies for improvement. </w:t>
      </w:r>
    </w:p>
    <w:p w14:paraId="4A0F0F06" w14:textId="77777777" w:rsidR="004361D3" w:rsidRPr="00D8045B" w:rsidRDefault="00290B46" w:rsidP="004361D3">
      <w:pPr>
        <w:pStyle w:val="ListParagraph"/>
        <w:numPr>
          <w:ilvl w:val="0"/>
          <w:numId w:val="2"/>
        </w:numPr>
        <w:rPr>
          <w:rFonts w:ascii="Arial" w:hAnsi="Arial" w:cs="Arial"/>
          <w:color w:val="auto"/>
          <w:szCs w:val="24"/>
          <w:lang w:val="en-GB" w:eastAsia="en-IN"/>
        </w:rPr>
      </w:pPr>
      <w:r w:rsidRPr="00D8045B">
        <w:rPr>
          <w:rFonts w:ascii="Arial" w:hAnsi="Arial" w:cs="Arial"/>
          <w:b/>
          <w:bCs/>
          <w:szCs w:val="24"/>
          <w:lang w:val="en-GB" w:eastAsia="en-IN"/>
        </w:rPr>
        <w:t xml:space="preserve">Impact of economic conditions: </w:t>
      </w:r>
      <w:r w:rsidRPr="00D8045B">
        <w:rPr>
          <w:rFonts w:ascii="Arial" w:hAnsi="Arial" w:cs="Arial"/>
          <w:szCs w:val="24"/>
          <w:lang w:val="en-GB" w:eastAsia="en-IN"/>
        </w:rPr>
        <w:t xml:space="preserve">This hotel has been impacted by global economic instability. This includes interest rates and rising inflation. These approaches have </w:t>
      </w:r>
      <w:r w:rsidRPr="00D8045B">
        <w:rPr>
          <w:rFonts w:ascii="Arial" w:hAnsi="Arial" w:cs="Arial"/>
          <w:szCs w:val="24"/>
          <w:lang w:val="en-GB"/>
        </w:rPr>
        <w:t>negatively affected customer spending on non-important approaches like hospitality. Possible customs mainly prioritise more affordable accommodations or reduced leisure travel with a higher cost of living</w:t>
      </w:r>
      <w:r w:rsidR="00D37E9D" w:rsidRPr="00D8045B">
        <w:rPr>
          <w:rFonts w:ascii="Arial" w:hAnsi="Arial" w:cs="Arial"/>
          <w:szCs w:val="24"/>
          <w:lang w:val="en-GB"/>
        </w:rPr>
        <w:t xml:space="preserve"> (Lubowiecki-Vikuk, et. al., 2021)</w:t>
      </w:r>
      <w:r w:rsidRPr="00D8045B">
        <w:rPr>
          <w:rFonts w:ascii="Arial" w:hAnsi="Arial" w:cs="Arial"/>
          <w:szCs w:val="24"/>
          <w:lang w:val="en-GB"/>
        </w:rPr>
        <w:t>. These approaches have directly impacted the hotel's revenue and occupancy rate. Moreover</w:t>
      </w:r>
      <w:r w:rsidRPr="00D8045B">
        <w:rPr>
          <w:rFonts w:ascii="Arial" w:hAnsi="Arial" w:cs="Arial"/>
          <w:szCs w:val="24"/>
          <w:lang w:val="en-GB" w:eastAsia="en-IN"/>
        </w:rPr>
        <w:t>, developed operational expenses due to inflation, especially in essential supplies and employees' wages have damaged profit margins. </w:t>
      </w:r>
    </w:p>
    <w:p w14:paraId="3EC02409" w14:textId="77777777" w:rsidR="004361D3" w:rsidRPr="00D8045B" w:rsidRDefault="00290B46" w:rsidP="004361D3">
      <w:pPr>
        <w:pStyle w:val="ListParagraph"/>
        <w:numPr>
          <w:ilvl w:val="0"/>
          <w:numId w:val="2"/>
        </w:numPr>
        <w:rPr>
          <w:rFonts w:ascii="Arial" w:hAnsi="Arial" w:cs="Arial"/>
          <w:color w:val="auto"/>
          <w:szCs w:val="24"/>
          <w:lang w:val="en-GB" w:eastAsia="en-IN"/>
        </w:rPr>
      </w:pPr>
      <w:r w:rsidRPr="00D8045B">
        <w:rPr>
          <w:rFonts w:ascii="Arial" w:hAnsi="Arial" w:cs="Arial"/>
          <w:b/>
          <w:bCs/>
          <w:szCs w:val="24"/>
          <w:lang w:val="en-GB" w:eastAsia="en-IN"/>
        </w:rPr>
        <w:lastRenderedPageBreak/>
        <w:t xml:space="preserve">Real-world events: </w:t>
      </w:r>
      <w:r w:rsidRPr="00D8045B">
        <w:rPr>
          <w:rFonts w:ascii="Arial" w:hAnsi="Arial" w:cs="Arial"/>
          <w:szCs w:val="24"/>
          <w:lang w:val="en-GB" w:eastAsia="en-IN"/>
        </w:rPr>
        <w:t>The COVID-19 pandemic situation with the help of tapering off has created a long-term impact on the hospitality industry. Changing customer preferences and travel restrictions have led to inconsistent demand. This is specifically in urban locations where tourism is a key revenue driver. Moreover, supply chain disruptions have improved the expenses of services and goods. This improvement has affected the hotel's profitability and external expenses. </w:t>
      </w:r>
    </w:p>
    <w:p w14:paraId="6C33325A" w14:textId="77777777" w:rsidR="004361D3" w:rsidRPr="00D8045B" w:rsidRDefault="00290B46" w:rsidP="004361D3">
      <w:pPr>
        <w:pStyle w:val="ListParagraph"/>
        <w:numPr>
          <w:ilvl w:val="0"/>
          <w:numId w:val="2"/>
        </w:numPr>
        <w:rPr>
          <w:rFonts w:ascii="Arial" w:hAnsi="Arial" w:cs="Arial"/>
          <w:color w:val="auto"/>
          <w:szCs w:val="24"/>
          <w:lang w:val="en-GB" w:eastAsia="en-IN"/>
        </w:rPr>
      </w:pPr>
      <w:r w:rsidRPr="00D8045B">
        <w:rPr>
          <w:rFonts w:ascii="Arial" w:hAnsi="Arial" w:cs="Arial"/>
          <w:b/>
          <w:bCs/>
          <w:szCs w:val="24"/>
          <w:lang w:val="en-GB" w:eastAsia="en-IN"/>
        </w:rPr>
        <w:t xml:space="preserve">Operation inefficiencies: </w:t>
      </w:r>
      <w:r w:rsidRPr="00D8045B">
        <w:rPr>
          <w:rFonts w:ascii="Arial" w:hAnsi="Arial" w:cs="Arial"/>
          <w:szCs w:val="24"/>
          <w:lang w:val="en-GB" w:eastAsia="en-IN"/>
        </w:rPr>
        <w:t xml:space="preserve">This hotel has experienced historical operating expenses regardless of reduced revenue. This highlights possible inefficiencies in maintaining other overheads and labour. A major expense is employee costs and with revenue decreasing, managing a high staff turnover without developing productivity has damaged profitability. Additionally, this hotel has relied </w:t>
      </w:r>
      <w:r w:rsidRPr="00D8045B">
        <w:rPr>
          <w:rFonts w:ascii="Arial" w:hAnsi="Arial" w:cs="Arial"/>
          <w:szCs w:val="24"/>
          <w:lang w:val="en-GB"/>
        </w:rPr>
        <w:t>on short-term debt to pay off liabilities which has further increased financial damage</w:t>
      </w:r>
      <w:r w:rsidR="00D37E9D" w:rsidRPr="00D8045B">
        <w:rPr>
          <w:rFonts w:ascii="Arial" w:hAnsi="Arial" w:cs="Arial"/>
          <w:szCs w:val="24"/>
          <w:lang w:val="en-GB"/>
        </w:rPr>
        <w:t xml:space="preserve"> (Della Seta, et. al, 2020)</w:t>
      </w:r>
      <w:r w:rsidRPr="00D8045B">
        <w:rPr>
          <w:rFonts w:ascii="Arial" w:hAnsi="Arial" w:cs="Arial"/>
          <w:szCs w:val="24"/>
          <w:lang w:val="en-GB"/>
        </w:rPr>
        <w:t>. These</w:t>
      </w:r>
      <w:r w:rsidRPr="00D8045B">
        <w:rPr>
          <w:rFonts w:ascii="Arial" w:hAnsi="Arial" w:cs="Arial"/>
          <w:szCs w:val="24"/>
          <w:lang w:val="en-GB" w:eastAsia="en-IN"/>
        </w:rPr>
        <w:t xml:space="preserve"> overall initiatives have highlighted the requirement for better financial maintenance.</w:t>
      </w:r>
    </w:p>
    <w:p w14:paraId="031F92AC"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In summary, the hotel's reduction in profitability is because of the pandemic situation, economic pressure and operational inefficiencies. It is vital to address these challenges with a focus on revenue management, cost optimisation and improved financial practices. </w:t>
      </w:r>
    </w:p>
    <w:p w14:paraId="6D4A7A38" w14:textId="77777777" w:rsidR="004361D3" w:rsidRPr="00D8045B" w:rsidRDefault="00290B46" w:rsidP="004361D3">
      <w:pPr>
        <w:pStyle w:val="Heading1"/>
        <w:rPr>
          <w:rFonts w:ascii="Arial" w:eastAsia="Times New Roman" w:hAnsi="Arial" w:cs="Arial"/>
          <w:color w:val="auto"/>
          <w:sz w:val="24"/>
          <w:szCs w:val="24"/>
          <w:lang w:val="en-GB" w:eastAsia="en-IN"/>
        </w:rPr>
      </w:pPr>
      <w:bookmarkStart w:id="3" w:name="_Toc181631237"/>
      <w:r w:rsidRPr="00D8045B">
        <w:rPr>
          <w:rFonts w:ascii="Arial" w:eastAsia="Times New Roman" w:hAnsi="Arial" w:cs="Arial"/>
          <w:sz w:val="24"/>
          <w:szCs w:val="24"/>
          <w:lang w:val="en-GB" w:eastAsia="en-IN"/>
        </w:rPr>
        <w:t>Turnaround Strategy for The City Hotel</w:t>
      </w:r>
      <w:bookmarkEnd w:id="3"/>
    </w:p>
    <w:p w14:paraId="5D3F96DA"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A targeted turnaround approach is highly required to address this hotel's financial challenges and obtain a good reputation</w:t>
      </w:r>
      <w:r w:rsidRPr="00D8045B">
        <w:rPr>
          <w:rFonts w:ascii="Arial" w:hAnsi="Arial" w:cs="Arial"/>
          <w:szCs w:val="24"/>
          <w:lang w:val="en-GB"/>
        </w:rPr>
        <w:t>. These approaches can be focused on cost control, revenue enhancement and operational efficiency</w:t>
      </w:r>
      <w:r w:rsidR="00D95A07" w:rsidRPr="00D8045B">
        <w:rPr>
          <w:rFonts w:ascii="Arial" w:hAnsi="Arial" w:cs="Arial"/>
          <w:szCs w:val="24"/>
          <w:lang w:val="en-GB"/>
        </w:rPr>
        <w:t xml:space="preserve"> (Charles and Ochieng, 2023)</w:t>
      </w:r>
      <w:r w:rsidRPr="00D8045B">
        <w:rPr>
          <w:rFonts w:ascii="Arial" w:hAnsi="Arial" w:cs="Arial"/>
          <w:szCs w:val="24"/>
          <w:lang w:val="en-GB"/>
        </w:rPr>
        <w:t>. The main</w:t>
      </w:r>
      <w:r w:rsidRPr="00D8045B">
        <w:rPr>
          <w:rFonts w:ascii="Arial" w:hAnsi="Arial" w:cs="Arial"/>
          <w:szCs w:val="24"/>
          <w:lang w:val="en-GB" w:eastAsia="en-IN"/>
        </w:rPr>
        <w:t xml:space="preserve"> plan of this plan is to develop market competitiveness, financial health and customer trust. </w:t>
      </w:r>
    </w:p>
    <w:p w14:paraId="6B8B1850" w14:textId="77777777" w:rsidR="004361D3" w:rsidRPr="00D8045B" w:rsidRDefault="00290B46" w:rsidP="004361D3">
      <w:pPr>
        <w:pStyle w:val="ListParagraph"/>
        <w:numPr>
          <w:ilvl w:val="0"/>
          <w:numId w:val="3"/>
        </w:numPr>
        <w:rPr>
          <w:rFonts w:ascii="Arial" w:hAnsi="Arial" w:cs="Arial"/>
          <w:color w:val="auto"/>
          <w:szCs w:val="24"/>
          <w:lang w:val="en-GB" w:eastAsia="en-IN"/>
        </w:rPr>
      </w:pPr>
      <w:r w:rsidRPr="00D8045B">
        <w:rPr>
          <w:rFonts w:ascii="Arial" w:hAnsi="Arial" w:cs="Arial"/>
          <w:b/>
          <w:bCs/>
          <w:szCs w:val="24"/>
          <w:lang w:val="en-GB" w:eastAsia="en-IN"/>
        </w:rPr>
        <w:lastRenderedPageBreak/>
        <w:t xml:space="preserve">Revenue enhancement: </w:t>
      </w:r>
      <w:r w:rsidRPr="00D8045B">
        <w:rPr>
          <w:rFonts w:ascii="Arial" w:hAnsi="Arial" w:cs="Arial"/>
          <w:szCs w:val="24"/>
          <w:lang w:val="en-GB" w:eastAsia="en-IN"/>
        </w:rPr>
        <w:t>This hotel can pay attention to expanding revenue streams. It can introduce supported packages for international and local customers. These can be focused on business travel, weekend stays and events. It will be effective in managing collaboration with travel agencies, local businesses and digital marketing campaigns. They will be useful in developing visibility and attracting new customers. Moreover, this hotel can offer themed nights and host corporate events in the restaurants and bars. These initiatives will develop occupancy and average spending per customer. </w:t>
      </w:r>
    </w:p>
    <w:p w14:paraId="52309D36" w14:textId="77777777" w:rsidR="004361D3" w:rsidRPr="00D8045B" w:rsidRDefault="00290B46" w:rsidP="004361D3">
      <w:pPr>
        <w:pStyle w:val="ListParagraph"/>
        <w:numPr>
          <w:ilvl w:val="0"/>
          <w:numId w:val="3"/>
        </w:numPr>
        <w:rPr>
          <w:rFonts w:ascii="Arial" w:hAnsi="Arial" w:cs="Arial"/>
          <w:color w:val="auto"/>
          <w:szCs w:val="24"/>
          <w:lang w:val="en-GB" w:eastAsia="en-IN"/>
        </w:rPr>
      </w:pPr>
      <w:r w:rsidRPr="00D8045B">
        <w:rPr>
          <w:rFonts w:ascii="Arial" w:hAnsi="Arial" w:cs="Arial"/>
          <w:b/>
          <w:bCs/>
          <w:szCs w:val="24"/>
          <w:lang w:val="en-GB" w:eastAsia="en-IN"/>
        </w:rPr>
        <w:t xml:space="preserve">Cost optimisation: </w:t>
      </w:r>
      <w:r w:rsidRPr="00D8045B">
        <w:rPr>
          <w:rFonts w:ascii="Arial" w:hAnsi="Arial" w:cs="Arial"/>
          <w:szCs w:val="24"/>
          <w:lang w:val="en-GB" w:eastAsia="en-IN"/>
        </w:rPr>
        <w:t xml:space="preserve">This hotel can mitigate unnecessary expenses without compromising service quality and standards. It will be effective to re-evaluate supply contracts and re-negotiate terms to reduce external expenses. This will be automatically useful for energy-saving measures like </w:t>
      </w:r>
      <w:r w:rsidRPr="00D8045B">
        <w:rPr>
          <w:rFonts w:ascii="Arial" w:hAnsi="Arial" w:cs="Arial"/>
          <w:szCs w:val="24"/>
          <w:lang w:val="en-GB"/>
        </w:rPr>
        <w:t>water-saving fixtures and LED lighting</w:t>
      </w:r>
      <w:r w:rsidR="00F06E27" w:rsidRPr="00D8045B">
        <w:rPr>
          <w:rFonts w:ascii="Arial" w:hAnsi="Arial" w:cs="Arial"/>
          <w:szCs w:val="24"/>
          <w:lang w:val="en-GB"/>
        </w:rPr>
        <w:t xml:space="preserve"> (Oliveira, et. al., 2024)</w:t>
      </w:r>
      <w:r w:rsidRPr="00D8045B">
        <w:rPr>
          <w:rFonts w:ascii="Arial" w:hAnsi="Arial" w:cs="Arial"/>
          <w:szCs w:val="24"/>
          <w:lang w:val="en-GB"/>
        </w:rPr>
        <w:t>. These approaches can be helpful in mitigating utility expenses. It can also optimise labour costs by promoting flexible</w:t>
      </w:r>
      <w:r w:rsidRPr="00D8045B">
        <w:rPr>
          <w:rFonts w:ascii="Arial" w:hAnsi="Arial" w:cs="Arial"/>
          <w:szCs w:val="24"/>
          <w:lang w:val="en-GB" w:eastAsia="en-IN"/>
        </w:rPr>
        <w:t xml:space="preserve"> staffing based on occupancy rates. This will effectively ensure that personal expenses adjust with demand. </w:t>
      </w:r>
    </w:p>
    <w:p w14:paraId="2E0C0D0A" w14:textId="77777777" w:rsidR="004361D3" w:rsidRPr="00D8045B" w:rsidRDefault="00290B46" w:rsidP="004361D3">
      <w:pPr>
        <w:pStyle w:val="ListParagraph"/>
        <w:numPr>
          <w:ilvl w:val="0"/>
          <w:numId w:val="3"/>
        </w:numPr>
        <w:rPr>
          <w:rFonts w:ascii="Arial" w:hAnsi="Arial" w:cs="Arial"/>
          <w:color w:val="auto"/>
          <w:szCs w:val="24"/>
          <w:lang w:val="en-GB" w:eastAsia="en-IN"/>
        </w:rPr>
      </w:pPr>
      <w:r w:rsidRPr="00D8045B">
        <w:rPr>
          <w:rFonts w:ascii="Arial" w:hAnsi="Arial" w:cs="Arial"/>
          <w:b/>
          <w:bCs/>
          <w:szCs w:val="24"/>
          <w:lang w:val="en-GB" w:eastAsia="en-IN"/>
        </w:rPr>
        <w:t xml:space="preserve">Operational efficiency: </w:t>
      </w:r>
      <w:r w:rsidRPr="00D8045B">
        <w:rPr>
          <w:rFonts w:ascii="Arial" w:hAnsi="Arial" w:cs="Arial"/>
          <w:szCs w:val="24"/>
          <w:lang w:val="en-GB" w:eastAsia="en-IN"/>
        </w:rPr>
        <w:t>This hotel can develop operational efficiency which is important to obtain profitability. It can introduce digital solutions like automatic check-ins and property management systems. These digital solutions can reduce wait times, smooth business operations and develop customer experiences. Moreover, it can promote staff training programs which can be focused on customer service and multitasking. These programs will motivate efficiency while managing service standards. </w:t>
      </w:r>
    </w:p>
    <w:p w14:paraId="1F5D0C1B" w14:textId="77777777" w:rsidR="004361D3" w:rsidRPr="00D8045B" w:rsidRDefault="00290B46" w:rsidP="004361D3">
      <w:pPr>
        <w:pStyle w:val="ListParagraph"/>
        <w:numPr>
          <w:ilvl w:val="0"/>
          <w:numId w:val="3"/>
        </w:numPr>
        <w:rPr>
          <w:rFonts w:ascii="Arial" w:hAnsi="Arial" w:cs="Arial"/>
          <w:color w:val="auto"/>
          <w:szCs w:val="24"/>
          <w:lang w:val="en-GB" w:eastAsia="en-IN"/>
        </w:rPr>
      </w:pPr>
      <w:r w:rsidRPr="00D8045B">
        <w:rPr>
          <w:rFonts w:ascii="Arial" w:hAnsi="Arial" w:cs="Arial"/>
          <w:b/>
          <w:bCs/>
          <w:szCs w:val="24"/>
          <w:lang w:val="en-GB" w:eastAsia="en-IN"/>
        </w:rPr>
        <w:t xml:space="preserve">Financial restructuring: </w:t>
      </w:r>
      <w:r w:rsidRPr="00D8045B">
        <w:rPr>
          <w:rFonts w:ascii="Arial" w:hAnsi="Arial" w:cs="Arial"/>
          <w:szCs w:val="24"/>
          <w:lang w:val="en-GB" w:eastAsia="en-IN"/>
        </w:rPr>
        <w:t xml:space="preserve">The City Hotel can explore options to restructure debt like extending payment terms and consolidating loans. This restructuring can </w:t>
      </w:r>
      <w:r w:rsidRPr="00D8045B">
        <w:rPr>
          <w:rFonts w:ascii="Arial" w:hAnsi="Arial" w:cs="Arial"/>
          <w:szCs w:val="24"/>
          <w:lang w:val="en-GB" w:eastAsia="en-IN"/>
        </w:rPr>
        <w:lastRenderedPageBreak/>
        <w:t xml:space="preserve">reduce financial pressure. It can also search for short-term financial support like </w:t>
      </w:r>
      <w:r w:rsidRPr="00D8045B">
        <w:rPr>
          <w:rFonts w:ascii="Arial" w:hAnsi="Arial" w:cs="Arial"/>
          <w:szCs w:val="24"/>
          <w:lang w:val="en-GB"/>
        </w:rPr>
        <w:t>business loans and government grants with favourable terms</w:t>
      </w:r>
      <w:r w:rsidR="009F4C37" w:rsidRPr="00D8045B">
        <w:rPr>
          <w:rFonts w:ascii="Arial" w:hAnsi="Arial" w:cs="Arial"/>
          <w:szCs w:val="24"/>
          <w:lang w:val="en-GB"/>
        </w:rPr>
        <w:t xml:space="preserve"> (Dvouletý, et. al., 2021)</w:t>
      </w:r>
      <w:r w:rsidRPr="00D8045B">
        <w:rPr>
          <w:rFonts w:ascii="Arial" w:hAnsi="Arial" w:cs="Arial"/>
          <w:szCs w:val="24"/>
          <w:lang w:val="en-GB"/>
        </w:rPr>
        <w:t>. This can</w:t>
      </w:r>
      <w:r w:rsidRPr="00D8045B">
        <w:rPr>
          <w:rFonts w:ascii="Arial" w:hAnsi="Arial" w:cs="Arial"/>
          <w:szCs w:val="24"/>
          <w:lang w:val="en-GB" w:eastAsia="en-IN"/>
        </w:rPr>
        <w:t xml:space="preserve"> be effective in offering necessary liquidity for financial investments in turnaround efforts. </w:t>
      </w:r>
    </w:p>
    <w:p w14:paraId="4FA6289F"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In summary, it is important to combine cost control, revenue growth, financial restructuring and operational improvement. By paying attention to this combination, this hotel will be able to enhance competitive advantages, restore its reputation within the market and obtain profitability. </w:t>
      </w:r>
    </w:p>
    <w:p w14:paraId="34713A2C" w14:textId="77777777" w:rsidR="004361D3" w:rsidRPr="00D8045B" w:rsidRDefault="00290B46" w:rsidP="007A5FA4">
      <w:pPr>
        <w:pStyle w:val="Heading1"/>
        <w:rPr>
          <w:rFonts w:ascii="Arial" w:eastAsia="Times New Roman" w:hAnsi="Arial" w:cs="Arial"/>
          <w:color w:val="auto"/>
          <w:sz w:val="24"/>
          <w:szCs w:val="24"/>
          <w:lang w:val="en-GB" w:eastAsia="en-IN"/>
        </w:rPr>
      </w:pPr>
      <w:bookmarkStart w:id="4" w:name="_Toc181631238"/>
      <w:r w:rsidRPr="00D8045B">
        <w:rPr>
          <w:rFonts w:ascii="Arial" w:eastAsia="Times New Roman" w:hAnsi="Arial" w:cs="Arial"/>
          <w:sz w:val="24"/>
          <w:szCs w:val="24"/>
          <w:lang w:val="en-GB" w:eastAsia="en-IN"/>
        </w:rPr>
        <w:t>Ratio Calculations</w:t>
      </w:r>
      <w:bookmarkEnd w:id="4"/>
    </w:p>
    <w:tbl>
      <w:tblPr>
        <w:tblStyle w:val="TableGrid"/>
        <w:tblW w:w="0" w:type="auto"/>
        <w:tblLook w:val="04A0" w:firstRow="1" w:lastRow="0" w:firstColumn="1" w:lastColumn="0" w:noHBand="0" w:noVBand="1"/>
      </w:tblPr>
      <w:tblGrid>
        <w:gridCol w:w="684"/>
        <w:gridCol w:w="2936"/>
        <w:gridCol w:w="3551"/>
        <w:gridCol w:w="615"/>
        <w:gridCol w:w="615"/>
        <w:gridCol w:w="615"/>
      </w:tblGrid>
      <w:tr w:rsidR="0041766D" w:rsidRPr="00D8045B" w14:paraId="5DF7901E" w14:textId="77777777" w:rsidTr="0041766D">
        <w:trPr>
          <w:trHeight w:val="405"/>
        </w:trPr>
        <w:tc>
          <w:tcPr>
            <w:tcW w:w="11321" w:type="dxa"/>
            <w:gridSpan w:val="6"/>
            <w:noWrap/>
            <w:hideMark/>
          </w:tcPr>
          <w:p w14:paraId="76D17EBA"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 xml:space="preserve">Ratio calculations foe The City Hotels </w:t>
            </w:r>
          </w:p>
        </w:tc>
      </w:tr>
      <w:tr w:rsidR="0041766D" w:rsidRPr="00D8045B" w14:paraId="1992D55B" w14:textId="77777777" w:rsidTr="0041766D">
        <w:trPr>
          <w:trHeight w:val="315"/>
        </w:trPr>
        <w:tc>
          <w:tcPr>
            <w:tcW w:w="844" w:type="dxa"/>
            <w:noWrap/>
            <w:hideMark/>
          </w:tcPr>
          <w:p w14:paraId="7D60B420"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SL No</w:t>
            </w:r>
          </w:p>
        </w:tc>
        <w:tc>
          <w:tcPr>
            <w:tcW w:w="3860" w:type="dxa"/>
            <w:noWrap/>
            <w:hideMark/>
          </w:tcPr>
          <w:p w14:paraId="01EB18AE"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Particulars</w:t>
            </w:r>
          </w:p>
        </w:tc>
        <w:tc>
          <w:tcPr>
            <w:tcW w:w="4684" w:type="dxa"/>
            <w:noWrap/>
            <w:hideMark/>
          </w:tcPr>
          <w:p w14:paraId="331E71CD"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Formula</w:t>
            </w:r>
          </w:p>
        </w:tc>
        <w:tc>
          <w:tcPr>
            <w:tcW w:w="636" w:type="dxa"/>
            <w:noWrap/>
            <w:hideMark/>
          </w:tcPr>
          <w:p w14:paraId="32008DDB"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2021</w:t>
            </w:r>
          </w:p>
        </w:tc>
        <w:tc>
          <w:tcPr>
            <w:tcW w:w="636" w:type="dxa"/>
            <w:noWrap/>
            <w:hideMark/>
          </w:tcPr>
          <w:p w14:paraId="5A4EE6DE"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2022</w:t>
            </w:r>
          </w:p>
        </w:tc>
        <w:tc>
          <w:tcPr>
            <w:tcW w:w="661" w:type="dxa"/>
            <w:noWrap/>
            <w:hideMark/>
          </w:tcPr>
          <w:p w14:paraId="1FFBCA76"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2023</w:t>
            </w:r>
          </w:p>
        </w:tc>
      </w:tr>
      <w:tr w:rsidR="0041766D" w:rsidRPr="00D8045B" w14:paraId="1077C62C" w14:textId="77777777" w:rsidTr="0041766D">
        <w:trPr>
          <w:trHeight w:val="900"/>
        </w:trPr>
        <w:tc>
          <w:tcPr>
            <w:tcW w:w="844" w:type="dxa"/>
            <w:noWrap/>
            <w:hideMark/>
          </w:tcPr>
          <w:p w14:paraId="310FB849"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1</w:t>
            </w:r>
          </w:p>
        </w:tc>
        <w:tc>
          <w:tcPr>
            <w:tcW w:w="3860" w:type="dxa"/>
            <w:noWrap/>
            <w:hideMark/>
          </w:tcPr>
          <w:p w14:paraId="431D9326"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Current Ratio</w:t>
            </w:r>
          </w:p>
        </w:tc>
        <w:tc>
          <w:tcPr>
            <w:tcW w:w="4684" w:type="dxa"/>
            <w:hideMark/>
          </w:tcPr>
          <w:p w14:paraId="60A2EF58"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 xml:space="preserve"> = Current Assets / Current Liabilities</w:t>
            </w:r>
          </w:p>
        </w:tc>
        <w:tc>
          <w:tcPr>
            <w:tcW w:w="636" w:type="dxa"/>
            <w:noWrap/>
            <w:hideMark/>
          </w:tcPr>
          <w:p w14:paraId="65C4FB4D"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0.97</w:t>
            </w:r>
          </w:p>
        </w:tc>
        <w:tc>
          <w:tcPr>
            <w:tcW w:w="636" w:type="dxa"/>
            <w:noWrap/>
            <w:hideMark/>
          </w:tcPr>
          <w:p w14:paraId="50E9AE3C"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0.93</w:t>
            </w:r>
          </w:p>
        </w:tc>
        <w:tc>
          <w:tcPr>
            <w:tcW w:w="661" w:type="dxa"/>
            <w:noWrap/>
            <w:hideMark/>
          </w:tcPr>
          <w:p w14:paraId="2FCE17E7"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0.64</w:t>
            </w:r>
          </w:p>
        </w:tc>
      </w:tr>
      <w:tr w:rsidR="0041766D" w:rsidRPr="00D8045B" w14:paraId="5E84DA3D" w14:textId="77777777" w:rsidTr="0041766D">
        <w:trPr>
          <w:trHeight w:val="1365"/>
        </w:trPr>
        <w:tc>
          <w:tcPr>
            <w:tcW w:w="844" w:type="dxa"/>
            <w:noWrap/>
            <w:hideMark/>
          </w:tcPr>
          <w:p w14:paraId="5DFA43E0"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2</w:t>
            </w:r>
          </w:p>
        </w:tc>
        <w:tc>
          <w:tcPr>
            <w:tcW w:w="3860" w:type="dxa"/>
            <w:noWrap/>
            <w:hideMark/>
          </w:tcPr>
          <w:p w14:paraId="650AC390"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Quick Ratio (Acid Test Ratio)</w:t>
            </w:r>
          </w:p>
        </w:tc>
        <w:tc>
          <w:tcPr>
            <w:tcW w:w="4684" w:type="dxa"/>
            <w:hideMark/>
          </w:tcPr>
          <w:p w14:paraId="68FD4753"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 xml:space="preserve"> = (Current Assets – Inventory – Prepaid expenses) / Current Liabilities</w:t>
            </w:r>
          </w:p>
        </w:tc>
        <w:tc>
          <w:tcPr>
            <w:tcW w:w="636" w:type="dxa"/>
            <w:noWrap/>
            <w:hideMark/>
          </w:tcPr>
          <w:p w14:paraId="57A61717"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0.95</w:t>
            </w:r>
          </w:p>
        </w:tc>
        <w:tc>
          <w:tcPr>
            <w:tcW w:w="636" w:type="dxa"/>
            <w:noWrap/>
            <w:hideMark/>
          </w:tcPr>
          <w:p w14:paraId="19D0A254"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0.92</w:t>
            </w:r>
          </w:p>
        </w:tc>
        <w:tc>
          <w:tcPr>
            <w:tcW w:w="661" w:type="dxa"/>
            <w:noWrap/>
            <w:hideMark/>
          </w:tcPr>
          <w:p w14:paraId="73F0233D"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0.62</w:t>
            </w:r>
          </w:p>
        </w:tc>
      </w:tr>
      <w:tr w:rsidR="0041766D" w:rsidRPr="00D8045B" w14:paraId="481CBD30" w14:textId="77777777" w:rsidTr="0041766D">
        <w:trPr>
          <w:trHeight w:val="315"/>
        </w:trPr>
        <w:tc>
          <w:tcPr>
            <w:tcW w:w="844" w:type="dxa"/>
            <w:noWrap/>
            <w:hideMark/>
          </w:tcPr>
          <w:p w14:paraId="29B53266"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3</w:t>
            </w:r>
          </w:p>
        </w:tc>
        <w:tc>
          <w:tcPr>
            <w:tcW w:w="3860" w:type="dxa"/>
            <w:noWrap/>
            <w:hideMark/>
          </w:tcPr>
          <w:p w14:paraId="275B3D89"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Return on Equity</w:t>
            </w:r>
          </w:p>
        </w:tc>
        <w:tc>
          <w:tcPr>
            <w:tcW w:w="4684" w:type="dxa"/>
            <w:noWrap/>
            <w:hideMark/>
          </w:tcPr>
          <w:p w14:paraId="7254795F"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 xml:space="preserve"> = (Net Profit/Shareholder Funds) </w:t>
            </w:r>
          </w:p>
        </w:tc>
        <w:tc>
          <w:tcPr>
            <w:tcW w:w="636" w:type="dxa"/>
            <w:noWrap/>
            <w:hideMark/>
          </w:tcPr>
          <w:p w14:paraId="2DC13217"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0.15</w:t>
            </w:r>
          </w:p>
        </w:tc>
        <w:tc>
          <w:tcPr>
            <w:tcW w:w="636" w:type="dxa"/>
            <w:noWrap/>
            <w:hideMark/>
          </w:tcPr>
          <w:p w14:paraId="67AB6A81"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0.12</w:t>
            </w:r>
          </w:p>
        </w:tc>
        <w:tc>
          <w:tcPr>
            <w:tcW w:w="661" w:type="dxa"/>
            <w:noWrap/>
            <w:hideMark/>
          </w:tcPr>
          <w:p w14:paraId="3621C203"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-0.80</w:t>
            </w:r>
          </w:p>
        </w:tc>
      </w:tr>
      <w:tr w:rsidR="0041766D" w:rsidRPr="00D8045B" w14:paraId="1CBA20EE" w14:textId="77777777" w:rsidTr="0041766D">
        <w:trPr>
          <w:trHeight w:val="315"/>
        </w:trPr>
        <w:tc>
          <w:tcPr>
            <w:tcW w:w="844" w:type="dxa"/>
            <w:noWrap/>
            <w:hideMark/>
          </w:tcPr>
          <w:p w14:paraId="1192BAF3"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4</w:t>
            </w:r>
          </w:p>
        </w:tc>
        <w:tc>
          <w:tcPr>
            <w:tcW w:w="3860" w:type="dxa"/>
            <w:noWrap/>
            <w:hideMark/>
          </w:tcPr>
          <w:p w14:paraId="451AADF4"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Debt to Equity Ratio</w:t>
            </w:r>
          </w:p>
        </w:tc>
        <w:tc>
          <w:tcPr>
            <w:tcW w:w="4684" w:type="dxa"/>
            <w:noWrap/>
            <w:hideMark/>
          </w:tcPr>
          <w:p w14:paraId="2B9053E4"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 (Total Debt / Shareholders’ Equity)</w:t>
            </w:r>
          </w:p>
        </w:tc>
        <w:tc>
          <w:tcPr>
            <w:tcW w:w="636" w:type="dxa"/>
            <w:noWrap/>
            <w:hideMark/>
          </w:tcPr>
          <w:p w14:paraId="5AEF1B08"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3.77</w:t>
            </w:r>
          </w:p>
        </w:tc>
        <w:tc>
          <w:tcPr>
            <w:tcW w:w="636" w:type="dxa"/>
            <w:noWrap/>
            <w:hideMark/>
          </w:tcPr>
          <w:p w14:paraId="21ECED81"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1.60</w:t>
            </w:r>
          </w:p>
        </w:tc>
        <w:tc>
          <w:tcPr>
            <w:tcW w:w="661" w:type="dxa"/>
            <w:noWrap/>
            <w:hideMark/>
          </w:tcPr>
          <w:p w14:paraId="19604169"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8.80</w:t>
            </w:r>
          </w:p>
        </w:tc>
      </w:tr>
      <w:tr w:rsidR="0041766D" w:rsidRPr="00D8045B" w14:paraId="7A6A43C2" w14:textId="77777777" w:rsidTr="0041766D">
        <w:trPr>
          <w:trHeight w:val="315"/>
        </w:trPr>
        <w:tc>
          <w:tcPr>
            <w:tcW w:w="844" w:type="dxa"/>
            <w:noWrap/>
            <w:hideMark/>
          </w:tcPr>
          <w:p w14:paraId="2B8DFE63"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lastRenderedPageBreak/>
              <w:t>5</w:t>
            </w:r>
          </w:p>
        </w:tc>
        <w:tc>
          <w:tcPr>
            <w:tcW w:w="3860" w:type="dxa"/>
            <w:noWrap/>
            <w:hideMark/>
          </w:tcPr>
          <w:p w14:paraId="0164F116" w14:textId="77777777" w:rsidR="0041766D" w:rsidRPr="00D8045B" w:rsidRDefault="0041766D" w:rsidP="0041766D">
            <w:pPr>
              <w:rPr>
                <w:rFonts w:ascii="Arial" w:hAnsi="Arial" w:cs="Arial"/>
                <w:b/>
                <w:bCs/>
                <w:color w:val="auto"/>
                <w:szCs w:val="24"/>
                <w:lang w:val="en-GB" w:eastAsia="en-IN"/>
              </w:rPr>
            </w:pPr>
            <w:r w:rsidRPr="00D8045B">
              <w:rPr>
                <w:rFonts w:ascii="Arial" w:hAnsi="Arial" w:cs="Arial"/>
                <w:b/>
                <w:bCs/>
                <w:color w:val="auto"/>
                <w:szCs w:val="24"/>
                <w:lang w:val="en-GB" w:eastAsia="en-IN"/>
              </w:rPr>
              <w:t>Return on Assets</w:t>
            </w:r>
          </w:p>
        </w:tc>
        <w:tc>
          <w:tcPr>
            <w:tcW w:w="4684" w:type="dxa"/>
            <w:noWrap/>
            <w:hideMark/>
          </w:tcPr>
          <w:p w14:paraId="188199A8"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 xml:space="preserve"> = (Net Profit/Total Assets) </w:t>
            </w:r>
          </w:p>
        </w:tc>
        <w:tc>
          <w:tcPr>
            <w:tcW w:w="636" w:type="dxa"/>
            <w:noWrap/>
            <w:hideMark/>
          </w:tcPr>
          <w:p w14:paraId="3EF09281"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0.03</w:t>
            </w:r>
          </w:p>
        </w:tc>
        <w:tc>
          <w:tcPr>
            <w:tcW w:w="636" w:type="dxa"/>
            <w:noWrap/>
            <w:hideMark/>
          </w:tcPr>
          <w:p w14:paraId="2E31475A"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0.02</w:t>
            </w:r>
          </w:p>
        </w:tc>
        <w:tc>
          <w:tcPr>
            <w:tcW w:w="661" w:type="dxa"/>
            <w:noWrap/>
            <w:hideMark/>
          </w:tcPr>
          <w:p w14:paraId="338B19D1" w14:textId="77777777" w:rsidR="0041766D" w:rsidRPr="00D8045B" w:rsidRDefault="0041766D" w:rsidP="0041766D">
            <w:pPr>
              <w:rPr>
                <w:rFonts w:ascii="Arial" w:hAnsi="Arial" w:cs="Arial"/>
                <w:color w:val="auto"/>
                <w:szCs w:val="24"/>
                <w:lang w:val="en-GB" w:eastAsia="en-IN"/>
              </w:rPr>
            </w:pPr>
            <w:r w:rsidRPr="00D8045B">
              <w:rPr>
                <w:rFonts w:ascii="Arial" w:hAnsi="Arial" w:cs="Arial"/>
                <w:color w:val="auto"/>
                <w:szCs w:val="24"/>
                <w:lang w:val="en-GB" w:eastAsia="en-IN"/>
              </w:rPr>
              <w:t>-0.07</w:t>
            </w:r>
          </w:p>
        </w:tc>
      </w:tr>
    </w:tbl>
    <w:p w14:paraId="59B66BB3" w14:textId="77777777" w:rsidR="007A5FA4" w:rsidRPr="00D8045B" w:rsidRDefault="00290B46" w:rsidP="004361D3">
      <w:pPr>
        <w:rPr>
          <w:rFonts w:ascii="Arial" w:hAnsi="Arial" w:cs="Arial"/>
          <w:b/>
          <w:bCs/>
          <w:szCs w:val="24"/>
          <w:u w:val="single"/>
          <w:lang w:val="en-GB" w:eastAsia="en-IN"/>
        </w:rPr>
      </w:pPr>
      <w:r w:rsidRPr="00D8045B">
        <w:rPr>
          <w:rFonts w:ascii="Arial" w:hAnsi="Arial" w:cs="Arial"/>
          <w:b/>
          <w:bCs/>
          <w:szCs w:val="24"/>
          <w:u w:val="single"/>
          <w:lang w:val="en-GB" w:eastAsia="en-IN"/>
        </w:rPr>
        <w:t xml:space="preserve">Analysis </w:t>
      </w:r>
    </w:p>
    <w:p w14:paraId="464EA68A"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Different ratios can be used to analyse the financial health of City Hotel, which includes insights into its liquidity, profitability and leverage. During the period 2021-2023, the ratio reflects areas of significant concern in the overall financial position and operational efficiency of the hotel.</w:t>
      </w:r>
    </w:p>
    <w:p w14:paraId="5257E748" w14:textId="77777777" w:rsidR="004361D3" w:rsidRPr="00D8045B" w:rsidRDefault="00290B46" w:rsidP="004361D3">
      <w:pPr>
        <w:rPr>
          <w:rFonts w:ascii="Arial" w:hAnsi="Arial" w:cs="Arial"/>
          <w:i/>
          <w:iCs/>
          <w:color w:val="auto"/>
          <w:szCs w:val="24"/>
          <w:lang w:val="en-GB" w:eastAsia="en-IN"/>
        </w:rPr>
      </w:pPr>
      <w:r w:rsidRPr="00D8045B">
        <w:rPr>
          <w:rFonts w:ascii="Arial" w:hAnsi="Arial" w:cs="Arial"/>
          <w:b/>
          <w:bCs/>
          <w:i/>
          <w:iCs/>
          <w:szCs w:val="24"/>
          <w:lang w:val="en-GB" w:eastAsia="en-IN"/>
        </w:rPr>
        <w:t>Liquidity Ratios</w:t>
      </w:r>
    </w:p>
    <w:p w14:paraId="11508542"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The two liquidity ratios shown by Current Ratio and Quick Ratio determine whether the hotel can pay off its short-term obligations</w:t>
      </w:r>
      <w:r w:rsidR="0041766D" w:rsidRPr="00D8045B">
        <w:rPr>
          <w:rFonts w:ascii="Arial" w:hAnsi="Arial" w:cs="Arial"/>
          <w:szCs w:val="24"/>
          <w:lang w:val="en-GB" w:eastAsia="en-IN"/>
        </w:rPr>
        <w:t xml:space="preserve"> (</w:t>
      </w:r>
      <w:r w:rsidR="0041766D" w:rsidRPr="00D8045B">
        <w:rPr>
          <w:rFonts w:ascii="Arial" w:hAnsi="Arial" w:cs="Arial"/>
          <w:szCs w:val="24"/>
          <w:shd w:val="clear" w:color="auto" w:fill="FFFFFF"/>
          <w:lang w:val="en-GB"/>
        </w:rPr>
        <w:t>Dirman, 2020</w:t>
      </w:r>
      <w:r w:rsidR="0041766D" w:rsidRPr="00D8045B">
        <w:rPr>
          <w:rFonts w:ascii="Arial" w:hAnsi="Arial" w:cs="Arial"/>
          <w:szCs w:val="24"/>
          <w:lang w:val="en-GB" w:eastAsia="en-IN"/>
        </w:rPr>
        <w:t>)</w:t>
      </w:r>
      <w:r w:rsidRPr="00D8045B">
        <w:rPr>
          <w:rFonts w:ascii="Arial" w:hAnsi="Arial" w:cs="Arial"/>
          <w:szCs w:val="24"/>
          <w:lang w:val="en-GB" w:eastAsia="en-IN"/>
        </w:rPr>
        <w:t xml:space="preserve">. The </w:t>
      </w:r>
      <w:r w:rsidR="007A5FA4" w:rsidRPr="00D8045B">
        <w:rPr>
          <w:rFonts w:ascii="Arial" w:hAnsi="Arial" w:cs="Arial"/>
          <w:b/>
          <w:bCs/>
          <w:szCs w:val="24"/>
          <w:lang w:val="en-GB" w:eastAsia="en-IN"/>
        </w:rPr>
        <w:t>C</w:t>
      </w:r>
      <w:r w:rsidRPr="00D8045B">
        <w:rPr>
          <w:rFonts w:ascii="Arial" w:hAnsi="Arial" w:cs="Arial"/>
          <w:b/>
          <w:bCs/>
          <w:szCs w:val="24"/>
          <w:lang w:val="en-GB" w:eastAsia="en-IN"/>
        </w:rPr>
        <w:t>urrent Ratio</w:t>
      </w:r>
      <w:r w:rsidRPr="00D8045B">
        <w:rPr>
          <w:rFonts w:ascii="Arial" w:hAnsi="Arial" w:cs="Arial"/>
          <w:szCs w:val="24"/>
          <w:lang w:val="en-GB" w:eastAsia="en-IN"/>
        </w:rPr>
        <w:t xml:space="preserve"> is the ratio between current assets and current liabilities. It has reduced from 0.97 in 2021 to 0.64 in 2023. This gives a ratio of less than 1. It means that liabilities exceed assets, showing possible liquidity problems. This implies that the hotel will not be in a position to pay its short-term debts. This is an indication of a warning signal to stakeholders. </w:t>
      </w:r>
    </w:p>
    <w:p w14:paraId="5914EF1F"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 xml:space="preserve">Similarly, the </w:t>
      </w:r>
      <w:r w:rsidRPr="00D8045B">
        <w:rPr>
          <w:rFonts w:ascii="Arial" w:hAnsi="Arial" w:cs="Arial"/>
          <w:b/>
          <w:bCs/>
          <w:szCs w:val="24"/>
          <w:lang w:val="en-GB" w:eastAsia="en-IN"/>
        </w:rPr>
        <w:t>Quick Ratio</w:t>
      </w:r>
      <w:r w:rsidRPr="00D8045B">
        <w:rPr>
          <w:rFonts w:ascii="Arial" w:hAnsi="Arial" w:cs="Arial"/>
          <w:szCs w:val="24"/>
          <w:lang w:val="en-GB" w:eastAsia="en-IN"/>
        </w:rPr>
        <w:t xml:space="preserve"> has excluded inventory and prepaid expenses from current assets. This has also declined, from 0.95 in 2021 to 0.62 in 2023. This further strengthens concerns over the hotel's liquidity position. This demonstrates if the hotel were to rapidly liquidate its most liquid assets, it would be unable to meet its current liabilities. It further suggests that the consistent decline in these ratios indicates that the financial situation is unstable and could damage operational stability if not handled immediately. </w:t>
      </w:r>
    </w:p>
    <w:p w14:paraId="1326504E" w14:textId="77777777" w:rsidR="004361D3" w:rsidRPr="00D8045B" w:rsidRDefault="00290B46" w:rsidP="004361D3">
      <w:pPr>
        <w:rPr>
          <w:rFonts w:ascii="Arial" w:hAnsi="Arial" w:cs="Arial"/>
          <w:i/>
          <w:iCs/>
          <w:color w:val="auto"/>
          <w:szCs w:val="24"/>
          <w:lang w:val="en-GB" w:eastAsia="en-IN"/>
        </w:rPr>
      </w:pPr>
      <w:r w:rsidRPr="00D8045B">
        <w:rPr>
          <w:rFonts w:ascii="Arial" w:hAnsi="Arial" w:cs="Arial"/>
          <w:b/>
          <w:bCs/>
          <w:i/>
          <w:iCs/>
          <w:szCs w:val="24"/>
          <w:lang w:val="en-GB" w:eastAsia="en-IN"/>
        </w:rPr>
        <w:t>Profitability Ratios</w:t>
      </w:r>
    </w:p>
    <w:p w14:paraId="3FE38439"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lastRenderedPageBreak/>
        <w:t xml:space="preserve">Profitability ratios offer an idea of whether the hotel can generate profit compared to its revenue or equity. </w:t>
      </w:r>
      <w:r w:rsidRPr="00D8045B">
        <w:rPr>
          <w:rFonts w:ascii="Arial" w:hAnsi="Arial" w:cs="Arial"/>
          <w:b/>
          <w:bCs/>
          <w:szCs w:val="24"/>
          <w:lang w:val="en-GB" w:eastAsia="en-IN"/>
        </w:rPr>
        <w:t>The Return on Equity (ROE)</w:t>
      </w:r>
      <w:r w:rsidRPr="00D8045B">
        <w:rPr>
          <w:rFonts w:ascii="Arial" w:hAnsi="Arial" w:cs="Arial"/>
          <w:szCs w:val="24"/>
          <w:lang w:val="en-GB" w:eastAsia="en-IN"/>
        </w:rPr>
        <w:t xml:space="preserve"> percentage has declined from 2021 at 0.15 and 2022 at 0.12. it is highly noticeable in 2023 (-0.80)</w:t>
      </w:r>
      <w:r w:rsidR="0041766D" w:rsidRPr="00D8045B">
        <w:rPr>
          <w:rFonts w:ascii="Arial" w:hAnsi="Arial" w:cs="Arial"/>
          <w:szCs w:val="24"/>
          <w:lang w:val="en-GB" w:eastAsia="en-IN"/>
        </w:rPr>
        <w:t xml:space="preserve"> (</w:t>
      </w:r>
      <w:r w:rsidR="0041766D" w:rsidRPr="00D8045B">
        <w:rPr>
          <w:rFonts w:ascii="Arial" w:hAnsi="Arial" w:cs="Arial"/>
          <w:szCs w:val="24"/>
          <w:shd w:val="clear" w:color="auto" w:fill="FFFFFF"/>
          <w:lang w:val="en-GB"/>
        </w:rPr>
        <w:t>Masrivah and Rijanto, 2024</w:t>
      </w:r>
      <w:r w:rsidR="0041766D" w:rsidRPr="00D8045B">
        <w:rPr>
          <w:rFonts w:ascii="Arial" w:hAnsi="Arial" w:cs="Arial"/>
          <w:szCs w:val="24"/>
          <w:lang w:val="en-GB" w:eastAsia="en-IN"/>
        </w:rPr>
        <w:t>)</w:t>
      </w:r>
      <w:r w:rsidRPr="00D8045B">
        <w:rPr>
          <w:rFonts w:ascii="Arial" w:hAnsi="Arial" w:cs="Arial"/>
          <w:szCs w:val="24"/>
          <w:lang w:val="en-GB" w:eastAsia="en-IN"/>
        </w:rPr>
        <w:t>. This sharp downturn indicates that shareholders are taking losses instead of returns through their investments. This has raised serious concerns about the management and efficiencies of the hotel. A negative ROE makes the hotel look unprofitable as well as reduces the confidence that investors have in such a concern. This would meticulously affect subsequent capital investments. </w:t>
      </w:r>
    </w:p>
    <w:p w14:paraId="165447EA" w14:textId="77777777" w:rsidR="004361D3" w:rsidRPr="00D8045B" w:rsidRDefault="00290B46" w:rsidP="004361D3">
      <w:pPr>
        <w:rPr>
          <w:rFonts w:ascii="Arial" w:hAnsi="Arial" w:cs="Arial"/>
          <w:color w:val="auto"/>
          <w:szCs w:val="24"/>
          <w:lang w:val="en-GB" w:eastAsia="en-IN"/>
        </w:rPr>
      </w:pPr>
      <w:r w:rsidRPr="00D8045B">
        <w:rPr>
          <w:rFonts w:ascii="Arial" w:hAnsi="Arial" w:cs="Arial"/>
          <w:b/>
          <w:bCs/>
          <w:szCs w:val="24"/>
          <w:lang w:val="en-GB" w:eastAsia="en-IN"/>
        </w:rPr>
        <w:t>The Return on Assets (ROA)</w:t>
      </w:r>
      <w:r w:rsidRPr="00D8045B">
        <w:rPr>
          <w:rFonts w:ascii="Arial" w:hAnsi="Arial" w:cs="Arial"/>
          <w:szCs w:val="24"/>
          <w:lang w:val="en-GB" w:eastAsia="en-IN"/>
        </w:rPr>
        <w:t xml:space="preserve"> ratio was also in decline, from 0.03 in 2021 to -0.07 in 2023</w:t>
      </w:r>
      <w:r w:rsidR="004B1D19" w:rsidRPr="00D8045B">
        <w:rPr>
          <w:rFonts w:ascii="Arial" w:hAnsi="Arial" w:cs="Arial"/>
          <w:szCs w:val="24"/>
          <w:lang w:val="en-GB" w:eastAsia="en-IN"/>
        </w:rPr>
        <w:t xml:space="preserve"> (</w:t>
      </w:r>
      <w:r w:rsidR="004B1D19" w:rsidRPr="00D8045B">
        <w:rPr>
          <w:rFonts w:ascii="Arial" w:hAnsi="Arial" w:cs="Arial"/>
          <w:szCs w:val="24"/>
          <w:shd w:val="clear" w:color="auto" w:fill="FFFFFF"/>
          <w:lang w:val="en-GB"/>
        </w:rPr>
        <w:t>Nurkamila and Firmansyah, 2024</w:t>
      </w:r>
      <w:r w:rsidR="004B1D19" w:rsidRPr="00D8045B">
        <w:rPr>
          <w:rFonts w:ascii="Arial" w:hAnsi="Arial" w:cs="Arial"/>
          <w:szCs w:val="24"/>
          <w:lang w:val="en-GB" w:eastAsia="en-IN"/>
        </w:rPr>
        <w:t>)</w:t>
      </w:r>
      <w:r w:rsidRPr="00D8045B">
        <w:rPr>
          <w:rFonts w:ascii="Arial" w:hAnsi="Arial" w:cs="Arial"/>
          <w:szCs w:val="24"/>
          <w:lang w:val="en-GB" w:eastAsia="en-IN"/>
        </w:rPr>
        <w:t>. Declining ROA indicates that the hotel is not operating efficiently enough to make a profit from the utilisation of assets. It can be due to inefficiency in operation or revenue decline. The management should check the cost control measures and revenue-generating strategies. The fact that ROA has declined makes it even more necessary to have a turnaround strategy to obtain the hotel's financial viability.</w:t>
      </w:r>
    </w:p>
    <w:p w14:paraId="3A57A13E" w14:textId="77777777" w:rsidR="004361D3" w:rsidRPr="00D8045B" w:rsidRDefault="00290B46" w:rsidP="004361D3">
      <w:pPr>
        <w:rPr>
          <w:rFonts w:ascii="Arial" w:hAnsi="Arial" w:cs="Arial"/>
          <w:i/>
          <w:iCs/>
          <w:color w:val="auto"/>
          <w:szCs w:val="24"/>
          <w:lang w:val="en-GB" w:eastAsia="en-IN"/>
        </w:rPr>
      </w:pPr>
      <w:r w:rsidRPr="00D8045B">
        <w:rPr>
          <w:rFonts w:ascii="Arial" w:hAnsi="Arial" w:cs="Arial"/>
          <w:b/>
          <w:bCs/>
          <w:i/>
          <w:iCs/>
          <w:szCs w:val="24"/>
          <w:lang w:val="en-GB" w:eastAsia="en-IN"/>
        </w:rPr>
        <w:t>Leverage Ratios</w:t>
      </w:r>
    </w:p>
    <w:p w14:paraId="4ED19B11" w14:textId="77777777" w:rsidR="004361D3" w:rsidRPr="00D8045B" w:rsidRDefault="00290B46" w:rsidP="004361D3">
      <w:pPr>
        <w:rPr>
          <w:rFonts w:ascii="Arial" w:hAnsi="Arial" w:cs="Arial"/>
          <w:color w:val="auto"/>
          <w:szCs w:val="24"/>
          <w:lang w:val="en-GB" w:eastAsia="en-IN"/>
        </w:rPr>
      </w:pPr>
      <w:r w:rsidRPr="00D8045B">
        <w:rPr>
          <w:rFonts w:ascii="Arial" w:hAnsi="Arial" w:cs="Arial"/>
          <w:b/>
          <w:bCs/>
          <w:szCs w:val="24"/>
          <w:lang w:val="en-GB" w:eastAsia="en-IN"/>
        </w:rPr>
        <w:t xml:space="preserve">The </w:t>
      </w:r>
      <w:r w:rsidR="00A51366" w:rsidRPr="00D8045B">
        <w:rPr>
          <w:rFonts w:ascii="Arial" w:hAnsi="Arial" w:cs="Arial"/>
          <w:b/>
          <w:bCs/>
          <w:szCs w:val="24"/>
          <w:lang w:val="en-GB" w:eastAsia="en-IN"/>
        </w:rPr>
        <w:t>d</w:t>
      </w:r>
      <w:r w:rsidRPr="00D8045B">
        <w:rPr>
          <w:rFonts w:ascii="Arial" w:hAnsi="Arial" w:cs="Arial"/>
          <w:b/>
          <w:bCs/>
          <w:szCs w:val="24"/>
          <w:lang w:val="en-GB" w:eastAsia="en-IN"/>
        </w:rPr>
        <w:t>ebt</w:t>
      </w:r>
      <w:r w:rsidR="00A51366" w:rsidRPr="00D8045B">
        <w:rPr>
          <w:rFonts w:ascii="Arial" w:hAnsi="Arial" w:cs="Arial"/>
          <w:b/>
          <w:bCs/>
          <w:szCs w:val="24"/>
          <w:lang w:val="en-GB" w:eastAsia="en-IN"/>
        </w:rPr>
        <w:t>-</w:t>
      </w:r>
      <w:r w:rsidRPr="00D8045B">
        <w:rPr>
          <w:rFonts w:ascii="Arial" w:hAnsi="Arial" w:cs="Arial"/>
          <w:b/>
          <w:bCs/>
          <w:szCs w:val="24"/>
          <w:lang w:val="en-GB" w:eastAsia="en-IN"/>
        </w:rPr>
        <w:t>to-debt-equity ratio</w:t>
      </w:r>
      <w:r w:rsidRPr="00D8045B">
        <w:rPr>
          <w:rFonts w:ascii="Arial" w:hAnsi="Arial" w:cs="Arial"/>
          <w:szCs w:val="24"/>
          <w:lang w:val="en-GB" w:eastAsia="en-IN"/>
        </w:rPr>
        <w:t xml:space="preserve"> informs about the capital structure and financial leverage used by the hotel. This has risen significantly from 3.77 in 2021 to 8.80 in 2023. This hotel largely depends on debt to fund its operations rather than using equity. This is concerning because it indicates that there is a higher risk of hotel financial distress due to the probable inability to service the levels of debt. This makes investors and creditors easily assume that some inefficiency exists and increasing levels of debt, especially if the hotel does not operate highly enough to be profitable in the operations</w:t>
      </w:r>
      <w:r w:rsidR="004B1D19" w:rsidRPr="00D8045B">
        <w:rPr>
          <w:rFonts w:ascii="Arial" w:hAnsi="Arial" w:cs="Arial"/>
          <w:szCs w:val="24"/>
          <w:lang w:val="en-GB" w:eastAsia="en-IN"/>
        </w:rPr>
        <w:t xml:space="preserve"> (</w:t>
      </w:r>
      <w:r w:rsidR="004B1D19" w:rsidRPr="00D8045B">
        <w:rPr>
          <w:rFonts w:ascii="Arial" w:hAnsi="Arial" w:cs="Arial"/>
          <w:szCs w:val="24"/>
          <w:shd w:val="clear" w:color="auto" w:fill="FFFFFF"/>
          <w:lang w:val="en-GB"/>
        </w:rPr>
        <w:t>Matunni’Mah, et. al., 2023</w:t>
      </w:r>
      <w:r w:rsidR="004B1D19" w:rsidRPr="00D8045B">
        <w:rPr>
          <w:rFonts w:ascii="Arial" w:hAnsi="Arial" w:cs="Arial"/>
          <w:szCs w:val="24"/>
          <w:lang w:val="en-GB" w:eastAsia="en-IN"/>
        </w:rPr>
        <w:t>)</w:t>
      </w:r>
      <w:r w:rsidRPr="00D8045B">
        <w:rPr>
          <w:rFonts w:ascii="Arial" w:hAnsi="Arial" w:cs="Arial"/>
          <w:szCs w:val="24"/>
          <w:lang w:val="en-GB" w:eastAsia="en-IN"/>
        </w:rPr>
        <w:t>.</w:t>
      </w:r>
    </w:p>
    <w:p w14:paraId="5A36C952"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lastRenderedPageBreak/>
        <w:t>High leverage is important as it increases the largeness of returns during successful times while creating significant risk in downtimes. The sharp growth in this ratio also implies that the hotel can be on the edge of a dangerous financial position when revenue continues to fall. An over-leveraged position can present problems in servicing debt obligations particularly if cash flows remain lumpy or not sufficient.</w:t>
      </w:r>
    </w:p>
    <w:p w14:paraId="02D62915" w14:textId="77777777" w:rsidR="004361D3" w:rsidRPr="00D8045B" w:rsidRDefault="00290B46" w:rsidP="004361D3">
      <w:pPr>
        <w:rPr>
          <w:rFonts w:ascii="Arial" w:hAnsi="Arial" w:cs="Arial"/>
          <w:b/>
          <w:bCs/>
          <w:color w:val="auto"/>
          <w:szCs w:val="24"/>
          <w:u w:val="single"/>
          <w:lang w:val="en-GB" w:eastAsia="en-IN"/>
        </w:rPr>
      </w:pPr>
      <w:r w:rsidRPr="00D8045B">
        <w:rPr>
          <w:rFonts w:ascii="Arial" w:hAnsi="Arial" w:cs="Arial"/>
          <w:b/>
          <w:bCs/>
          <w:szCs w:val="24"/>
          <w:u w:val="single"/>
          <w:lang w:val="en-GB" w:eastAsia="en-IN"/>
        </w:rPr>
        <w:t>Summary and Implications</w:t>
      </w:r>
    </w:p>
    <w:p w14:paraId="6CF2B962" w14:textId="77777777" w:rsidR="004361D3" w:rsidRPr="00D8045B" w:rsidRDefault="00290B46" w:rsidP="004361D3">
      <w:pPr>
        <w:rPr>
          <w:rFonts w:ascii="Arial" w:hAnsi="Arial" w:cs="Arial"/>
          <w:color w:val="auto"/>
          <w:szCs w:val="24"/>
          <w:lang w:val="en-GB" w:eastAsia="en-IN"/>
        </w:rPr>
      </w:pPr>
      <w:r w:rsidRPr="00D8045B">
        <w:rPr>
          <w:rFonts w:ascii="Arial" w:hAnsi="Arial" w:cs="Arial"/>
          <w:szCs w:val="24"/>
          <w:lang w:val="en-GB" w:eastAsia="en-IN"/>
        </w:rPr>
        <w:t>The liquidity, profitability and leverage ratios of The City Hotel do reflect serious challenges. There is a decline in all the liquidity ratios and the hotel is failing to meet short-term obligations with possible operational disarray. The profitability ratios are depreciating, which indicates a failure to generate adequate returns on shareholders' investments and poor efficiency in operations. It represents a dependence on debt capital, which is increasingly raised and can not be viable in the long run.The trends are concerning. The management must take this as an opportunity and offer an effective turnaround strategy to develop liquidity, efficiency levels in operations and capital structure reconfiguration to obtain financial sustainability for the company in the long term. The hotel needs to cut costs, optimise pricing strategy and seek alternative revenue streams to revitalise financials and regain investor confidence. Without such foundational action, The City Hotel can reduce and usually run insolvent. Therefore, it is necessary to address these initiatives immediately.</w:t>
      </w:r>
    </w:p>
    <w:p w14:paraId="36BECBA2" w14:textId="77777777" w:rsidR="00DB06B8" w:rsidRPr="00D8045B" w:rsidRDefault="00290B46">
      <w:pPr>
        <w:spacing w:line="259" w:lineRule="auto"/>
        <w:jc w:val="left"/>
        <w:rPr>
          <w:rFonts w:ascii="Arial" w:eastAsia="Times New Roman" w:hAnsi="Arial" w:cs="Arial"/>
          <w:b/>
          <w:szCs w:val="24"/>
          <w:lang w:val="en-GB" w:eastAsia="en-IN"/>
        </w:rPr>
      </w:pPr>
      <w:r w:rsidRPr="00D8045B">
        <w:rPr>
          <w:rFonts w:ascii="Arial" w:eastAsia="Times New Roman" w:hAnsi="Arial" w:cs="Arial"/>
          <w:szCs w:val="24"/>
          <w:lang w:val="en-GB" w:eastAsia="en-IN"/>
        </w:rPr>
        <w:br w:type="page"/>
      </w:r>
    </w:p>
    <w:p w14:paraId="5096C6F7" w14:textId="77777777" w:rsidR="004361D3" w:rsidRPr="00D8045B" w:rsidRDefault="00290B46" w:rsidP="00DB06B8">
      <w:pPr>
        <w:pStyle w:val="Heading1"/>
        <w:rPr>
          <w:rFonts w:ascii="Arial" w:eastAsia="Times New Roman" w:hAnsi="Arial" w:cs="Arial"/>
          <w:color w:val="auto"/>
          <w:sz w:val="24"/>
          <w:szCs w:val="24"/>
          <w:lang w:val="en-GB" w:eastAsia="en-IN"/>
        </w:rPr>
      </w:pPr>
      <w:bookmarkStart w:id="5" w:name="_Toc181631239"/>
      <w:r w:rsidRPr="00D8045B">
        <w:rPr>
          <w:rFonts w:ascii="Arial" w:eastAsia="Times New Roman" w:hAnsi="Arial" w:cs="Arial"/>
          <w:sz w:val="24"/>
          <w:szCs w:val="24"/>
          <w:lang w:val="en-GB" w:eastAsia="en-IN"/>
        </w:rPr>
        <w:lastRenderedPageBreak/>
        <w:t>Conclusion</w:t>
      </w:r>
      <w:bookmarkEnd w:id="5"/>
      <w:r w:rsidRPr="00D8045B">
        <w:rPr>
          <w:rFonts w:ascii="Arial" w:eastAsia="Times New Roman" w:hAnsi="Arial" w:cs="Arial"/>
          <w:sz w:val="24"/>
          <w:szCs w:val="24"/>
          <w:lang w:val="en-GB" w:eastAsia="en-IN"/>
        </w:rPr>
        <w:t> </w:t>
      </w:r>
    </w:p>
    <w:p w14:paraId="435BC5A6" w14:textId="4252D14E" w:rsidR="004361D3" w:rsidRPr="00D8045B" w:rsidRDefault="00AB6A90" w:rsidP="004361D3">
      <w:pPr>
        <w:rPr>
          <w:rFonts w:ascii="Arial" w:hAnsi="Arial" w:cs="Arial"/>
          <w:color w:val="auto"/>
          <w:szCs w:val="24"/>
          <w:lang w:val="en-GB" w:eastAsia="en-IN"/>
        </w:rPr>
      </w:pPr>
      <w:r w:rsidRPr="00D8045B">
        <w:rPr>
          <w:rFonts w:ascii="Arial" w:hAnsi="Arial" w:cs="Arial"/>
          <w:szCs w:val="24"/>
          <w:lang w:val="en-GB" w:eastAsia="en-IN"/>
        </w:rPr>
        <w:t>It</w:t>
      </w:r>
      <w:r w:rsidR="00290B46" w:rsidRPr="00D8045B">
        <w:rPr>
          <w:rFonts w:ascii="Arial" w:hAnsi="Arial" w:cs="Arial"/>
          <w:szCs w:val="24"/>
          <w:lang w:val="en-GB" w:eastAsia="en-IN"/>
        </w:rPr>
        <w:t xml:space="preserve"> can be concluded that throughout the report the explanation has been made on The City Hotel. This company has encountered a reduction in profitability, revenue and liquidity ratios. This has demonstrated possible insolvency challenges. This report has elaborated the requirement for revenue </w:t>
      </w:r>
      <w:r w:rsidR="00DB06B8" w:rsidRPr="00D8045B">
        <w:rPr>
          <w:rFonts w:ascii="Arial" w:hAnsi="Arial" w:cs="Arial"/>
          <w:szCs w:val="24"/>
          <w:lang w:val="en-GB" w:eastAsia="en-IN"/>
        </w:rPr>
        <w:t>enhancement, cost</w:t>
      </w:r>
      <w:r w:rsidR="00290B46" w:rsidRPr="00D8045B">
        <w:rPr>
          <w:rFonts w:ascii="Arial" w:hAnsi="Arial" w:cs="Arial"/>
          <w:szCs w:val="24"/>
          <w:lang w:val="en-GB" w:eastAsia="en-IN"/>
        </w:rPr>
        <w:t xml:space="preserve"> optimisation and operational efficiency. These approaches can be possible with the help of renegotiated contracts, digital solutions and target marketing. The recommended turnover strategy is feasible but requires immediate implementation to stabilise customer trust and cash flow. This report has also demonstrated that if the company can maintain its </w:t>
      </w:r>
      <w:r w:rsidR="00DB06B8" w:rsidRPr="00D8045B">
        <w:rPr>
          <w:rFonts w:ascii="Arial" w:hAnsi="Arial" w:cs="Arial"/>
          <w:szCs w:val="24"/>
          <w:lang w:val="en-GB" w:eastAsia="en-IN"/>
        </w:rPr>
        <w:t>recovery,</w:t>
      </w:r>
      <w:r w:rsidR="00290B46" w:rsidRPr="00D8045B">
        <w:rPr>
          <w:rFonts w:ascii="Arial" w:hAnsi="Arial" w:cs="Arial"/>
          <w:szCs w:val="24"/>
          <w:lang w:val="en-GB" w:eastAsia="en-IN"/>
        </w:rPr>
        <w:t xml:space="preserve"> it can explore partnerships and sales to ensure long-term visibility. </w:t>
      </w:r>
    </w:p>
    <w:p w14:paraId="32BA5BEE" w14:textId="77777777" w:rsidR="004361D3" w:rsidRPr="00D8045B" w:rsidRDefault="004361D3" w:rsidP="004361D3">
      <w:pPr>
        <w:rPr>
          <w:rFonts w:ascii="Arial" w:hAnsi="Arial" w:cs="Arial"/>
          <w:color w:val="auto"/>
          <w:szCs w:val="24"/>
          <w:lang w:val="en-GB" w:eastAsia="en-IN"/>
        </w:rPr>
      </w:pPr>
    </w:p>
    <w:p w14:paraId="32657F25" w14:textId="77777777" w:rsidR="004361D3" w:rsidRPr="00D8045B" w:rsidRDefault="004361D3" w:rsidP="004361D3">
      <w:pPr>
        <w:rPr>
          <w:rFonts w:ascii="Arial" w:hAnsi="Arial" w:cs="Arial"/>
          <w:color w:val="auto"/>
          <w:szCs w:val="24"/>
          <w:lang w:val="en-GB" w:eastAsia="en-IN"/>
        </w:rPr>
      </w:pPr>
    </w:p>
    <w:p w14:paraId="7ACB856E" w14:textId="77777777" w:rsidR="004361D3" w:rsidRPr="00D8045B" w:rsidRDefault="004361D3" w:rsidP="004361D3">
      <w:pPr>
        <w:rPr>
          <w:rFonts w:ascii="Arial" w:hAnsi="Arial" w:cs="Arial"/>
          <w:color w:val="auto"/>
          <w:szCs w:val="24"/>
          <w:lang w:val="en-GB" w:eastAsia="en-IN"/>
        </w:rPr>
      </w:pPr>
    </w:p>
    <w:p w14:paraId="6CCAC8BD" w14:textId="77777777" w:rsidR="00DB06B8" w:rsidRPr="00D8045B" w:rsidRDefault="00290B46">
      <w:pPr>
        <w:spacing w:line="259" w:lineRule="auto"/>
        <w:jc w:val="left"/>
        <w:rPr>
          <w:rFonts w:ascii="Arial" w:hAnsi="Arial" w:cs="Arial"/>
          <w:b/>
          <w:bCs/>
          <w:szCs w:val="24"/>
          <w:lang w:val="en-GB" w:eastAsia="en-IN"/>
        </w:rPr>
      </w:pPr>
      <w:r w:rsidRPr="00D8045B">
        <w:rPr>
          <w:rFonts w:ascii="Arial" w:hAnsi="Arial" w:cs="Arial"/>
          <w:b/>
          <w:bCs/>
          <w:szCs w:val="24"/>
          <w:lang w:val="en-GB" w:eastAsia="en-IN"/>
        </w:rPr>
        <w:br w:type="page"/>
      </w:r>
    </w:p>
    <w:p w14:paraId="3A83FD8F" w14:textId="77777777" w:rsidR="004361D3" w:rsidRPr="00D8045B" w:rsidRDefault="00290B46" w:rsidP="006B1F45">
      <w:pPr>
        <w:pStyle w:val="Heading1"/>
        <w:rPr>
          <w:rFonts w:ascii="Arial" w:hAnsi="Arial" w:cs="Arial"/>
          <w:sz w:val="24"/>
          <w:szCs w:val="24"/>
          <w:lang w:val="en-GB" w:eastAsia="en-IN"/>
        </w:rPr>
      </w:pPr>
      <w:r w:rsidRPr="00D8045B">
        <w:rPr>
          <w:rFonts w:ascii="Arial" w:hAnsi="Arial" w:cs="Arial"/>
          <w:sz w:val="24"/>
          <w:szCs w:val="24"/>
          <w:lang w:val="en-GB" w:eastAsia="en-IN"/>
        </w:rPr>
        <w:lastRenderedPageBreak/>
        <w:t>References </w:t>
      </w:r>
    </w:p>
    <w:p w14:paraId="33060A1F"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Charles, M. and Ochieng, S.B., (2023). Strategic outsourcing and firm performance: a review of literature. </w:t>
      </w:r>
      <w:r w:rsidRPr="00D8045B">
        <w:rPr>
          <w:rFonts w:ascii="Arial" w:hAnsi="Arial" w:cs="Arial"/>
          <w:i/>
          <w:iCs/>
          <w:szCs w:val="24"/>
          <w:shd w:val="clear" w:color="auto" w:fill="FFFFFF"/>
          <w:lang w:val="en-GB"/>
        </w:rPr>
        <w:t>International Journal of Social Science and Humanities Research (IJSSHR) ISSN</w:t>
      </w:r>
      <w:r w:rsidRPr="00D8045B">
        <w:rPr>
          <w:rFonts w:ascii="Arial" w:hAnsi="Arial" w:cs="Arial"/>
          <w:szCs w:val="24"/>
          <w:shd w:val="clear" w:color="auto" w:fill="FFFFFF"/>
          <w:lang w:val="en-GB"/>
        </w:rPr>
        <w:t>, pp.2959-7056.</w:t>
      </w:r>
    </w:p>
    <w:p w14:paraId="09BF1F3B"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Chatzoudes, D., Chatzoglou, P. and Diamantidis, A., (2022). Examining the impact of firm-specific and environmental-specific factors on short and long-term firm survival during an economic crisis. </w:t>
      </w:r>
      <w:r w:rsidRPr="00D8045B">
        <w:rPr>
          <w:rFonts w:ascii="Arial" w:hAnsi="Arial" w:cs="Arial"/>
          <w:i/>
          <w:iCs/>
          <w:szCs w:val="24"/>
          <w:shd w:val="clear" w:color="auto" w:fill="FFFFFF"/>
          <w:lang w:val="en-GB"/>
        </w:rPr>
        <w:t>EuroMed Journal of Business</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17</w:t>
      </w:r>
      <w:r w:rsidRPr="00D8045B">
        <w:rPr>
          <w:rFonts w:ascii="Arial" w:hAnsi="Arial" w:cs="Arial"/>
          <w:szCs w:val="24"/>
          <w:shd w:val="clear" w:color="auto" w:fill="FFFFFF"/>
          <w:lang w:val="en-GB"/>
        </w:rPr>
        <w:t>(4), pp.698-730.</w:t>
      </w:r>
    </w:p>
    <w:p w14:paraId="041DD75B"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Della Seta, M., Morellec, E. and Zucchi, F., (2020). Short-term debt and incentives for risk-taking. </w:t>
      </w:r>
      <w:r w:rsidRPr="00D8045B">
        <w:rPr>
          <w:rFonts w:ascii="Arial" w:hAnsi="Arial" w:cs="Arial"/>
          <w:i/>
          <w:iCs/>
          <w:szCs w:val="24"/>
          <w:shd w:val="clear" w:color="auto" w:fill="FFFFFF"/>
          <w:lang w:val="en-GB"/>
        </w:rPr>
        <w:t>Journal of financial economics</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137</w:t>
      </w:r>
      <w:r w:rsidRPr="00D8045B">
        <w:rPr>
          <w:rFonts w:ascii="Arial" w:hAnsi="Arial" w:cs="Arial"/>
          <w:szCs w:val="24"/>
          <w:shd w:val="clear" w:color="auto" w:fill="FFFFFF"/>
          <w:lang w:val="en-GB"/>
        </w:rPr>
        <w:t>(1), pp.179-203.</w:t>
      </w:r>
    </w:p>
    <w:p w14:paraId="07DB6506"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Dirman, A., (2020). Financial distress: the impacts of profitability, liquidity, leverage, firm size, and free cash flow. </w:t>
      </w:r>
      <w:r w:rsidRPr="00D8045B">
        <w:rPr>
          <w:rFonts w:ascii="Arial" w:hAnsi="Arial" w:cs="Arial"/>
          <w:i/>
          <w:iCs/>
          <w:szCs w:val="24"/>
          <w:shd w:val="clear" w:color="auto" w:fill="FFFFFF"/>
          <w:lang w:val="en-GB"/>
        </w:rPr>
        <w:t>International Journal of Business, Economics and Law</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22</w:t>
      </w:r>
      <w:r w:rsidRPr="00D8045B">
        <w:rPr>
          <w:rFonts w:ascii="Arial" w:hAnsi="Arial" w:cs="Arial"/>
          <w:szCs w:val="24"/>
          <w:shd w:val="clear" w:color="auto" w:fill="FFFFFF"/>
          <w:lang w:val="en-GB"/>
        </w:rPr>
        <w:t>(1), pp.17-25.: A systematic review of empirical evidence. </w:t>
      </w:r>
      <w:r w:rsidRPr="00D8045B">
        <w:rPr>
          <w:rFonts w:ascii="Arial" w:hAnsi="Arial" w:cs="Arial"/>
          <w:i/>
          <w:iCs/>
          <w:szCs w:val="24"/>
          <w:shd w:val="clear" w:color="auto" w:fill="FFFFFF"/>
          <w:lang w:val="en-GB"/>
        </w:rPr>
        <w:t>Small Business Economics</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57</w:t>
      </w:r>
      <w:r w:rsidRPr="00D8045B">
        <w:rPr>
          <w:rFonts w:ascii="Arial" w:hAnsi="Arial" w:cs="Arial"/>
          <w:szCs w:val="24"/>
          <w:shd w:val="clear" w:color="auto" w:fill="FFFFFF"/>
          <w:lang w:val="en-GB"/>
        </w:rPr>
        <w:t>(1), pp.243-263.</w:t>
      </w:r>
    </w:p>
    <w:p w14:paraId="06BF5C0B"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Dvouletý, O., Srhoj, S. and Pantea, S., (2021). Public SME grants and firm performance in European Union</w:t>
      </w:r>
    </w:p>
    <w:p w14:paraId="763AC2B2"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Franco, S., Caroli, M.G., Cappa, F. and Del Chiappa, G., (2020). Are you good enough? CSR, quality management and corporate financial performance in the hospitality industry. </w:t>
      </w:r>
      <w:r w:rsidRPr="00D8045B">
        <w:rPr>
          <w:rFonts w:ascii="Arial" w:hAnsi="Arial" w:cs="Arial"/>
          <w:i/>
          <w:iCs/>
          <w:szCs w:val="24"/>
          <w:shd w:val="clear" w:color="auto" w:fill="FFFFFF"/>
          <w:lang w:val="en-GB"/>
        </w:rPr>
        <w:t>International Journal of Hospitality Management</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88</w:t>
      </w:r>
      <w:r w:rsidRPr="00D8045B">
        <w:rPr>
          <w:rFonts w:ascii="Arial" w:hAnsi="Arial" w:cs="Arial"/>
          <w:szCs w:val="24"/>
          <w:shd w:val="clear" w:color="auto" w:fill="FFFFFF"/>
          <w:lang w:val="en-GB"/>
        </w:rPr>
        <w:t>, p.102395.</w:t>
      </w:r>
    </w:p>
    <w:p w14:paraId="474C296A"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Lubowiecki-Vikuk, A., Đerčan, B.M. and de Sousa, B.M.B., (2021). Sustainable development and leisure services: Changes and trends. </w:t>
      </w:r>
      <w:r w:rsidRPr="00D8045B">
        <w:rPr>
          <w:rFonts w:ascii="Arial" w:hAnsi="Arial" w:cs="Arial"/>
          <w:i/>
          <w:iCs/>
          <w:szCs w:val="24"/>
          <w:shd w:val="clear" w:color="auto" w:fill="FFFFFF"/>
          <w:lang w:val="en-GB"/>
        </w:rPr>
        <w:t>Handbook of sustainable development and leisure services</w:t>
      </w:r>
      <w:r w:rsidRPr="00D8045B">
        <w:rPr>
          <w:rFonts w:ascii="Arial" w:hAnsi="Arial" w:cs="Arial"/>
          <w:szCs w:val="24"/>
          <w:shd w:val="clear" w:color="auto" w:fill="FFFFFF"/>
          <w:lang w:val="en-GB"/>
        </w:rPr>
        <w:t>, pp.1-20.</w:t>
      </w:r>
    </w:p>
    <w:p w14:paraId="4FDD9FFF"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lastRenderedPageBreak/>
        <w:t>Masrivah, R.F.S. and Rijanto, R., (2024). Return on assets: the effect of corporate social responsibility and return on equity. </w:t>
      </w:r>
      <w:r w:rsidRPr="00D8045B">
        <w:rPr>
          <w:rFonts w:ascii="Arial" w:hAnsi="Arial" w:cs="Arial"/>
          <w:i/>
          <w:iCs/>
          <w:szCs w:val="24"/>
          <w:shd w:val="clear" w:color="auto" w:fill="FFFFFF"/>
          <w:lang w:val="en-GB"/>
        </w:rPr>
        <w:t>Jurnal Ekonomi, Manajemen Dan Akuntansi</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2</w:t>
      </w:r>
      <w:r w:rsidRPr="00D8045B">
        <w:rPr>
          <w:rFonts w:ascii="Arial" w:hAnsi="Arial" w:cs="Arial"/>
          <w:szCs w:val="24"/>
          <w:shd w:val="clear" w:color="auto" w:fill="FFFFFF"/>
          <w:lang w:val="en-GB"/>
        </w:rPr>
        <w:t>(04), pp.645-656.</w:t>
      </w:r>
    </w:p>
    <w:p w14:paraId="044FE756"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Matunni’Mah, K., Krisnandi, H. and Digdowiseiso, K., (2023). Return on Assets, Current Ratio, Debt to Equity Ratio, and Investment Decisions Affect the Value of Tourism, Hotel, and Restaurant Companies. </w:t>
      </w:r>
      <w:r w:rsidRPr="00D8045B">
        <w:rPr>
          <w:rFonts w:ascii="Arial" w:hAnsi="Arial" w:cs="Arial"/>
          <w:i/>
          <w:iCs/>
          <w:szCs w:val="24"/>
          <w:shd w:val="clear" w:color="auto" w:fill="FFFFFF"/>
          <w:lang w:val="en-GB"/>
        </w:rPr>
        <w:t>Jurnal Syntax Admiration</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4</w:t>
      </w:r>
      <w:r w:rsidRPr="00D8045B">
        <w:rPr>
          <w:rFonts w:ascii="Arial" w:hAnsi="Arial" w:cs="Arial"/>
          <w:szCs w:val="24"/>
          <w:shd w:val="clear" w:color="auto" w:fill="FFFFFF"/>
          <w:lang w:val="en-GB"/>
        </w:rPr>
        <w:t>(12), pp.2568-2578.</w:t>
      </w:r>
    </w:p>
    <w:p w14:paraId="086A7EB9"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Nurkamila, M. and Firmansyah, D., (2024). The effect of total asset turn over and debt to equity ratio on return on asset. </w:t>
      </w:r>
      <w:r w:rsidRPr="00D8045B">
        <w:rPr>
          <w:rFonts w:ascii="Arial" w:hAnsi="Arial" w:cs="Arial"/>
          <w:i/>
          <w:iCs/>
          <w:szCs w:val="24"/>
          <w:shd w:val="clear" w:color="auto" w:fill="FFFFFF"/>
          <w:lang w:val="en-GB"/>
        </w:rPr>
        <w:t>Jurnal Ekonomi, Manajemen Dan Akuntansi</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2</w:t>
      </w:r>
      <w:r w:rsidRPr="00D8045B">
        <w:rPr>
          <w:rFonts w:ascii="Arial" w:hAnsi="Arial" w:cs="Arial"/>
          <w:szCs w:val="24"/>
          <w:shd w:val="clear" w:color="auto" w:fill="FFFFFF"/>
          <w:lang w:val="en-GB"/>
        </w:rPr>
        <w:t>(03), pp.415-426.</w:t>
      </w:r>
    </w:p>
    <w:p w14:paraId="788C46AF"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Oliveira, M., Silva, S. and Silva, C., (2024). Improving environmental sustainability in Hospitality and Tourism: the key strategies. In </w:t>
      </w:r>
      <w:r w:rsidRPr="00D8045B">
        <w:rPr>
          <w:rFonts w:ascii="Arial" w:hAnsi="Arial" w:cs="Arial"/>
          <w:i/>
          <w:iCs/>
          <w:szCs w:val="24"/>
          <w:shd w:val="clear" w:color="auto" w:fill="FFFFFF"/>
          <w:lang w:val="en-GB"/>
        </w:rPr>
        <w:t>Proceedings of the 7th International Conference on Tourism Research</w:t>
      </w:r>
      <w:r w:rsidRPr="00D8045B">
        <w:rPr>
          <w:rFonts w:ascii="Arial" w:hAnsi="Arial" w:cs="Arial"/>
          <w:szCs w:val="24"/>
          <w:shd w:val="clear" w:color="auto" w:fill="FFFFFF"/>
          <w:lang w:val="en-GB"/>
        </w:rPr>
        <w:t> (Vol. 7, No. 1, pp. 306-313). Academic Conferences International Limited.</w:t>
      </w:r>
    </w:p>
    <w:p w14:paraId="3880B2B8" w14:textId="77777777" w:rsidR="00AB6A90" w:rsidRPr="00D8045B" w:rsidRDefault="00AB6A90" w:rsidP="00C50C95">
      <w:pPr>
        <w:rPr>
          <w:rFonts w:ascii="Arial" w:hAnsi="Arial" w:cs="Arial"/>
          <w:szCs w:val="24"/>
          <w:shd w:val="clear" w:color="auto" w:fill="FFFFFF"/>
          <w:lang w:val="en-GB"/>
        </w:rPr>
      </w:pPr>
      <w:r w:rsidRPr="00D8045B">
        <w:rPr>
          <w:rFonts w:ascii="Arial" w:hAnsi="Arial" w:cs="Arial"/>
          <w:szCs w:val="24"/>
          <w:shd w:val="clear" w:color="auto" w:fill="FFFFFF"/>
          <w:lang w:val="en-GB"/>
        </w:rPr>
        <w:t>Pavone, P., Migliaccio, G. and Simonetti, B., (2023). Investigating financial statements in hospitality: a quantitative approach. </w:t>
      </w:r>
      <w:r w:rsidRPr="00D8045B">
        <w:rPr>
          <w:rFonts w:ascii="Arial" w:hAnsi="Arial" w:cs="Arial"/>
          <w:i/>
          <w:iCs/>
          <w:szCs w:val="24"/>
          <w:shd w:val="clear" w:color="auto" w:fill="FFFFFF"/>
          <w:lang w:val="en-GB"/>
        </w:rPr>
        <w:t>Quality &amp; Quantity</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57</w:t>
      </w:r>
      <w:r w:rsidRPr="00D8045B">
        <w:rPr>
          <w:rFonts w:ascii="Arial" w:hAnsi="Arial" w:cs="Arial"/>
          <w:szCs w:val="24"/>
          <w:shd w:val="clear" w:color="auto" w:fill="FFFFFF"/>
          <w:lang w:val="en-GB"/>
        </w:rPr>
        <w:t>(Suppl 3), pp.383-407.</w:t>
      </w:r>
    </w:p>
    <w:p w14:paraId="3C54FC29" w14:textId="77777777" w:rsidR="00AB6A90" w:rsidRPr="00D8045B" w:rsidRDefault="00AB6A90" w:rsidP="00C50C95">
      <w:pPr>
        <w:rPr>
          <w:rFonts w:ascii="Arial" w:hAnsi="Arial" w:cs="Arial"/>
          <w:szCs w:val="24"/>
          <w:lang w:val="en-GB" w:eastAsia="en-IN"/>
        </w:rPr>
      </w:pPr>
      <w:r w:rsidRPr="00D8045B">
        <w:rPr>
          <w:rFonts w:ascii="Arial" w:hAnsi="Arial" w:cs="Arial"/>
          <w:szCs w:val="24"/>
          <w:shd w:val="clear" w:color="auto" w:fill="FFFFFF"/>
          <w:lang w:val="en-GB"/>
        </w:rPr>
        <w:t>Turco, E., Bazzana, D., Rizzati, M., Ciola, E. and Vergalli, S., (2023). Energy price shocks and stabilization policies in the MATRIX model. </w:t>
      </w:r>
      <w:r w:rsidRPr="00D8045B">
        <w:rPr>
          <w:rFonts w:ascii="Arial" w:hAnsi="Arial" w:cs="Arial"/>
          <w:i/>
          <w:iCs/>
          <w:szCs w:val="24"/>
          <w:shd w:val="clear" w:color="auto" w:fill="FFFFFF"/>
          <w:lang w:val="en-GB"/>
        </w:rPr>
        <w:t>Energy Policy</w:t>
      </w:r>
      <w:r w:rsidRPr="00D8045B">
        <w:rPr>
          <w:rFonts w:ascii="Arial" w:hAnsi="Arial" w:cs="Arial"/>
          <w:szCs w:val="24"/>
          <w:shd w:val="clear" w:color="auto" w:fill="FFFFFF"/>
          <w:lang w:val="en-GB"/>
        </w:rPr>
        <w:t>, </w:t>
      </w:r>
      <w:r w:rsidRPr="00D8045B">
        <w:rPr>
          <w:rFonts w:ascii="Arial" w:hAnsi="Arial" w:cs="Arial"/>
          <w:i/>
          <w:iCs/>
          <w:szCs w:val="24"/>
          <w:shd w:val="clear" w:color="auto" w:fill="FFFFFF"/>
          <w:lang w:val="en-GB"/>
        </w:rPr>
        <w:t>177</w:t>
      </w:r>
      <w:r w:rsidRPr="00D8045B">
        <w:rPr>
          <w:rFonts w:ascii="Arial" w:hAnsi="Arial" w:cs="Arial"/>
          <w:szCs w:val="24"/>
          <w:shd w:val="clear" w:color="auto" w:fill="FFFFFF"/>
          <w:lang w:val="en-GB"/>
        </w:rPr>
        <w:t>, p.113567.</w:t>
      </w:r>
    </w:p>
    <w:p w14:paraId="16AA036C" w14:textId="77777777" w:rsidR="00663CA0" w:rsidRPr="00D8045B" w:rsidRDefault="00663CA0" w:rsidP="004361D3">
      <w:pPr>
        <w:rPr>
          <w:rFonts w:ascii="Arial" w:hAnsi="Arial" w:cs="Arial"/>
          <w:szCs w:val="24"/>
          <w:lang w:val="en-GB"/>
        </w:rPr>
      </w:pPr>
    </w:p>
    <w:p w14:paraId="1351F37E" w14:textId="77777777" w:rsidR="0041766D" w:rsidRPr="00D8045B" w:rsidRDefault="0041766D" w:rsidP="004361D3">
      <w:pPr>
        <w:rPr>
          <w:rFonts w:ascii="Arial" w:hAnsi="Arial" w:cs="Arial"/>
          <w:szCs w:val="24"/>
          <w:lang w:val="en-GB"/>
        </w:rPr>
      </w:pPr>
    </w:p>
    <w:sectPr w:rsidR="0041766D" w:rsidRPr="00D8045B" w:rsidSect="004F3692">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1C65EF" w14:textId="77777777" w:rsidR="006E0F48" w:rsidRDefault="006E0F48" w:rsidP="004F3692">
      <w:pPr>
        <w:spacing w:after="0" w:line="240" w:lineRule="auto"/>
      </w:pPr>
      <w:r>
        <w:separator/>
      </w:r>
    </w:p>
  </w:endnote>
  <w:endnote w:type="continuationSeparator" w:id="0">
    <w:p w14:paraId="7C002280" w14:textId="77777777" w:rsidR="006E0F48" w:rsidRDefault="006E0F48" w:rsidP="004F3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3171129"/>
      <w:docPartObj>
        <w:docPartGallery w:val="Page Numbers (Bottom of Page)"/>
        <w:docPartUnique/>
      </w:docPartObj>
    </w:sdtPr>
    <w:sdtContent>
      <w:sdt>
        <w:sdtPr>
          <w:id w:val="-1769616900"/>
          <w:docPartObj>
            <w:docPartGallery w:val="Page Numbers (Top of Page)"/>
            <w:docPartUnique/>
          </w:docPartObj>
        </w:sdtPr>
        <w:sdtContent>
          <w:p w14:paraId="44480816" w14:textId="77777777" w:rsidR="004F3692" w:rsidRDefault="004F3692">
            <w:pPr>
              <w:pStyle w:val="Footer"/>
              <w:jc w:val="right"/>
            </w:pPr>
            <w:r>
              <w:t xml:space="preserve">Page </w:t>
            </w:r>
            <w:r w:rsidR="00BE4855">
              <w:rPr>
                <w:b/>
                <w:bCs/>
                <w:szCs w:val="24"/>
              </w:rPr>
              <w:fldChar w:fldCharType="begin"/>
            </w:r>
            <w:r>
              <w:rPr>
                <w:b/>
                <w:bCs/>
              </w:rPr>
              <w:instrText xml:space="preserve"> PAGE </w:instrText>
            </w:r>
            <w:r w:rsidR="00BE4855">
              <w:rPr>
                <w:b/>
                <w:bCs/>
                <w:szCs w:val="24"/>
              </w:rPr>
              <w:fldChar w:fldCharType="separate"/>
            </w:r>
            <w:r w:rsidR="00C50C95">
              <w:rPr>
                <w:b/>
                <w:bCs/>
                <w:noProof/>
              </w:rPr>
              <w:t>12</w:t>
            </w:r>
            <w:r w:rsidR="00BE4855">
              <w:rPr>
                <w:b/>
                <w:bCs/>
                <w:szCs w:val="24"/>
              </w:rPr>
              <w:fldChar w:fldCharType="end"/>
            </w:r>
            <w:r>
              <w:t xml:space="preserve"> of </w:t>
            </w:r>
            <w:r w:rsidR="00BE4855">
              <w:rPr>
                <w:b/>
                <w:bCs/>
                <w:szCs w:val="24"/>
              </w:rPr>
              <w:fldChar w:fldCharType="begin"/>
            </w:r>
            <w:r>
              <w:rPr>
                <w:b/>
                <w:bCs/>
              </w:rPr>
              <w:instrText xml:space="preserve"> NUMPAGES  </w:instrText>
            </w:r>
            <w:r w:rsidR="00BE4855">
              <w:rPr>
                <w:b/>
                <w:bCs/>
                <w:szCs w:val="24"/>
              </w:rPr>
              <w:fldChar w:fldCharType="separate"/>
            </w:r>
            <w:r w:rsidR="00C50C95">
              <w:rPr>
                <w:b/>
                <w:bCs/>
                <w:noProof/>
              </w:rPr>
              <w:t>14</w:t>
            </w:r>
            <w:r w:rsidR="00BE4855">
              <w:rPr>
                <w:b/>
                <w:bCs/>
                <w:szCs w:val="24"/>
              </w:rPr>
              <w:fldChar w:fldCharType="end"/>
            </w:r>
          </w:p>
        </w:sdtContent>
      </w:sdt>
    </w:sdtContent>
  </w:sdt>
  <w:p w14:paraId="1A6B1208" w14:textId="77777777" w:rsidR="004F3692" w:rsidRDefault="004F3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5D428" w14:textId="77777777" w:rsidR="006E0F48" w:rsidRDefault="006E0F48" w:rsidP="004F3692">
      <w:pPr>
        <w:spacing w:after="0" w:line="240" w:lineRule="auto"/>
      </w:pPr>
      <w:r>
        <w:separator/>
      </w:r>
    </w:p>
  </w:footnote>
  <w:footnote w:type="continuationSeparator" w:id="0">
    <w:p w14:paraId="1DCD4D20" w14:textId="77777777" w:rsidR="006E0F48" w:rsidRDefault="006E0F48" w:rsidP="004F36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49CFA" w14:textId="77777777" w:rsidR="004F3692" w:rsidRPr="004F3692" w:rsidRDefault="004F3692" w:rsidP="004F3692">
    <w:pPr>
      <w:jc w:val="right"/>
      <w:rPr>
        <w:b/>
        <w:bCs/>
        <w:color w:val="auto"/>
        <w:lang w:eastAsia="en-IN"/>
      </w:rPr>
    </w:pPr>
    <w:r w:rsidRPr="004F3692">
      <w:rPr>
        <w:b/>
        <w:bCs/>
        <w:lang w:eastAsia="en-IN"/>
      </w:rP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4170C"/>
    <w:multiLevelType w:val="hybridMultilevel"/>
    <w:tmpl w:val="A4EED8C2"/>
    <w:lvl w:ilvl="0" w:tplc="77FA0C7C">
      <w:start w:val="1"/>
      <w:numFmt w:val="bullet"/>
      <w:lvlText w:val=""/>
      <w:lvlJc w:val="left"/>
      <w:pPr>
        <w:ind w:left="720" w:hanging="360"/>
      </w:pPr>
      <w:rPr>
        <w:rFonts w:ascii="Symbol" w:hAnsi="Symbol" w:hint="default"/>
      </w:rPr>
    </w:lvl>
    <w:lvl w:ilvl="1" w:tplc="3A5E96CE" w:tentative="1">
      <w:start w:val="1"/>
      <w:numFmt w:val="bullet"/>
      <w:lvlText w:val="o"/>
      <w:lvlJc w:val="left"/>
      <w:pPr>
        <w:ind w:left="1440" w:hanging="360"/>
      </w:pPr>
      <w:rPr>
        <w:rFonts w:ascii="Courier New" w:hAnsi="Courier New" w:cs="Courier New" w:hint="default"/>
      </w:rPr>
    </w:lvl>
    <w:lvl w:ilvl="2" w:tplc="F42287C2" w:tentative="1">
      <w:start w:val="1"/>
      <w:numFmt w:val="bullet"/>
      <w:lvlText w:val=""/>
      <w:lvlJc w:val="left"/>
      <w:pPr>
        <w:ind w:left="2160" w:hanging="360"/>
      </w:pPr>
      <w:rPr>
        <w:rFonts w:ascii="Wingdings" w:hAnsi="Wingdings" w:hint="default"/>
      </w:rPr>
    </w:lvl>
    <w:lvl w:ilvl="3" w:tplc="8EC007A6" w:tentative="1">
      <w:start w:val="1"/>
      <w:numFmt w:val="bullet"/>
      <w:lvlText w:val=""/>
      <w:lvlJc w:val="left"/>
      <w:pPr>
        <w:ind w:left="2880" w:hanging="360"/>
      </w:pPr>
      <w:rPr>
        <w:rFonts w:ascii="Symbol" w:hAnsi="Symbol" w:hint="default"/>
      </w:rPr>
    </w:lvl>
    <w:lvl w:ilvl="4" w:tplc="C9A2D09E" w:tentative="1">
      <w:start w:val="1"/>
      <w:numFmt w:val="bullet"/>
      <w:lvlText w:val="o"/>
      <w:lvlJc w:val="left"/>
      <w:pPr>
        <w:ind w:left="3600" w:hanging="360"/>
      </w:pPr>
      <w:rPr>
        <w:rFonts w:ascii="Courier New" w:hAnsi="Courier New" w:cs="Courier New" w:hint="default"/>
      </w:rPr>
    </w:lvl>
    <w:lvl w:ilvl="5" w:tplc="F566E17E" w:tentative="1">
      <w:start w:val="1"/>
      <w:numFmt w:val="bullet"/>
      <w:lvlText w:val=""/>
      <w:lvlJc w:val="left"/>
      <w:pPr>
        <w:ind w:left="4320" w:hanging="360"/>
      </w:pPr>
      <w:rPr>
        <w:rFonts w:ascii="Wingdings" w:hAnsi="Wingdings" w:hint="default"/>
      </w:rPr>
    </w:lvl>
    <w:lvl w:ilvl="6" w:tplc="255A70A6" w:tentative="1">
      <w:start w:val="1"/>
      <w:numFmt w:val="bullet"/>
      <w:lvlText w:val=""/>
      <w:lvlJc w:val="left"/>
      <w:pPr>
        <w:ind w:left="5040" w:hanging="360"/>
      </w:pPr>
      <w:rPr>
        <w:rFonts w:ascii="Symbol" w:hAnsi="Symbol" w:hint="default"/>
      </w:rPr>
    </w:lvl>
    <w:lvl w:ilvl="7" w:tplc="0BF4E6E8" w:tentative="1">
      <w:start w:val="1"/>
      <w:numFmt w:val="bullet"/>
      <w:lvlText w:val="o"/>
      <w:lvlJc w:val="left"/>
      <w:pPr>
        <w:ind w:left="5760" w:hanging="360"/>
      </w:pPr>
      <w:rPr>
        <w:rFonts w:ascii="Courier New" w:hAnsi="Courier New" w:cs="Courier New" w:hint="default"/>
      </w:rPr>
    </w:lvl>
    <w:lvl w:ilvl="8" w:tplc="09600CD8" w:tentative="1">
      <w:start w:val="1"/>
      <w:numFmt w:val="bullet"/>
      <w:lvlText w:val=""/>
      <w:lvlJc w:val="left"/>
      <w:pPr>
        <w:ind w:left="6480" w:hanging="360"/>
      </w:pPr>
      <w:rPr>
        <w:rFonts w:ascii="Wingdings" w:hAnsi="Wingdings" w:hint="default"/>
      </w:rPr>
    </w:lvl>
  </w:abstractNum>
  <w:abstractNum w:abstractNumId="1" w15:restartNumberingAfterBreak="0">
    <w:nsid w:val="36AA578F"/>
    <w:multiLevelType w:val="hybridMultilevel"/>
    <w:tmpl w:val="C1C40F1C"/>
    <w:lvl w:ilvl="0" w:tplc="888CEB00">
      <w:start w:val="1"/>
      <w:numFmt w:val="bullet"/>
      <w:lvlText w:val=""/>
      <w:lvlJc w:val="left"/>
      <w:pPr>
        <w:ind w:left="720" w:hanging="360"/>
      </w:pPr>
      <w:rPr>
        <w:rFonts w:ascii="Symbol" w:hAnsi="Symbol" w:hint="default"/>
      </w:rPr>
    </w:lvl>
    <w:lvl w:ilvl="1" w:tplc="1B0AB85C" w:tentative="1">
      <w:start w:val="1"/>
      <w:numFmt w:val="bullet"/>
      <w:lvlText w:val="o"/>
      <w:lvlJc w:val="left"/>
      <w:pPr>
        <w:ind w:left="1440" w:hanging="360"/>
      </w:pPr>
      <w:rPr>
        <w:rFonts w:ascii="Courier New" w:hAnsi="Courier New" w:cs="Courier New" w:hint="default"/>
      </w:rPr>
    </w:lvl>
    <w:lvl w:ilvl="2" w:tplc="40124618" w:tentative="1">
      <w:start w:val="1"/>
      <w:numFmt w:val="bullet"/>
      <w:lvlText w:val=""/>
      <w:lvlJc w:val="left"/>
      <w:pPr>
        <w:ind w:left="2160" w:hanging="360"/>
      </w:pPr>
      <w:rPr>
        <w:rFonts w:ascii="Wingdings" w:hAnsi="Wingdings" w:hint="default"/>
      </w:rPr>
    </w:lvl>
    <w:lvl w:ilvl="3" w:tplc="7AA48C6E" w:tentative="1">
      <w:start w:val="1"/>
      <w:numFmt w:val="bullet"/>
      <w:lvlText w:val=""/>
      <w:lvlJc w:val="left"/>
      <w:pPr>
        <w:ind w:left="2880" w:hanging="360"/>
      </w:pPr>
      <w:rPr>
        <w:rFonts w:ascii="Symbol" w:hAnsi="Symbol" w:hint="default"/>
      </w:rPr>
    </w:lvl>
    <w:lvl w:ilvl="4" w:tplc="E6525F70" w:tentative="1">
      <w:start w:val="1"/>
      <w:numFmt w:val="bullet"/>
      <w:lvlText w:val="o"/>
      <w:lvlJc w:val="left"/>
      <w:pPr>
        <w:ind w:left="3600" w:hanging="360"/>
      </w:pPr>
      <w:rPr>
        <w:rFonts w:ascii="Courier New" w:hAnsi="Courier New" w:cs="Courier New" w:hint="default"/>
      </w:rPr>
    </w:lvl>
    <w:lvl w:ilvl="5" w:tplc="C1CAE3FC" w:tentative="1">
      <w:start w:val="1"/>
      <w:numFmt w:val="bullet"/>
      <w:lvlText w:val=""/>
      <w:lvlJc w:val="left"/>
      <w:pPr>
        <w:ind w:left="4320" w:hanging="360"/>
      </w:pPr>
      <w:rPr>
        <w:rFonts w:ascii="Wingdings" w:hAnsi="Wingdings" w:hint="default"/>
      </w:rPr>
    </w:lvl>
    <w:lvl w:ilvl="6" w:tplc="FB8E13D2" w:tentative="1">
      <w:start w:val="1"/>
      <w:numFmt w:val="bullet"/>
      <w:lvlText w:val=""/>
      <w:lvlJc w:val="left"/>
      <w:pPr>
        <w:ind w:left="5040" w:hanging="360"/>
      </w:pPr>
      <w:rPr>
        <w:rFonts w:ascii="Symbol" w:hAnsi="Symbol" w:hint="default"/>
      </w:rPr>
    </w:lvl>
    <w:lvl w:ilvl="7" w:tplc="9CC82DD0" w:tentative="1">
      <w:start w:val="1"/>
      <w:numFmt w:val="bullet"/>
      <w:lvlText w:val="o"/>
      <w:lvlJc w:val="left"/>
      <w:pPr>
        <w:ind w:left="5760" w:hanging="360"/>
      </w:pPr>
      <w:rPr>
        <w:rFonts w:ascii="Courier New" w:hAnsi="Courier New" w:cs="Courier New" w:hint="default"/>
      </w:rPr>
    </w:lvl>
    <w:lvl w:ilvl="8" w:tplc="03C4D582" w:tentative="1">
      <w:start w:val="1"/>
      <w:numFmt w:val="bullet"/>
      <w:lvlText w:val=""/>
      <w:lvlJc w:val="left"/>
      <w:pPr>
        <w:ind w:left="6480" w:hanging="360"/>
      </w:pPr>
      <w:rPr>
        <w:rFonts w:ascii="Wingdings" w:hAnsi="Wingdings" w:hint="default"/>
      </w:rPr>
    </w:lvl>
  </w:abstractNum>
  <w:abstractNum w:abstractNumId="2" w15:restartNumberingAfterBreak="0">
    <w:nsid w:val="41621B69"/>
    <w:multiLevelType w:val="hybridMultilevel"/>
    <w:tmpl w:val="692C5514"/>
    <w:lvl w:ilvl="0" w:tplc="DD00F9D0">
      <w:start w:val="1"/>
      <w:numFmt w:val="bullet"/>
      <w:lvlText w:val=""/>
      <w:lvlJc w:val="left"/>
      <w:pPr>
        <w:ind w:left="720" w:hanging="360"/>
      </w:pPr>
      <w:rPr>
        <w:rFonts w:ascii="Symbol" w:hAnsi="Symbol" w:hint="default"/>
      </w:rPr>
    </w:lvl>
    <w:lvl w:ilvl="1" w:tplc="588C7DFA" w:tentative="1">
      <w:start w:val="1"/>
      <w:numFmt w:val="bullet"/>
      <w:lvlText w:val="o"/>
      <w:lvlJc w:val="left"/>
      <w:pPr>
        <w:ind w:left="1440" w:hanging="360"/>
      </w:pPr>
      <w:rPr>
        <w:rFonts w:ascii="Courier New" w:hAnsi="Courier New" w:cs="Courier New" w:hint="default"/>
      </w:rPr>
    </w:lvl>
    <w:lvl w:ilvl="2" w:tplc="3E78D7E2" w:tentative="1">
      <w:start w:val="1"/>
      <w:numFmt w:val="bullet"/>
      <w:lvlText w:val=""/>
      <w:lvlJc w:val="left"/>
      <w:pPr>
        <w:ind w:left="2160" w:hanging="360"/>
      </w:pPr>
      <w:rPr>
        <w:rFonts w:ascii="Wingdings" w:hAnsi="Wingdings" w:hint="default"/>
      </w:rPr>
    </w:lvl>
    <w:lvl w:ilvl="3" w:tplc="A9CA53E6" w:tentative="1">
      <w:start w:val="1"/>
      <w:numFmt w:val="bullet"/>
      <w:lvlText w:val=""/>
      <w:lvlJc w:val="left"/>
      <w:pPr>
        <w:ind w:left="2880" w:hanging="360"/>
      </w:pPr>
      <w:rPr>
        <w:rFonts w:ascii="Symbol" w:hAnsi="Symbol" w:hint="default"/>
      </w:rPr>
    </w:lvl>
    <w:lvl w:ilvl="4" w:tplc="11F4222A" w:tentative="1">
      <w:start w:val="1"/>
      <w:numFmt w:val="bullet"/>
      <w:lvlText w:val="o"/>
      <w:lvlJc w:val="left"/>
      <w:pPr>
        <w:ind w:left="3600" w:hanging="360"/>
      </w:pPr>
      <w:rPr>
        <w:rFonts w:ascii="Courier New" w:hAnsi="Courier New" w:cs="Courier New" w:hint="default"/>
      </w:rPr>
    </w:lvl>
    <w:lvl w:ilvl="5" w:tplc="045A2CAA" w:tentative="1">
      <w:start w:val="1"/>
      <w:numFmt w:val="bullet"/>
      <w:lvlText w:val=""/>
      <w:lvlJc w:val="left"/>
      <w:pPr>
        <w:ind w:left="4320" w:hanging="360"/>
      </w:pPr>
      <w:rPr>
        <w:rFonts w:ascii="Wingdings" w:hAnsi="Wingdings" w:hint="default"/>
      </w:rPr>
    </w:lvl>
    <w:lvl w:ilvl="6" w:tplc="FD0C6370" w:tentative="1">
      <w:start w:val="1"/>
      <w:numFmt w:val="bullet"/>
      <w:lvlText w:val=""/>
      <w:lvlJc w:val="left"/>
      <w:pPr>
        <w:ind w:left="5040" w:hanging="360"/>
      </w:pPr>
      <w:rPr>
        <w:rFonts w:ascii="Symbol" w:hAnsi="Symbol" w:hint="default"/>
      </w:rPr>
    </w:lvl>
    <w:lvl w:ilvl="7" w:tplc="490E2142" w:tentative="1">
      <w:start w:val="1"/>
      <w:numFmt w:val="bullet"/>
      <w:lvlText w:val="o"/>
      <w:lvlJc w:val="left"/>
      <w:pPr>
        <w:ind w:left="5760" w:hanging="360"/>
      </w:pPr>
      <w:rPr>
        <w:rFonts w:ascii="Courier New" w:hAnsi="Courier New" w:cs="Courier New" w:hint="default"/>
      </w:rPr>
    </w:lvl>
    <w:lvl w:ilvl="8" w:tplc="4E64B29A" w:tentative="1">
      <w:start w:val="1"/>
      <w:numFmt w:val="bullet"/>
      <w:lvlText w:val=""/>
      <w:lvlJc w:val="left"/>
      <w:pPr>
        <w:ind w:left="6480" w:hanging="360"/>
      </w:pPr>
      <w:rPr>
        <w:rFonts w:ascii="Wingdings" w:hAnsi="Wingdings" w:hint="default"/>
      </w:rPr>
    </w:lvl>
  </w:abstractNum>
  <w:abstractNum w:abstractNumId="3" w15:restartNumberingAfterBreak="0">
    <w:nsid w:val="6B6F4A4D"/>
    <w:multiLevelType w:val="hybridMultilevel"/>
    <w:tmpl w:val="6C4860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C22163E"/>
    <w:multiLevelType w:val="hybridMultilevel"/>
    <w:tmpl w:val="D9DA3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117337">
    <w:abstractNumId w:val="1"/>
  </w:num>
  <w:num w:numId="2" w16cid:durableId="1361786022">
    <w:abstractNumId w:val="2"/>
  </w:num>
  <w:num w:numId="3" w16cid:durableId="292177345">
    <w:abstractNumId w:val="0"/>
  </w:num>
  <w:num w:numId="4" w16cid:durableId="1874422399">
    <w:abstractNumId w:val="3"/>
  </w:num>
  <w:num w:numId="5" w16cid:durableId="5668434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D3"/>
    <w:rsid w:val="000935EB"/>
    <w:rsid w:val="000E0078"/>
    <w:rsid w:val="000E58DE"/>
    <w:rsid w:val="002469DF"/>
    <w:rsid w:val="00290B46"/>
    <w:rsid w:val="002C693D"/>
    <w:rsid w:val="002E3B6E"/>
    <w:rsid w:val="00343340"/>
    <w:rsid w:val="0041766D"/>
    <w:rsid w:val="004361D3"/>
    <w:rsid w:val="004B1D19"/>
    <w:rsid w:val="004F3692"/>
    <w:rsid w:val="00557257"/>
    <w:rsid w:val="00646B63"/>
    <w:rsid w:val="00663CA0"/>
    <w:rsid w:val="006B1F45"/>
    <w:rsid w:val="006E0F48"/>
    <w:rsid w:val="00777CC4"/>
    <w:rsid w:val="007800E4"/>
    <w:rsid w:val="007A5FA4"/>
    <w:rsid w:val="008554AA"/>
    <w:rsid w:val="0095265D"/>
    <w:rsid w:val="009E50BE"/>
    <w:rsid w:val="009F4C37"/>
    <w:rsid w:val="00A51366"/>
    <w:rsid w:val="00AB06BA"/>
    <w:rsid w:val="00AB6A90"/>
    <w:rsid w:val="00AF512A"/>
    <w:rsid w:val="00B627C5"/>
    <w:rsid w:val="00BE4855"/>
    <w:rsid w:val="00BF2708"/>
    <w:rsid w:val="00C50C95"/>
    <w:rsid w:val="00CA3B8D"/>
    <w:rsid w:val="00CF597C"/>
    <w:rsid w:val="00D32873"/>
    <w:rsid w:val="00D37E9D"/>
    <w:rsid w:val="00D8045B"/>
    <w:rsid w:val="00D95A07"/>
    <w:rsid w:val="00DB06B8"/>
    <w:rsid w:val="00EC7BC2"/>
    <w:rsid w:val="00EF6F66"/>
    <w:rsid w:val="00F06E27"/>
    <w:rsid w:val="00F45E04"/>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A6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CA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3CA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663CA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A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663CA0"/>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4361D3"/>
    <w:pPr>
      <w:spacing w:before="100" w:beforeAutospacing="1" w:after="100" w:afterAutospacing="1" w:line="240" w:lineRule="auto"/>
      <w:jc w:val="left"/>
    </w:pPr>
    <w:rPr>
      <w:rFonts w:eastAsia="Times New Roman" w:cs="Times New Roman"/>
      <w:color w:val="auto"/>
      <w:kern w:val="0"/>
      <w:szCs w:val="24"/>
      <w:lang w:eastAsia="en-IN"/>
    </w:rPr>
  </w:style>
  <w:style w:type="paragraph" w:styleId="ListParagraph">
    <w:name w:val="List Paragraph"/>
    <w:basedOn w:val="Normal"/>
    <w:uiPriority w:val="34"/>
    <w:qFormat/>
    <w:rsid w:val="004361D3"/>
    <w:pPr>
      <w:ind w:left="720"/>
      <w:contextualSpacing/>
    </w:pPr>
  </w:style>
  <w:style w:type="paragraph" w:styleId="Header">
    <w:name w:val="header"/>
    <w:basedOn w:val="Normal"/>
    <w:link w:val="HeaderChar"/>
    <w:uiPriority w:val="99"/>
    <w:unhideWhenUsed/>
    <w:rsid w:val="004F3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692"/>
    <w:rPr>
      <w:rFonts w:ascii="Times New Roman" w:hAnsi="Times New Roman"/>
      <w:color w:val="000000" w:themeColor="text1"/>
      <w:sz w:val="24"/>
    </w:rPr>
  </w:style>
  <w:style w:type="paragraph" w:styleId="Footer">
    <w:name w:val="footer"/>
    <w:basedOn w:val="Normal"/>
    <w:link w:val="FooterChar"/>
    <w:uiPriority w:val="99"/>
    <w:unhideWhenUsed/>
    <w:rsid w:val="004F3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692"/>
    <w:rPr>
      <w:rFonts w:ascii="Times New Roman" w:hAnsi="Times New Roman"/>
      <w:color w:val="000000" w:themeColor="text1"/>
      <w:sz w:val="24"/>
    </w:rPr>
  </w:style>
  <w:style w:type="paragraph" w:styleId="TOCHeading">
    <w:name w:val="TOC Heading"/>
    <w:basedOn w:val="Heading1"/>
    <w:next w:val="Normal"/>
    <w:uiPriority w:val="39"/>
    <w:unhideWhenUsed/>
    <w:qFormat/>
    <w:rsid w:val="002C693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2C693D"/>
    <w:pPr>
      <w:spacing w:after="100"/>
    </w:pPr>
  </w:style>
  <w:style w:type="character" w:styleId="Hyperlink">
    <w:name w:val="Hyperlink"/>
    <w:basedOn w:val="DefaultParagraphFont"/>
    <w:uiPriority w:val="99"/>
    <w:unhideWhenUsed/>
    <w:rsid w:val="002C693D"/>
    <w:rPr>
      <w:color w:val="0563C1" w:themeColor="hyperlink"/>
      <w:u w:val="single"/>
    </w:rPr>
  </w:style>
  <w:style w:type="table" w:styleId="TableGrid">
    <w:name w:val="Table Grid"/>
    <w:basedOn w:val="TableNormal"/>
    <w:uiPriority w:val="39"/>
    <w:rsid w:val="00417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50C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C9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2176095">
      <w:bodyDiv w:val="1"/>
      <w:marLeft w:val="0"/>
      <w:marRight w:val="0"/>
      <w:marTop w:val="0"/>
      <w:marBottom w:val="0"/>
      <w:divBdr>
        <w:top w:val="none" w:sz="0" w:space="0" w:color="auto"/>
        <w:left w:val="none" w:sz="0" w:space="0" w:color="auto"/>
        <w:bottom w:val="none" w:sz="0" w:space="0" w:color="auto"/>
        <w:right w:val="none" w:sz="0" w:space="0" w:color="auto"/>
      </w:divBdr>
    </w:div>
    <w:div w:id="1903952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A210E-BD0D-4F30-B795-1690F48ED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2741</Words>
  <Characters>15630</Characters>
  <Application>Microsoft Office Word</Application>
  <DocSecurity>0</DocSecurity>
  <Lines>130</Lines>
  <Paragraphs>36</Paragraphs>
  <ScaleCrop>false</ScaleCrop>
  <Company/>
  <LinksUpToDate>false</LinksUpToDate>
  <CharactersWithSpaces>18335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2024-11-04T20:41:00Z</dcterms:created>
  <dcterms:modified xsi:type="dcterms:W3CDTF">2024-11-12T21:02:00Z</dcterms:modified>
</cp:coreProperties>
</file>