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7500F5" w14:textId="3635A94A" w:rsidR="003F21B2" w:rsidRDefault="00000000">
      <w:pPr>
        <w:pStyle w:val="Heading1"/>
      </w:pPr>
      <w:r>
        <w:t xml:space="preserve">Stakeholder Engagement for the Successful Launch of </w:t>
      </w:r>
      <w:r w:rsidR="004448D0">
        <w:t>Green Path</w:t>
      </w:r>
      <w:r>
        <w:t xml:space="preserve"> 360</w:t>
      </w:r>
    </w:p>
    <w:p w14:paraId="097500F6" w14:textId="5757994F" w:rsidR="003F21B2" w:rsidRDefault="003F21B2"/>
    <w:p w14:paraId="097500F7" w14:textId="4381617A" w:rsidR="003F21B2" w:rsidRDefault="00000000">
      <w:r>
        <w:rPr>
          <w:b/>
        </w:rPr>
        <w:t>Module:</w:t>
      </w:r>
      <w:r>
        <w:t xml:space="preserve"> Understanding and Engaging Stakeholders (</w:t>
      </w:r>
      <w:r w:rsidR="004448D0">
        <w:t>LCLM5001)</w:t>
      </w:r>
      <w:r>
        <w:t xml:space="preserve"> </w:t>
      </w:r>
      <w:r>
        <w:rPr>
          <w:b/>
        </w:rPr>
        <w:t>Assessment:</w:t>
      </w:r>
      <w:r>
        <w:t xml:space="preserve"> Individual Report · </w:t>
      </w:r>
      <w:r>
        <w:rPr>
          <w:b/>
        </w:rPr>
        <w:t xml:space="preserve">Word count (main body, excluding executive summary, </w:t>
      </w:r>
      <w:proofErr w:type="gramStart"/>
      <w:r>
        <w:rPr>
          <w:b/>
        </w:rPr>
        <w:t>tables</w:t>
      </w:r>
      <w:proofErr w:type="gramEnd"/>
      <w:r>
        <w:rPr>
          <w:b/>
        </w:rPr>
        <w:t xml:space="preserve"> and references):</w:t>
      </w:r>
      <w:r>
        <w:t xml:space="preserve"> approx. 4,000</w:t>
      </w:r>
    </w:p>
    <w:p w14:paraId="097500F8" w14:textId="77777777" w:rsidR="003F21B2" w:rsidRDefault="00000000">
      <w:pPr>
        <w:pStyle w:val="Heading2"/>
      </w:pPr>
      <w:r>
        <w:t>Executive Summary</w:t>
      </w:r>
    </w:p>
    <w:p w14:paraId="097500F9" w14:textId="77777777" w:rsidR="003F21B2" w:rsidRDefault="00000000">
      <w:r>
        <w:t xml:space="preserve">GreenPath 360 will succeed or fail on the quality of its stakeholder relationships rather than on its technology. This report, prepared for the Board of Directors, identifies the internal and external stakeholders of the initiative, applies Mendelow's power/interest matrix and Mitchell, Agle and Wood's (1997) salience model to </w:t>
      </w:r>
      <w:proofErr w:type="spellStart"/>
      <w:r>
        <w:t>prioritise</w:t>
      </w:r>
      <w:proofErr w:type="spellEnd"/>
      <w:r>
        <w:t xml:space="preserve"> them, and sets out an engagement process built on a RACI matrix, a tiered communication plan and the 4Cs of communication, consultation, collaboration and commitment.</w:t>
      </w:r>
    </w:p>
    <w:p w14:paraId="097500FA" w14:textId="77777777" w:rsidR="003F21B2" w:rsidRDefault="00000000">
      <w:r>
        <w:t xml:space="preserve">The analysis shows that senior leadership, regulators, key </w:t>
      </w:r>
      <w:proofErr w:type="gramStart"/>
      <w:r>
        <w:t>suppliers</w:t>
      </w:r>
      <w:proofErr w:type="gramEnd"/>
      <w:r>
        <w:t xml:space="preserve"> and customers are definitive stakeholders requiring close partnership, while NGOs and local communities hold legitimacy and urgency that can quickly convert into reputational power. The principal risks are greenwashing allegations, supplier resistance to transparency, cultural misalignment across markets and internal conflict between commercial and sustainability targets.</w:t>
      </w:r>
    </w:p>
    <w:p w14:paraId="097500FB" w14:textId="77777777" w:rsidR="003F21B2" w:rsidRDefault="00000000">
      <w:r>
        <w:t xml:space="preserve">Evidence from IKEA, Patagonia, Marks &amp; Spencer and recent Competition and Markets Authority enforcement indicates that authentic, two-way engagement improves trust, </w:t>
      </w:r>
      <w:proofErr w:type="gramStart"/>
      <w:r>
        <w:t>innovation</w:t>
      </w:r>
      <w:proofErr w:type="gramEnd"/>
      <w:r>
        <w:t xml:space="preserve"> and long-term reputation, but that the benefits are slow to </w:t>
      </w:r>
      <w:proofErr w:type="spellStart"/>
      <w:r>
        <w:t>materialise</w:t>
      </w:r>
      <w:proofErr w:type="spellEnd"/>
      <w:r>
        <w:t xml:space="preserve"> and costly to sustain. The report recommends a phased pilot, a cross-functional steering group with an independent NGO adviser, verifiable claims governance, supplier capability funding and a quarterly stakeholder trust index linked to executive objectives.</w:t>
      </w:r>
    </w:p>
    <w:p w14:paraId="097500FC" w14:textId="77777777" w:rsidR="003F21B2" w:rsidRDefault="00000000">
      <w:pPr>
        <w:pStyle w:val="Heading2"/>
      </w:pPr>
      <w:r>
        <w:t>1. Introduction</w:t>
      </w:r>
    </w:p>
    <w:p w14:paraId="097500FD" w14:textId="77777777" w:rsidR="003F21B2" w:rsidRDefault="00000000">
      <w:r>
        <w:t xml:space="preserve">This report </w:t>
      </w:r>
      <w:proofErr w:type="gramStart"/>
      <w:r>
        <w:t>is written</w:t>
      </w:r>
      <w:proofErr w:type="gramEnd"/>
      <w:r>
        <w:t xml:space="preserve"> from the perspective of the Project Manager at Northbridge Retail Group plc ("Northbridge"), a </w:t>
      </w:r>
      <w:proofErr w:type="spellStart"/>
      <w:r>
        <w:t>pseudonymised</w:t>
      </w:r>
      <w:proofErr w:type="spellEnd"/>
      <w:r>
        <w:t xml:space="preserve"> UK-headquartered international retailer operating physical stores and e-commerce platforms across the UK, mainland Europe, North </w:t>
      </w:r>
      <w:proofErr w:type="gramStart"/>
      <w:r>
        <w:t>America</w:t>
      </w:r>
      <w:proofErr w:type="gramEnd"/>
      <w:r>
        <w:t xml:space="preserve"> and South-East Asia. Northbridge sells clothing, homeware and electronics, sources from more than 1,200 tier-one suppliers and serves approximately </w:t>
      </w:r>
      <w:proofErr w:type="gramStart"/>
      <w:r>
        <w:t>18</w:t>
      </w:r>
      <w:proofErr w:type="gramEnd"/>
      <w:r>
        <w:t xml:space="preserve"> million active customers. The company </w:t>
      </w:r>
      <w:proofErr w:type="gramStart"/>
      <w:r>
        <w:t>is used</w:t>
      </w:r>
      <w:proofErr w:type="gramEnd"/>
      <w:r>
        <w:t xml:space="preserve"> as an illustrative composite so that real-world evidence from comparable retailers can </w:t>
      </w:r>
      <w:proofErr w:type="gramStart"/>
      <w:r>
        <w:t>be applied</w:t>
      </w:r>
      <w:proofErr w:type="gramEnd"/>
      <w:r>
        <w:t xml:space="preserve"> without misrepresenting any single firm.</w:t>
      </w:r>
    </w:p>
    <w:p w14:paraId="097500FE" w14:textId="77777777" w:rsidR="003F21B2" w:rsidRDefault="00000000">
      <w:r>
        <w:t xml:space="preserve">GreenPath 360 is a sustainability-focused stakeholder engagement initiative launching in selected markets in six months. It combines a digital platform with an operational </w:t>
      </w:r>
      <w:proofErr w:type="spellStart"/>
      <w:r>
        <w:t>programme</w:t>
      </w:r>
      <w:proofErr w:type="spellEnd"/>
      <w:r>
        <w:t xml:space="preserve"> covering five strands: responsible purchasing guidance at the point of sale; product repair, resale and take-back services; supplier transparency through product-level traceability data; community partnerships with repair cafés, charities and local authorities; and customer rewards for participating in circular activities. The initiative reflects the shift from a linear "take-make-dispose" model towards a circular economy in which products and materials </w:t>
      </w:r>
      <w:proofErr w:type="gramStart"/>
      <w:r>
        <w:t>are kept</w:t>
      </w:r>
      <w:proofErr w:type="gramEnd"/>
      <w:r>
        <w:t xml:space="preserve"> in use for as long as possible (Ellen MacArthur Foundation, 2013; Kirchherr, </w:t>
      </w:r>
      <w:proofErr w:type="spellStart"/>
      <w:r>
        <w:t>Reike</w:t>
      </w:r>
      <w:proofErr w:type="spellEnd"/>
      <w:r>
        <w:t xml:space="preserve"> and Hekkert, 2017).</w:t>
      </w:r>
    </w:p>
    <w:p w14:paraId="097500FF" w14:textId="77777777" w:rsidR="003F21B2" w:rsidRDefault="00000000">
      <w:r>
        <w:lastRenderedPageBreak/>
        <w:t xml:space="preserve">The strategic rationale is threefold. First, regulation is tightening: the UK Competition and Markets Authority's (2021) Green Claims Code and the EU's Ecodesign for Sustainable Products Regulation, with its planned digital product passports, raise the evidential bar for environmental claims. Second, customers and investors increasingly reward credible sustainability performance (Eccles, </w:t>
      </w:r>
      <w:proofErr w:type="gramStart"/>
      <w:r>
        <w:t>Ioannou</w:t>
      </w:r>
      <w:proofErr w:type="gramEnd"/>
      <w:r>
        <w:t xml:space="preserve"> and Serafeim, 2014). Third, circular business models depend on cooperation across </w:t>
      </w:r>
      <w:proofErr w:type="spellStart"/>
      <w:r>
        <w:t>organisational</w:t>
      </w:r>
      <w:proofErr w:type="spellEnd"/>
      <w:r>
        <w:t xml:space="preserve"> boundaries, so they cannot </w:t>
      </w:r>
      <w:proofErr w:type="gramStart"/>
      <w:r>
        <w:t>be delivered</w:t>
      </w:r>
      <w:proofErr w:type="gramEnd"/>
      <w:r>
        <w:t xml:space="preserve"> by the retailer alone (</w:t>
      </w:r>
      <w:proofErr w:type="spellStart"/>
      <w:r>
        <w:t>Geissdoerfer</w:t>
      </w:r>
      <w:proofErr w:type="spellEnd"/>
      <w:r>
        <w:t xml:space="preserve"> et al., 2017).</w:t>
      </w:r>
    </w:p>
    <w:p w14:paraId="09750100" w14:textId="77777777" w:rsidR="003F21B2" w:rsidRDefault="00000000">
      <w:r>
        <w:t>The report therefore treats stakeholder engagement not as a communications exercise but as a core capability, drawing on stakeholder theory (Freeman et al., 2018) and the relational lens of Ashcroft et al. (2017).</w:t>
      </w:r>
    </w:p>
    <w:p w14:paraId="09750101" w14:textId="77777777" w:rsidR="003F21B2" w:rsidRDefault="00000000">
      <w:pPr>
        <w:pStyle w:val="Heading2"/>
      </w:pPr>
      <w:r>
        <w:t>2. SMART Objectives</w:t>
      </w:r>
    </w:p>
    <w:tbl>
      <w:tblPr>
        <w:tblStyle w:val="TableGrid"/>
        <w:tblW w:w="0" w:type="auto"/>
        <w:tblLayout w:type="fixed"/>
        <w:tblLook w:val="0420" w:firstRow="1" w:lastRow="0" w:firstColumn="0" w:lastColumn="0" w:noHBand="0" w:noVBand="1"/>
      </w:tblPr>
      <w:tblGrid>
        <w:gridCol w:w="3120"/>
        <w:gridCol w:w="3120"/>
        <w:gridCol w:w="3120"/>
      </w:tblGrid>
      <w:tr w:rsidR="003F21B2" w14:paraId="09750105" w14:textId="77777777">
        <w:trPr>
          <w:tblHeader/>
        </w:trPr>
        <w:tc>
          <w:tcPr>
            <w:tcW w:w="3120" w:type="dxa"/>
            <w:shd w:val="clear" w:color="auto" w:fill="F2F2F2"/>
          </w:tcPr>
          <w:p w14:paraId="09750102" w14:textId="77777777" w:rsidR="003F21B2" w:rsidRDefault="00000000">
            <w:r>
              <w:t>#</w:t>
            </w:r>
          </w:p>
        </w:tc>
        <w:tc>
          <w:tcPr>
            <w:tcW w:w="3120" w:type="dxa"/>
            <w:shd w:val="clear" w:color="auto" w:fill="F2F2F2"/>
          </w:tcPr>
          <w:p w14:paraId="09750103" w14:textId="77777777" w:rsidR="003F21B2" w:rsidRDefault="00000000">
            <w:r>
              <w:t>Objective</w:t>
            </w:r>
          </w:p>
        </w:tc>
        <w:tc>
          <w:tcPr>
            <w:tcW w:w="3120" w:type="dxa"/>
            <w:shd w:val="clear" w:color="auto" w:fill="F2F2F2"/>
          </w:tcPr>
          <w:p w14:paraId="09750104" w14:textId="77777777" w:rsidR="003F21B2" w:rsidRDefault="00000000">
            <w:r>
              <w:t>Measure and deadline</w:t>
            </w:r>
          </w:p>
        </w:tc>
      </w:tr>
      <w:tr w:rsidR="003F21B2" w14:paraId="09750109" w14:textId="77777777">
        <w:tc>
          <w:tcPr>
            <w:tcW w:w="3120" w:type="dxa"/>
          </w:tcPr>
          <w:p w14:paraId="09750106" w14:textId="77777777" w:rsidR="003F21B2" w:rsidRDefault="00000000">
            <w:r>
              <w:t>1</w:t>
            </w:r>
          </w:p>
        </w:tc>
        <w:tc>
          <w:tcPr>
            <w:tcW w:w="3120" w:type="dxa"/>
          </w:tcPr>
          <w:p w14:paraId="09750107" w14:textId="77777777" w:rsidR="003F21B2" w:rsidRDefault="00000000">
            <w:r>
              <w:t>Map and validate all priority stakeholders with a named relationship owner</w:t>
            </w:r>
          </w:p>
        </w:tc>
        <w:tc>
          <w:tcPr>
            <w:tcW w:w="3120" w:type="dxa"/>
          </w:tcPr>
          <w:p w14:paraId="09750108" w14:textId="77777777" w:rsidR="003F21B2" w:rsidRDefault="00000000">
            <w:r>
              <w:t xml:space="preserve">100% of definitive and dominant stakeholders mapped by month </w:t>
            </w:r>
            <w:proofErr w:type="gramStart"/>
            <w:r>
              <w:t>1</w:t>
            </w:r>
            <w:proofErr w:type="gramEnd"/>
          </w:p>
        </w:tc>
      </w:tr>
      <w:tr w:rsidR="003F21B2" w14:paraId="0975010D" w14:textId="77777777">
        <w:tc>
          <w:tcPr>
            <w:tcW w:w="3120" w:type="dxa"/>
          </w:tcPr>
          <w:p w14:paraId="0975010A" w14:textId="77777777" w:rsidR="003F21B2" w:rsidRDefault="00000000">
            <w:r>
              <w:t>2</w:t>
            </w:r>
          </w:p>
        </w:tc>
        <w:tc>
          <w:tcPr>
            <w:tcW w:w="3120" w:type="dxa"/>
          </w:tcPr>
          <w:p w14:paraId="0975010B" w14:textId="77777777" w:rsidR="003F21B2" w:rsidRDefault="00000000">
            <w:r>
              <w:t>Secure supplier participation in the traceability platform</w:t>
            </w:r>
          </w:p>
        </w:tc>
        <w:tc>
          <w:tcPr>
            <w:tcW w:w="3120" w:type="dxa"/>
          </w:tcPr>
          <w:p w14:paraId="0975010C" w14:textId="77777777" w:rsidR="003F21B2" w:rsidRDefault="00000000">
            <w:proofErr w:type="gramStart"/>
            <w:r>
              <w:t>60%</w:t>
            </w:r>
            <w:proofErr w:type="gramEnd"/>
            <w:r>
              <w:t xml:space="preserve"> of tier-one </w:t>
            </w:r>
            <w:proofErr w:type="gramStart"/>
            <w:r>
              <w:t>suppliers by</w:t>
            </w:r>
            <w:proofErr w:type="gramEnd"/>
            <w:r>
              <w:t xml:space="preserve"> spend uploading verified data by launch (month 6)</w:t>
            </w:r>
          </w:p>
        </w:tc>
      </w:tr>
      <w:tr w:rsidR="003F21B2" w14:paraId="09750111" w14:textId="77777777">
        <w:tc>
          <w:tcPr>
            <w:tcW w:w="3120" w:type="dxa"/>
          </w:tcPr>
          <w:p w14:paraId="0975010E" w14:textId="77777777" w:rsidR="003F21B2" w:rsidRDefault="00000000">
            <w:r>
              <w:t>3</w:t>
            </w:r>
          </w:p>
        </w:tc>
        <w:tc>
          <w:tcPr>
            <w:tcW w:w="3120" w:type="dxa"/>
          </w:tcPr>
          <w:p w14:paraId="0975010F" w14:textId="77777777" w:rsidR="003F21B2" w:rsidRDefault="00000000">
            <w:r>
              <w:t>Drive customer adoption of circular services</w:t>
            </w:r>
          </w:p>
        </w:tc>
        <w:tc>
          <w:tcPr>
            <w:tcW w:w="3120" w:type="dxa"/>
          </w:tcPr>
          <w:p w14:paraId="09750110" w14:textId="77777777" w:rsidR="003F21B2" w:rsidRDefault="00000000">
            <w:r>
              <w:t xml:space="preserve">250,000 registered GreenPath users and 50,000 items repaired, </w:t>
            </w:r>
            <w:proofErr w:type="gramStart"/>
            <w:r>
              <w:t>resold</w:t>
            </w:r>
            <w:proofErr w:type="gramEnd"/>
            <w:r>
              <w:t xml:space="preserve"> or recycled within 6 months of launch</w:t>
            </w:r>
          </w:p>
        </w:tc>
      </w:tr>
      <w:tr w:rsidR="003F21B2" w14:paraId="09750115" w14:textId="77777777">
        <w:tc>
          <w:tcPr>
            <w:tcW w:w="3120" w:type="dxa"/>
          </w:tcPr>
          <w:p w14:paraId="09750112" w14:textId="77777777" w:rsidR="003F21B2" w:rsidRDefault="00000000">
            <w:r>
              <w:t>4</w:t>
            </w:r>
          </w:p>
        </w:tc>
        <w:tc>
          <w:tcPr>
            <w:tcW w:w="3120" w:type="dxa"/>
          </w:tcPr>
          <w:p w14:paraId="09750113" w14:textId="77777777" w:rsidR="003F21B2" w:rsidRDefault="00000000">
            <w:r>
              <w:t>Build stakeholder trust</w:t>
            </w:r>
          </w:p>
        </w:tc>
        <w:tc>
          <w:tcPr>
            <w:tcW w:w="3120" w:type="dxa"/>
          </w:tcPr>
          <w:p w14:paraId="09750114" w14:textId="77777777" w:rsidR="003F21B2" w:rsidRDefault="00000000">
            <w:r>
              <w:t xml:space="preserve">Raise the stakeholder trust index from baseline by </w:t>
            </w:r>
            <w:proofErr w:type="gramStart"/>
            <w:r>
              <w:t>10</w:t>
            </w:r>
            <w:proofErr w:type="gramEnd"/>
            <w:r>
              <w:t xml:space="preserve"> points at the 12-month post-launch review</w:t>
            </w:r>
          </w:p>
        </w:tc>
      </w:tr>
      <w:tr w:rsidR="003F21B2" w14:paraId="09750119" w14:textId="77777777">
        <w:tc>
          <w:tcPr>
            <w:tcW w:w="3120" w:type="dxa"/>
          </w:tcPr>
          <w:p w14:paraId="09750116" w14:textId="77777777" w:rsidR="003F21B2" w:rsidRDefault="00000000">
            <w:r>
              <w:t>5</w:t>
            </w:r>
          </w:p>
        </w:tc>
        <w:tc>
          <w:tcPr>
            <w:tcW w:w="3120" w:type="dxa"/>
          </w:tcPr>
          <w:p w14:paraId="09750117" w14:textId="77777777" w:rsidR="003F21B2" w:rsidRDefault="00000000">
            <w:r>
              <w:t>Protect claim integrity</w:t>
            </w:r>
          </w:p>
        </w:tc>
        <w:tc>
          <w:tcPr>
            <w:tcW w:w="3120" w:type="dxa"/>
          </w:tcPr>
          <w:p w14:paraId="09750118" w14:textId="77777777" w:rsidR="003F21B2" w:rsidRDefault="00000000">
            <w:r>
              <w:t>Zero upheld regulatory complaints about GreenPath environmental claims in year one</w:t>
            </w:r>
          </w:p>
        </w:tc>
      </w:tr>
    </w:tbl>
    <w:p w14:paraId="0975011A" w14:textId="77777777" w:rsidR="003F21B2" w:rsidRDefault="00000000">
      <w:pPr>
        <w:pStyle w:val="Heading2"/>
      </w:pPr>
      <w:r>
        <w:t xml:space="preserve">3. Identification and </w:t>
      </w:r>
      <w:proofErr w:type="spellStart"/>
      <w:r>
        <w:t>Categorisation</w:t>
      </w:r>
      <w:proofErr w:type="spellEnd"/>
      <w:r>
        <w:t xml:space="preserve"> of Stakeholders</w:t>
      </w:r>
    </w:p>
    <w:p w14:paraId="0975011B" w14:textId="77777777" w:rsidR="003F21B2" w:rsidRDefault="00000000">
      <w:r>
        <w:t xml:space="preserve">Freeman (1984, p. 46) defines a stakeholder as any group or individual who can affect or </w:t>
      </w:r>
      <w:proofErr w:type="gramStart"/>
      <w:r>
        <w:t>is affected</w:t>
      </w:r>
      <w:proofErr w:type="gramEnd"/>
      <w:r>
        <w:t xml:space="preserve"> by the achievement of an </w:t>
      </w:r>
      <w:proofErr w:type="spellStart"/>
      <w:r>
        <w:t>organisation's</w:t>
      </w:r>
      <w:proofErr w:type="spellEnd"/>
      <w:r>
        <w:t xml:space="preserve"> objectives. This broad definition is useful for a circular economy initiative because value </w:t>
      </w:r>
      <w:proofErr w:type="gramStart"/>
      <w:r>
        <w:t>is co-created</w:t>
      </w:r>
      <w:proofErr w:type="gramEnd"/>
      <w:r>
        <w:t xml:space="preserve"> across a network rather than within one firm (Christopher, </w:t>
      </w:r>
      <w:proofErr w:type="gramStart"/>
      <w:r>
        <w:t>Payne</w:t>
      </w:r>
      <w:proofErr w:type="gramEnd"/>
      <w:r>
        <w:t xml:space="preserve"> and Ballantyne, 2013). However, its breadth is also its weakness: </w:t>
      </w:r>
      <w:proofErr w:type="gramStart"/>
      <w:r>
        <w:t>almost anyone</w:t>
      </w:r>
      <w:proofErr w:type="gramEnd"/>
      <w:r>
        <w:t xml:space="preserve"> qualifies, so the definition alone does not tell a project manager where to invest scarce engagement time (Mitchell, Agle and Wood, 1997). Two complementary frameworks </w:t>
      </w:r>
      <w:proofErr w:type="gramStart"/>
      <w:r>
        <w:t>are therefore applied</w:t>
      </w:r>
      <w:proofErr w:type="gramEnd"/>
      <w:r>
        <w:t xml:space="preserve">: Mendelow's (1991) </w:t>
      </w:r>
      <w:r>
        <w:lastRenderedPageBreak/>
        <w:t xml:space="preserve">power/interest matrix to plan engagement intensity, and the salience model to </w:t>
      </w:r>
      <w:proofErr w:type="gramStart"/>
      <w:r>
        <w:t>test</w:t>
      </w:r>
      <w:proofErr w:type="gramEnd"/>
      <w:r>
        <w:t xml:space="preserve"> which claims demand urgent attention.</w:t>
      </w:r>
    </w:p>
    <w:p w14:paraId="0975011C" w14:textId="77777777" w:rsidR="003F21B2" w:rsidRDefault="00000000">
      <w:pPr>
        <w:pStyle w:val="Heading3"/>
      </w:pPr>
      <w:r>
        <w:t>3.1 Stakeholder register</w:t>
      </w:r>
    </w:p>
    <w:p w14:paraId="0975011D" w14:textId="77777777" w:rsidR="003F21B2" w:rsidRDefault="00000000">
      <w:r>
        <w:t xml:space="preserve">Stakeholders </w:t>
      </w:r>
      <w:proofErr w:type="gramStart"/>
      <w:r>
        <w:t>were first classified</w:t>
      </w:r>
      <w:proofErr w:type="gramEnd"/>
      <w:r>
        <w:t xml:space="preserve"> as internal or external and as primary (directly involved in delivery or with a contractual stake) or secondary (able to influence outcomes without a formal stake) (Freeman et al., 2018).</w:t>
      </w:r>
    </w:p>
    <w:tbl>
      <w:tblPr>
        <w:tblStyle w:val="TableGrid"/>
        <w:tblW w:w="0" w:type="auto"/>
        <w:tblLayout w:type="fixed"/>
        <w:tblLook w:val="0420" w:firstRow="1" w:lastRow="0" w:firstColumn="0" w:lastColumn="0" w:noHBand="0" w:noVBand="1"/>
      </w:tblPr>
      <w:tblGrid>
        <w:gridCol w:w="2340"/>
        <w:gridCol w:w="2340"/>
        <w:gridCol w:w="2340"/>
        <w:gridCol w:w="2340"/>
      </w:tblGrid>
      <w:tr w:rsidR="003F21B2" w14:paraId="09750122" w14:textId="77777777">
        <w:trPr>
          <w:tblHeader/>
        </w:trPr>
        <w:tc>
          <w:tcPr>
            <w:tcW w:w="2340" w:type="dxa"/>
            <w:shd w:val="clear" w:color="auto" w:fill="F2F2F2"/>
          </w:tcPr>
          <w:p w14:paraId="0975011E" w14:textId="77777777" w:rsidR="003F21B2" w:rsidRDefault="00000000">
            <w:r>
              <w:t>Stakeholder</w:t>
            </w:r>
          </w:p>
        </w:tc>
        <w:tc>
          <w:tcPr>
            <w:tcW w:w="2340" w:type="dxa"/>
            <w:shd w:val="clear" w:color="auto" w:fill="F2F2F2"/>
          </w:tcPr>
          <w:p w14:paraId="0975011F" w14:textId="25B7953F" w:rsidR="003F21B2" w:rsidRDefault="00870E56">
            <w:r>
              <w:t>Internal/external</w:t>
            </w:r>
          </w:p>
        </w:tc>
        <w:tc>
          <w:tcPr>
            <w:tcW w:w="2340" w:type="dxa"/>
            <w:shd w:val="clear" w:color="auto" w:fill="F2F2F2"/>
          </w:tcPr>
          <w:p w14:paraId="09750120" w14:textId="512A48B7" w:rsidR="003F21B2" w:rsidRDefault="00870E56">
            <w:r>
              <w:t>Primary/secondary</w:t>
            </w:r>
          </w:p>
        </w:tc>
        <w:tc>
          <w:tcPr>
            <w:tcW w:w="2340" w:type="dxa"/>
            <w:shd w:val="clear" w:color="auto" w:fill="F2F2F2"/>
          </w:tcPr>
          <w:p w14:paraId="09750121" w14:textId="77777777" w:rsidR="003F21B2" w:rsidRDefault="00000000">
            <w:r>
              <w:t>Core interest in GreenPath 360</w:t>
            </w:r>
          </w:p>
        </w:tc>
      </w:tr>
      <w:tr w:rsidR="003F21B2" w14:paraId="09750127" w14:textId="77777777">
        <w:tc>
          <w:tcPr>
            <w:tcW w:w="2340" w:type="dxa"/>
          </w:tcPr>
          <w:p w14:paraId="09750123" w14:textId="77777777" w:rsidR="003F21B2" w:rsidRDefault="00000000">
            <w:r>
              <w:t>Board and senior leadership</w:t>
            </w:r>
          </w:p>
        </w:tc>
        <w:tc>
          <w:tcPr>
            <w:tcW w:w="2340" w:type="dxa"/>
          </w:tcPr>
          <w:p w14:paraId="09750124" w14:textId="77777777" w:rsidR="003F21B2" w:rsidRDefault="00000000">
            <w:r>
              <w:t>Internal</w:t>
            </w:r>
          </w:p>
        </w:tc>
        <w:tc>
          <w:tcPr>
            <w:tcW w:w="2340" w:type="dxa"/>
          </w:tcPr>
          <w:p w14:paraId="09750125" w14:textId="77777777" w:rsidR="003F21B2" w:rsidRDefault="00000000">
            <w:r>
              <w:t>Primary</w:t>
            </w:r>
          </w:p>
        </w:tc>
        <w:tc>
          <w:tcPr>
            <w:tcW w:w="2340" w:type="dxa"/>
          </w:tcPr>
          <w:p w14:paraId="09750126" w14:textId="77777777" w:rsidR="003F21B2" w:rsidRDefault="00000000">
            <w:r>
              <w:t>Strategic return, reputation, ESG ratings</w:t>
            </w:r>
          </w:p>
        </w:tc>
      </w:tr>
      <w:tr w:rsidR="003F21B2" w14:paraId="0975012C" w14:textId="77777777">
        <w:tc>
          <w:tcPr>
            <w:tcW w:w="2340" w:type="dxa"/>
          </w:tcPr>
          <w:p w14:paraId="09750128" w14:textId="77777777" w:rsidR="003F21B2" w:rsidRDefault="00000000">
            <w:r>
              <w:t>Sustainability team</w:t>
            </w:r>
          </w:p>
        </w:tc>
        <w:tc>
          <w:tcPr>
            <w:tcW w:w="2340" w:type="dxa"/>
          </w:tcPr>
          <w:p w14:paraId="09750129" w14:textId="77777777" w:rsidR="003F21B2" w:rsidRDefault="00000000">
            <w:r>
              <w:t>Internal</w:t>
            </w:r>
          </w:p>
        </w:tc>
        <w:tc>
          <w:tcPr>
            <w:tcW w:w="2340" w:type="dxa"/>
          </w:tcPr>
          <w:p w14:paraId="0975012A" w14:textId="77777777" w:rsidR="003F21B2" w:rsidRDefault="00000000">
            <w:r>
              <w:t>Primary</w:t>
            </w:r>
          </w:p>
        </w:tc>
        <w:tc>
          <w:tcPr>
            <w:tcW w:w="2340" w:type="dxa"/>
          </w:tcPr>
          <w:p w14:paraId="0975012B" w14:textId="77777777" w:rsidR="003F21B2" w:rsidRDefault="00000000">
            <w:r>
              <w:t>Credible impact data, target delivery</w:t>
            </w:r>
          </w:p>
        </w:tc>
      </w:tr>
      <w:tr w:rsidR="003F21B2" w14:paraId="09750131" w14:textId="77777777">
        <w:tc>
          <w:tcPr>
            <w:tcW w:w="2340" w:type="dxa"/>
          </w:tcPr>
          <w:p w14:paraId="0975012D" w14:textId="77777777" w:rsidR="003F21B2" w:rsidRDefault="00000000">
            <w:r>
              <w:t>Procurement</w:t>
            </w:r>
          </w:p>
        </w:tc>
        <w:tc>
          <w:tcPr>
            <w:tcW w:w="2340" w:type="dxa"/>
          </w:tcPr>
          <w:p w14:paraId="0975012E" w14:textId="77777777" w:rsidR="003F21B2" w:rsidRDefault="00000000">
            <w:r>
              <w:t>Internal</w:t>
            </w:r>
          </w:p>
        </w:tc>
        <w:tc>
          <w:tcPr>
            <w:tcW w:w="2340" w:type="dxa"/>
          </w:tcPr>
          <w:p w14:paraId="0975012F" w14:textId="77777777" w:rsidR="003F21B2" w:rsidRDefault="00000000">
            <w:r>
              <w:t>Primary</w:t>
            </w:r>
          </w:p>
        </w:tc>
        <w:tc>
          <w:tcPr>
            <w:tcW w:w="2340" w:type="dxa"/>
          </w:tcPr>
          <w:p w14:paraId="09750130" w14:textId="77777777" w:rsidR="003F21B2" w:rsidRDefault="00000000">
            <w:r>
              <w:t>Supplier compliance, cost of traceability</w:t>
            </w:r>
          </w:p>
        </w:tc>
      </w:tr>
      <w:tr w:rsidR="003F21B2" w14:paraId="09750136" w14:textId="77777777">
        <w:tc>
          <w:tcPr>
            <w:tcW w:w="2340" w:type="dxa"/>
          </w:tcPr>
          <w:p w14:paraId="09750132" w14:textId="77777777" w:rsidR="003F21B2" w:rsidRDefault="00000000">
            <w:r>
              <w:t>Operations and stores</w:t>
            </w:r>
          </w:p>
        </w:tc>
        <w:tc>
          <w:tcPr>
            <w:tcW w:w="2340" w:type="dxa"/>
          </w:tcPr>
          <w:p w14:paraId="09750133" w14:textId="77777777" w:rsidR="003F21B2" w:rsidRDefault="00000000">
            <w:r>
              <w:t>Internal</w:t>
            </w:r>
          </w:p>
        </w:tc>
        <w:tc>
          <w:tcPr>
            <w:tcW w:w="2340" w:type="dxa"/>
          </w:tcPr>
          <w:p w14:paraId="09750134" w14:textId="77777777" w:rsidR="003F21B2" w:rsidRDefault="00000000">
            <w:r>
              <w:t>Primary</w:t>
            </w:r>
          </w:p>
        </w:tc>
        <w:tc>
          <w:tcPr>
            <w:tcW w:w="2340" w:type="dxa"/>
          </w:tcPr>
          <w:p w14:paraId="09750135" w14:textId="77777777" w:rsidR="003F21B2" w:rsidRDefault="00000000">
            <w:r>
              <w:t>Take-back and repair workflows, staff capacity</w:t>
            </w:r>
          </w:p>
        </w:tc>
      </w:tr>
      <w:tr w:rsidR="003F21B2" w14:paraId="0975013B" w14:textId="77777777">
        <w:tc>
          <w:tcPr>
            <w:tcW w:w="2340" w:type="dxa"/>
          </w:tcPr>
          <w:p w14:paraId="09750137" w14:textId="77777777" w:rsidR="003F21B2" w:rsidRDefault="00000000">
            <w:r>
              <w:t>Product development</w:t>
            </w:r>
          </w:p>
        </w:tc>
        <w:tc>
          <w:tcPr>
            <w:tcW w:w="2340" w:type="dxa"/>
          </w:tcPr>
          <w:p w14:paraId="09750138" w14:textId="77777777" w:rsidR="003F21B2" w:rsidRDefault="00000000">
            <w:r>
              <w:t>Internal</w:t>
            </w:r>
          </w:p>
        </w:tc>
        <w:tc>
          <w:tcPr>
            <w:tcW w:w="2340" w:type="dxa"/>
          </w:tcPr>
          <w:p w14:paraId="09750139" w14:textId="77777777" w:rsidR="003F21B2" w:rsidRDefault="00000000">
            <w:r>
              <w:t>Primary</w:t>
            </w:r>
          </w:p>
        </w:tc>
        <w:tc>
          <w:tcPr>
            <w:tcW w:w="2340" w:type="dxa"/>
          </w:tcPr>
          <w:p w14:paraId="0975013A" w14:textId="77777777" w:rsidR="003F21B2" w:rsidRDefault="00000000">
            <w:r>
              <w:t>Design for durability and repairability</w:t>
            </w:r>
          </w:p>
        </w:tc>
      </w:tr>
      <w:tr w:rsidR="003F21B2" w14:paraId="09750140" w14:textId="77777777">
        <w:tc>
          <w:tcPr>
            <w:tcW w:w="2340" w:type="dxa"/>
          </w:tcPr>
          <w:p w14:paraId="0975013C" w14:textId="77777777" w:rsidR="003F21B2" w:rsidRDefault="00000000">
            <w:r>
              <w:t>IT and data</w:t>
            </w:r>
          </w:p>
        </w:tc>
        <w:tc>
          <w:tcPr>
            <w:tcW w:w="2340" w:type="dxa"/>
          </w:tcPr>
          <w:p w14:paraId="0975013D" w14:textId="77777777" w:rsidR="003F21B2" w:rsidRDefault="00000000">
            <w:r>
              <w:t>Internal</w:t>
            </w:r>
          </w:p>
        </w:tc>
        <w:tc>
          <w:tcPr>
            <w:tcW w:w="2340" w:type="dxa"/>
          </w:tcPr>
          <w:p w14:paraId="0975013E" w14:textId="77777777" w:rsidR="003F21B2" w:rsidRDefault="00000000">
            <w:r>
              <w:t>Primary</w:t>
            </w:r>
          </w:p>
        </w:tc>
        <w:tc>
          <w:tcPr>
            <w:tcW w:w="2340" w:type="dxa"/>
          </w:tcPr>
          <w:p w14:paraId="0975013F" w14:textId="77777777" w:rsidR="003F21B2" w:rsidRDefault="00000000">
            <w:r>
              <w:t>Platform build, data security, integration</w:t>
            </w:r>
          </w:p>
        </w:tc>
      </w:tr>
      <w:tr w:rsidR="003F21B2" w14:paraId="09750145" w14:textId="77777777">
        <w:tc>
          <w:tcPr>
            <w:tcW w:w="2340" w:type="dxa"/>
          </w:tcPr>
          <w:p w14:paraId="09750141" w14:textId="77777777" w:rsidR="003F21B2" w:rsidRDefault="00000000">
            <w:r>
              <w:t>Marketing and sales</w:t>
            </w:r>
          </w:p>
        </w:tc>
        <w:tc>
          <w:tcPr>
            <w:tcW w:w="2340" w:type="dxa"/>
          </w:tcPr>
          <w:p w14:paraId="09750142" w14:textId="77777777" w:rsidR="003F21B2" w:rsidRDefault="00000000">
            <w:r>
              <w:t>Internal</w:t>
            </w:r>
          </w:p>
        </w:tc>
        <w:tc>
          <w:tcPr>
            <w:tcW w:w="2340" w:type="dxa"/>
          </w:tcPr>
          <w:p w14:paraId="09750143" w14:textId="77777777" w:rsidR="003F21B2" w:rsidRDefault="00000000">
            <w:r>
              <w:t>Primary</w:t>
            </w:r>
          </w:p>
        </w:tc>
        <w:tc>
          <w:tcPr>
            <w:tcW w:w="2340" w:type="dxa"/>
          </w:tcPr>
          <w:p w14:paraId="09750144" w14:textId="77777777" w:rsidR="003F21B2" w:rsidRDefault="00000000">
            <w:r>
              <w:t>Customer acquisition, claim messaging</w:t>
            </w:r>
          </w:p>
        </w:tc>
      </w:tr>
      <w:tr w:rsidR="003F21B2" w14:paraId="0975014A" w14:textId="77777777">
        <w:tc>
          <w:tcPr>
            <w:tcW w:w="2340" w:type="dxa"/>
          </w:tcPr>
          <w:p w14:paraId="09750146" w14:textId="77777777" w:rsidR="003F21B2" w:rsidRDefault="00000000">
            <w:r>
              <w:t>Customer service</w:t>
            </w:r>
          </w:p>
        </w:tc>
        <w:tc>
          <w:tcPr>
            <w:tcW w:w="2340" w:type="dxa"/>
          </w:tcPr>
          <w:p w14:paraId="09750147" w14:textId="77777777" w:rsidR="003F21B2" w:rsidRDefault="00000000">
            <w:r>
              <w:t>Internal</w:t>
            </w:r>
          </w:p>
        </w:tc>
        <w:tc>
          <w:tcPr>
            <w:tcW w:w="2340" w:type="dxa"/>
          </w:tcPr>
          <w:p w14:paraId="09750148" w14:textId="77777777" w:rsidR="003F21B2" w:rsidRDefault="00000000">
            <w:r>
              <w:t>Primary</w:t>
            </w:r>
          </w:p>
        </w:tc>
        <w:tc>
          <w:tcPr>
            <w:tcW w:w="2340" w:type="dxa"/>
          </w:tcPr>
          <w:p w14:paraId="09750149" w14:textId="77777777" w:rsidR="003F21B2" w:rsidRDefault="00000000">
            <w:r>
              <w:t>Handling repair, returns and complaints</w:t>
            </w:r>
          </w:p>
        </w:tc>
      </w:tr>
      <w:tr w:rsidR="003F21B2" w14:paraId="0975014F" w14:textId="77777777">
        <w:tc>
          <w:tcPr>
            <w:tcW w:w="2340" w:type="dxa"/>
          </w:tcPr>
          <w:p w14:paraId="0975014B" w14:textId="77777777" w:rsidR="003F21B2" w:rsidRDefault="00000000">
            <w:r>
              <w:t>Employees and trade unions</w:t>
            </w:r>
          </w:p>
        </w:tc>
        <w:tc>
          <w:tcPr>
            <w:tcW w:w="2340" w:type="dxa"/>
          </w:tcPr>
          <w:p w14:paraId="0975014C" w14:textId="77777777" w:rsidR="003F21B2" w:rsidRDefault="00000000">
            <w:r>
              <w:t>Internal</w:t>
            </w:r>
          </w:p>
        </w:tc>
        <w:tc>
          <w:tcPr>
            <w:tcW w:w="2340" w:type="dxa"/>
          </w:tcPr>
          <w:p w14:paraId="0975014D" w14:textId="77777777" w:rsidR="003F21B2" w:rsidRDefault="00000000">
            <w:r>
              <w:t>Secondary</w:t>
            </w:r>
          </w:p>
        </w:tc>
        <w:tc>
          <w:tcPr>
            <w:tcW w:w="2340" w:type="dxa"/>
          </w:tcPr>
          <w:p w14:paraId="0975014E" w14:textId="77777777" w:rsidR="003F21B2" w:rsidRDefault="00000000">
            <w:r>
              <w:t>Workload, training, job design</w:t>
            </w:r>
          </w:p>
        </w:tc>
      </w:tr>
      <w:tr w:rsidR="003F21B2" w14:paraId="09750154" w14:textId="77777777">
        <w:tc>
          <w:tcPr>
            <w:tcW w:w="2340" w:type="dxa"/>
          </w:tcPr>
          <w:p w14:paraId="09750150" w14:textId="77777777" w:rsidR="003F21B2" w:rsidRDefault="00000000">
            <w:r>
              <w:t>Shareholders and investors</w:t>
            </w:r>
          </w:p>
        </w:tc>
        <w:tc>
          <w:tcPr>
            <w:tcW w:w="2340" w:type="dxa"/>
          </w:tcPr>
          <w:p w14:paraId="09750151" w14:textId="77777777" w:rsidR="003F21B2" w:rsidRDefault="00000000">
            <w:r>
              <w:t>External</w:t>
            </w:r>
          </w:p>
        </w:tc>
        <w:tc>
          <w:tcPr>
            <w:tcW w:w="2340" w:type="dxa"/>
          </w:tcPr>
          <w:p w14:paraId="09750152" w14:textId="77777777" w:rsidR="003F21B2" w:rsidRDefault="00000000">
            <w:r>
              <w:t>Primary</w:t>
            </w:r>
          </w:p>
        </w:tc>
        <w:tc>
          <w:tcPr>
            <w:tcW w:w="2340" w:type="dxa"/>
          </w:tcPr>
          <w:p w14:paraId="09750153" w14:textId="77777777" w:rsidR="003F21B2" w:rsidRDefault="00000000">
            <w:r>
              <w:t>Long-term value, ESG disclosure</w:t>
            </w:r>
          </w:p>
        </w:tc>
      </w:tr>
      <w:tr w:rsidR="003F21B2" w14:paraId="09750159" w14:textId="77777777">
        <w:tc>
          <w:tcPr>
            <w:tcW w:w="2340" w:type="dxa"/>
          </w:tcPr>
          <w:p w14:paraId="09750155" w14:textId="77777777" w:rsidR="003F21B2" w:rsidRDefault="00000000">
            <w:r>
              <w:t>Tier-one and tier-two suppliers</w:t>
            </w:r>
          </w:p>
        </w:tc>
        <w:tc>
          <w:tcPr>
            <w:tcW w:w="2340" w:type="dxa"/>
          </w:tcPr>
          <w:p w14:paraId="09750156" w14:textId="77777777" w:rsidR="003F21B2" w:rsidRDefault="00000000">
            <w:r>
              <w:t>External</w:t>
            </w:r>
          </w:p>
        </w:tc>
        <w:tc>
          <w:tcPr>
            <w:tcW w:w="2340" w:type="dxa"/>
          </w:tcPr>
          <w:p w14:paraId="09750157" w14:textId="77777777" w:rsidR="003F21B2" w:rsidRDefault="00000000">
            <w:r>
              <w:t>Primary</w:t>
            </w:r>
          </w:p>
        </w:tc>
        <w:tc>
          <w:tcPr>
            <w:tcW w:w="2340" w:type="dxa"/>
          </w:tcPr>
          <w:p w14:paraId="09750158" w14:textId="77777777" w:rsidR="003F21B2" w:rsidRDefault="00000000">
            <w:r>
              <w:t>Data burden, commercial continuity</w:t>
            </w:r>
          </w:p>
        </w:tc>
      </w:tr>
      <w:tr w:rsidR="003F21B2" w14:paraId="0975015E" w14:textId="77777777">
        <w:tc>
          <w:tcPr>
            <w:tcW w:w="2340" w:type="dxa"/>
          </w:tcPr>
          <w:p w14:paraId="0975015A" w14:textId="77777777" w:rsidR="003F21B2" w:rsidRDefault="00000000">
            <w:proofErr w:type="gramStart"/>
            <w:r>
              <w:t>Logistics</w:t>
            </w:r>
            <w:proofErr w:type="gramEnd"/>
            <w:r>
              <w:t xml:space="preserve"> and reverse-logistics partners</w:t>
            </w:r>
          </w:p>
        </w:tc>
        <w:tc>
          <w:tcPr>
            <w:tcW w:w="2340" w:type="dxa"/>
          </w:tcPr>
          <w:p w14:paraId="0975015B" w14:textId="77777777" w:rsidR="003F21B2" w:rsidRDefault="00000000">
            <w:r>
              <w:t>External</w:t>
            </w:r>
          </w:p>
        </w:tc>
        <w:tc>
          <w:tcPr>
            <w:tcW w:w="2340" w:type="dxa"/>
          </w:tcPr>
          <w:p w14:paraId="0975015C" w14:textId="77777777" w:rsidR="003F21B2" w:rsidRDefault="00000000">
            <w:r>
              <w:t>Primary</w:t>
            </w:r>
          </w:p>
        </w:tc>
        <w:tc>
          <w:tcPr>
            <w:tcW w:w="2340" w:type="dxa"/>
          </w:tcPr>
          <w:p w14:paraId="0975015D" w14:textId="77777777" w:rsidR="003F21B2" w:rsidRDefault="00000000">
            <w:r>
              <w:t>Collection volumes, route economics</w:t>
            </w:r>
          </w:p>
        </w:tc>
      </w:tr>
      <w:tr w:rsidR="003F21B2" w14:paraId="09750163" w14:textId="77777777">
        <w:tc>
          <w:tcPr>
            <w:tcW w:w="2340" w:type="dxa"/>
          </w:tcPr>
          <w:p w14:paraId="0975015F" w14:textId="77777777" w:rsidR="003F21B2" w:rsidRDefault="00000000">
            <w:r>
              <w:t xml:space="preserve">Customers (UK and </w:t>
            </w:r>
            <w:r>
              <w:lastRenderedPageBreak/>
              <w:t>international)</w:t>
            </w:r>
          </w:p>
        </w:tc>
        <w:tc>
          <w:tcPr>
            <w:tcW w:w="2340" w:type="dxa"/>
          </w:tcPr>
          <w:p w14:paraId="09750160" w14:textId="77777777" w:rsidR="003F21B2" w:rsidRDefault="00000000">
            <w:r>
              <w:lastRenderedPageBreak/>
              <w:t>External</w:t>
            </w:r>
          </w:p>
        </w:tc>
        <w:tc>
          <w:tcPr>
            <w:tcW w:w="2340" w:type="dxa"/>
          </w:tcPr>
          <w:p w14:paraId="09750161" w14:textId="77777777" w:rsidR="003F21B2" w:rsidRDefault="00000000">
            <w:r>
              <w:t>Primary</w:t>
            </w:r>
          </w:p>
        </w:tc>
        <w:tc>
          <w:tcPr>
            <w:tcW w:w="2340" w:type="dxa"/>
          </w:tcPr>
          <w:p w14:paraId="09750162" w14:textId="77777777" w:rsidR="003F21B2" w:rsidRDefault="00000000">
            <w:r>
              <w:t xml:space="preserve">Convenience, price, </w:t>
            </w:r>
            <w:r>
              <w:lastRenderedPageBreak/>
              <w:t>trust in claims</w:t>
            </w:r>
          </w:p>
        </w:tc>
      </w:tr>
      <w:tr w:rsidR="003F21B2" w14:paraId="09750168" w14:textId="77777777">
        <w:tc>
          <w:tcPr>
            <w:tcW w:w="2340" w:type="dxa"/>
          </w:tcPr>
          <w:p w14:paraId="09750164" w14:textId="77777777" w:rsidR="003F21B2" w:rsidRDefault="00000000">
            <w:r>
              <w:lastRenderedPageBreak/>
              <w:t>Regulators (CMA, EU authorities, data protection)</w:t>
            </w:r>
          </w:p>
        </w:tc>
        <w:tc>
          <w:tcPr>
            <w:tcW w:w="2340" w:type="dxa"/>
          </w:tcPr>
          <w:p w14:paraId="09750165" w14:textId="77777777" w:rsidR="003F21B2" w:rsidRDefault="00000000">
            <w:r>
              <w:t>External</w:t>
            </w:r>
          </w:p>
        </w:tc>
        <w:tc>
          <w:tcPr>
            <w:tcW w:w="2340" w:type="dxa"/>
          </w:tcPr>
          <w:p w14:paraId="09750166" w14:textId="77777777" w:rsidR="003F21B2" w:rsidRDefault="00000000">
            <w:r>
              <w:t>Primary</w:t>
            </w:r>
          </w:p>
        </w:tc>
        <w:tc>
          <w:tcPr>
            <w:tcW w:w="2340" w:type="dxa"/>
          </w:tcPr>
          <w:p w14:paraId="09750167" w14:textId="77777777" w:rsidR="003F21B2" w:rsidRDefault="00000000">
            <w:r>
              <w:t xml:space="preserve">Fair claims, </w:t>
            </w:r>
            <w:proofErr w:type="gramStart"/>
            <w:r>
              <w:t>consumer</w:t>
            </w:r>
            <w:proofErr w:type="gramEnd"/>
            <w:r>
              <w:t xml:space="preserve"> and data protection</w:t>
            </w:r>
          </w:p>
        </w:tc>
      </w:tr>
      <w:tr w:rsidR="003F21B2" w14:paraId="0975016D" w14:textId="77777777">
        <w:tc>
          <w:tcPr>
            <w:tcW w:w="2340" w:type="dxa"/>
          </w:tcPr>
          <w:p w14:paraId="09750169" w14:textId="77777777" w:rsidR="003F21B2" w:rsidRDefault="00000000">
            <w:r>
              <w:t>NGOs and certification bodies</w:t>
            </w:r>
          </w:p>
        </w:tc>
        <w:tc>
          <w:tcPr>
            <w:tcW w:w="2340" w:type="dxa"/>
          </w:tcPr>
          <w:p w14:paraId="0975016A" w14:textId="77777777" w:rsidR="003F21B2" w:rsidRDefault="00000000">
            <w:r>
              <w:t>External</w:t>
            </w:r>
          </w:p>
        </w:tc>
        <w:tc>
          <w:tcPr>
            <w:tcW w:w="2340" w:type="dxa"/>
          </w:tcPr>
          <w:p w14:paraId="0975016B" w14:textId="77777777" w:rsidR="003F21B2" w:rsidRDefault="00000000">
            <w:r>
              <w:t>Secondary</w:t>
            </w:r>
          </w:p>
        </w:tc>
        <w:tc>
          <w:tcPr>
            <w:tcW w:w="2340" w:type="dxa"/>
          </w:tcPr>
          <w:p w14:paraId="0975016C" w14:textId="77777777" w:rsidR="003F21B2" w:rsidRDefault="00000000">
            <w:r>
              <w:t>Verifiable impact, worker rights</w:t>
            </w:r>
          </w:p>
        </w:tc>
      </w:tr>
      <w:tr w:rsidR="003F21B2" w14:paraId="09750172" w14:textId="77777777">
        <w:tc>
          <w:tcPr>
            <w:tcW w:w="2340" w:type="dxa"/>
          </w:tcPr>
          <w:p w14:paraId="0975016E" w14:textId="77777777" w:rsidR="003F21B2" w:rsidRDefault="00000000">
            <w:r>
              <w:t>Local communities and councils</w:t>
            </w:r>
          </w:p>
        </w:tc>
        <w:tc>
          <w:tcPr>
            <w:tcW w:w="2340" w:type="dxa"/>
          </w:tcPr>
          <w:p w14:paraId="0975016F" w14:textId="77777777" w:rsidR="003F21B2" w:rsidRDefault="00000000">
            <w:r>
              <w:t>External</w:t>
            </w:r>
          </w:p>
        </w:tc>
        <w:tc>
          <w:tcPr>
            <w:tcW w:w="2340" w:type="dxa"/>
          </w:tcPr>
          <w:p w14:paraId="09750170" w14:textId="77777777" w:rsidR="003F21B2" w:rsidRDefault="00000000">
            <w:r>
              <w:t>Secondary</w:t>
            </w:r>
          </w:p>
        </w:tc>
        <w:tc>
          <w:tcPr>
            <w:tcW w:w="2340" w:type="dxa"/>
          </w:tcPr>
          <w:p w14:paraId="09750171" w14:textId="77777777" w:rsidR="003F21B2" w:rsidRDefault="00000000">
            <w:r>
              <w:t>Local jobs, waste reduction, repair access</w:t>
            </w:r>
          </w:p>
        </w:tc>
      </w:tr>
      <w:tr w:rsidR="003F21B2" w14:paraId="09750177" w14:textId="77777777">
        <w:tc>
          <w:tcPr>
            <w:tcW w:w="2340" w:type="dxa"/>
          </w:tcPr>
          <w:p w14:paraId="09750173" w14:textId="77777777" w:rsidR="003F21B2" w:rsidRDefault="00000000">
            <w:r>
              <w:t>Media and social influencers</w:t>
            </w:r>
          </w:p>
        </w:tc>
        <w:tc>
          <w:tcPr>
            <w:tcW w:w="2340" w:type="dxa"/>
          </w:tcPr>
          <w:p w14:paraId="09750174" w14:textId="77777777" w:rsidR="003F21B2" w:rsidRDefault="00000000">
            <w:r>
              <w:t>External</w:t>
            </w:r>
          </w:p>
        </w:tc>
        <w:tc>
          <w:tcPr>
            <w:tcW w:w="2340" w:type="dxa"/>
          </w:tcPr>
          <w:p w14:paraId="09750175" w14:textId="77777777" w:rsidR="003F21B2" w:rsidRDefault="00000000">
            <w:r>
              <w:t>Secondary</w:t>
            </w:r>
          </w:p>
        </w:tc>
        <w:tc>
          <w:tcPr>
            <w:tcW w:w="2340" w:type="dxa"/>
          </w:tcPr>
          <w:p w14:paraId="09750176" w14:textId="77777777" w:rsidR="003F21B2" w:rsidRDefault="00000000">
            <w:r>
              <w:t>Newsworthiness, scrutiny of claims</w:t>
            </w:r>
          </w:p>
        </w:tc>
      </w:tr>
      <w:tr w:rsidR="003F21B2" w14:paraId="0975017C" w14:textId="77777777">
        <w:tc>
          <w:tcPr>
            <w:tcW w:w="2340" w:type="dxa"/>
          </w:tcPr>
          <w:p w14:paraId="09750178" w14:textId="77777777" w:rsidR="003F21B2" w:rsidRDefault="00000000">
            <w:r>
              <w:t>Competitors and industry bodies</w:t>
            </w:r>
          </w:p>
        </w:tc>
        <w:tc>
          <w:tcPr>
            <w:tcW w:w="2340" w:type="dxa"/>
          </w:tcPr>
          <w:p w14:paraId="09750179" w14:textId="77777777" w:rsidR="003F21B2" w:rsidRDefault="00000000">
            <w:r>
              <w:t>External</w:t>
            </w:r>
          </w:p>
        </w:tc>
        <w:tc>
          <w:tcPr>
            <w:tcW w:w="2340" w:type="dxa"/>
          </w:tcPr>
          <w:p w14:paraId="0975017A" w14:textId="77777777" w:rsidR="003F21B2" w:rsidRDefault="00000000">
            <w:r>
              <w:t>Secondary</w:t>
            </w:r>
          </w:p>
        </w:tc>
        <w:tc>
          <w:tcPr>
            <w:tcW w:w="2340" w:type="dxa"/>
          </w:tcPr>
          <w:p w14:paraId="0975017B" w14:textId="77777777" w:rsidR="003F21B2" w:rsidRDefault="00000000">
            <w:r>
              <w:t>Standards, benchmarking, collaboration</w:t>
            </w:r>
          </w:p>
        </w:tc>
      </w:tr>
    </w:tbl>
    <w:p w14:paraId="0975017D" w14:textId="77777777" w:rsidR="003F21B2" w:rsidRDefault="00000000">
      <w:r>
        <w:t xml:space="preserve">The register exposes an important tension. </w:t>
      </w:r>
      <w:proofErr w:type="gramStart"/>
      <w:r>
        <w:t>Many</w:t>
      </w:r>
      <w:proofErr w:type="gramEnd"/>
      <w:r>
        <w:t xml:space="preserve"> stakeholders classified as secondary, notably NGOs and the media, have historically shaped retail sustainability agendas more forcefully than </w:t>
      </w:r>
      <w:proofErr w:type="gramStart"/>
      <w:r>
        <w:t>some</w:t>
      </w:r>
      <w:proofErr w:type="gramEnd"/>
      <w:r>
        <w:t xml:space="preserve"> primary actors. Following the 2013 Rana Plaza collapse, for example, NGO and union campaigning drove brands into the legally binding Bangladesh Accord on building safety. A primary/secondary label therefore describes formal relationships, not actual influence, which is why a power-based analysis </w:t>
      </w:r>
      <w:proofErr w:type="gramStart"/>
      <w:r>
        <w:t>is needed</w:t>
      </w:r>
      <w:proofErr w:type="gramEnd"/>
      <w:r>
        <w:t>.</w:t>
      </w:r>
    </w:p>
    <w:p w14:paraId="0975017E" w14:textId="77777777" w:rsidR="003F21B2" w:rsidRDefault="00000000">
      <w:pPr>
        <w:pStyle w:val="Heading3"/>
      </w:pPr>
      <w:r>
        <w:lastRenderedPageBreak/>
        <w:t>3.2 Power/interest matrix (Mendelow)</w:t>
      </w:r>
    </w:p>
    <w:p w14:paraId="0975017F" w14:textId="77777777" w:rsidR="003F21B2" w:rsidRDefault="00000000">
      <w:r>
        <w:rPr>
          <w:noProof/>
        </w:rPr>
        <w:drawing>
          <wp:inline distT="0" distB="0" distL="0" distR="0" wp14:anchorId="097502DF" wp14:editId="097502E0">
            <wp:extent cx="5486400" cy="3878035"/>
            <wp:effectExtent l="0" t="0" r="0" b="0"/>
            <wp:docPr id="1" name="image1" descr="Figure 1 · GreenPath 360 stakeholder power/interest matrix"/>
            <wp:cNvGraphicFramePr/>
            <a:graphic xmlns:a="http://schemas.openxmlformats.org/drawingml/2006/main">
              <a:graphicData uri="http://schemas.openxmlformats.org/drawingml/2006/picture">
                <pic:pic xmlns:pic="http://schemas.openxmlformats.org/drawingml/2006/picture">
                  <pic:nvPicPr>
                    <pic:cNvPr id="1" name="image1" descr="Figure 1 · GreenPath 360 stakeholder power/interest matrix"/>
                    <pic:cNvPicPr/>
                  </pic:nvPicPr>
                  <pic:blipFill>
                    <a:blip r:embed="rId5"/>
                    <a:stretch>
                      <a:fillRect/>
                    </a:stretch>
                  </pic:blipFill>
                  <pic:spPr>
                    <a:xfrm>
                      <a:off x="0" y="0"/>
                      <a:ext cx="5486400" cy="3878035"/>
                    </a:xfrm>
                    <a:prstGeom prst="rect">
                      <a:avLst/>
                    </a:prstGeom>
                  </pic:spPr>
                </pic:pic>
              </a:graphicData>
            </a:graphic>
          </wp:inline>
        </w:drawing>
      </w:r>
    </w:p>
    <w:p w14:paraId="09750180" w14:textId="77777777" w:rsidR="003F21B2" w:rsidRDefault="00000000">
      <w:r>
        <w:t>Figure 1 · GreenPath 360 stakeholder power/interest matrix</w:t>
      </w:r>
    </w:p>
    <w:p w14:paraId="09750181" w14:textId="77777777" w:rsidR="003F21B2" w:rsidRDefault="00000000">
      <w:r>
        <w:rPr>
          <w:i/>
        </w:rPr>
        <w:t>Figure 1: Stakeholder power/interest matrix for GreenPath 360 (author's analysis, adapted from Mendelow, 1991).</w:t>
      </w:r>
    </w:p>
    <w:p w14:paraId="09750182" w14:textId="77777777" w:rsidR="003F21B2" w:rsidRDefault="00000000">
      <w:r>
        <w:t xml:space="preserve">The matrix positions senior leadership, key suppliers, regulators, the sustainability </w:t>
      </w:r>
      <w:proofErr w:type="gramStart"/>
      <w:r>
        <w:t>team</w:t>
      </w:r>
      <w:proofErr w:type="gramEnd"/>
      <w:r>
        <w:t xml:space="preserve"> and core delivery functions as </w:t>
      </w:r>
      <w:r>
        <w:rPr>
          <w:b/>
        </w:rPr>
        <w:t>key players</w:t>
      </w:r>
      <w:r>
        <w:t xml:space="preserve"> requiring close management. Regulators belong here because, since the Digital Markets, Competition and Consumers Act 2024, the CMA can fine firms directly for unfair consumer practices. Customers sit at the boundary: individually they have little power, but collectively, and amplified through social media, they determine adoption and therefore success. Investors </w:t>
      </w:r>
      <w:proofErr w:type="gramStart"/>
      <w:r>
        <w:t xml:space="preserve">are </w:t>
      </w:r>
      <w:r>
        <w:rPr>
          <w:b/>
        </w:rPr>
        <w:t>kept</w:t>
      </w:r>
      <w:proofErr w:type="gramEnd"/>
      <w:r>
        <w:rPr>
          <w:b/>
        </w:rPr>
        <w:t xml:space="preserve"> satisfied</w:t>
      </w:r>
      <w:r>
        <w:t xml:space="preserve">: their interest is episodic, but their power to withdraw capital is considerable. NGOs, local communities, the </w:t>
      </w:r>
      <w:proofErr w:type="gramStart"/>
      <w:r>
        <w:t>media</w:t>
      </w:r>
      <w:proofErr w:type="gramEnd"/>
      <w:r>
        <w:t xml:space="preserve"> and store employees </w:t>
      </w:r>
      <w:proofErr w:type="gramStart"/>
      <w:r>
        <w:t xml:space="preserve">are </w:t>
      </w:r>
      <w:r>
        <w:rPr>
          <w:b/>
        </w:rPr>
        <w:t>kept</w:t>
      </w:r>
      <w:proofErr w:type="gramEnd"/>
      <w:r>
        <w:rPr>
          <w:b/>
        </w:rPr>
        <w:t xml:space="preserve"> informed</w:t>
      </w:r>
      <w:r>
        <w:t xml:space="preserve">, while competitors and industry bodies require </w:t>
      </w:r>
      <w:r>
        <w:rPr>
          <w:b/>
        </w:rPr>
        <w:t>minimal effort</w:t>
      </w:r>
      <w:r>
        <w:t xml:space="preserve"> beyond monitoring.</w:t>
      </w:r>
    </w:p>
    <w:p w14:paraId="09750183" w14:textId="77777777" w:rsidR="003F21B2" w:rsidRDefault="00000000">
      <w:r>
        <w:t xml:space="preserve">Mendelow's matrix </w:t>
      </w:r>
      <w:proofErr w:type="gramStart"/>
      <w:r>
        <w:t>is valued</w:t>
      </w:r>
      <w:proofErr w:type="gramEnd"/>
      <w:r>
        <w:t xml:space="preserve"> for its simplicity, but it is a static snapshot. Stakeholders move between quadrants as the project progresses: suppliers' interest will rise sharply when data obligations become contractual, and a single viral complaint can transform a "keep informed" community group into a key player overnight (Bryson, 2004). The map </w:t>
      </w:r>
      <w:proofErr w:type="gramStart"/>
      <w:r>
        <w:t>is therefore reviewed</w:t>
      </w:r>
      <w:proofErr w:type="gramEnd"/>
      <w:r>
        <w:t xml:space="preserve"> at each project gate rather than produced once.</w:t>
      </w:r>
    </w:p>
    <w:p w14:paraId="09750184" w14:textId="77777777" w:rsidR="003F21B2" w:rsidRDefault="00000000">
      <w:pPr>
        <w:pStyle w:val="Heading3"/>
      </w:pPr>
      <w:r>
        <w:lastRenderedPageBreak/>
        <w:t>3.3 Salience model</w:t>
      </w:r>
    </w:p>
    <w:p w14:paraId="09750185" w14:textId="77777777" w:rsidR="003F21B2" w:rsidRDefault="00000000">
      <w:r>
        <w:t xml:space="preserve">The salience model refines </w:t>
      </w:r>
      <w:proofErr w:type="spellStart"/>
      <w:r>
        <w:t>prioritisation</w:t>
      </w:r>
      <w:proofErr w:type="spellEnd"/>
      <w:r>
        <w:t xml:space="preserve"> by assessing three attributes: power to impose one's will, legitimacy of the claim and urgency of the claim (Mitchell, Agle and Wood, 1997).</w:t>
      </w:r>
    </w:p>
    <w:tbl>
      <w:tblPr>
        <w:tblStyle w:val="TableGrid"/>
        <w:tblW w:w="0" w:type="auto"/>
        <w:tblLayout w:type="fixed"/>
        <w:tblLook w:val="0420" w:firstRow="1" w:lastRow="0" w:firstColumn="0" w:lastColumn="0" w:noHBand="0" w:noVBand="1"/>
      </w:tblPr>
      <w:tblGrid>
        <w:gridCol w:w="1872"/>
        <w:gridCol w:w="1872"/>
        <w:gridCol w:w="1872"/>
        <w:gridCol w:w="1872"/>
        <w:gridCol w:w="1872"/>
      </w:tblGrid>
      <w:tr w:rsidR="003F21B2" w14:paraId="0975018B" w14:textId="77777777">
        <w:trPr>
          <w:tblHeader/>
        </w:trPr>
        <w:tc>
          <w:tcPr>
            <w:tcW w:w="1872" w:type="dxa"/>
            <w:shd w:val="clear" w:color="auto" w:fill="F2F2F2"/>
          </w:tcPr>
          <w:p w14:paraId="09750186" w14:textId="77777777" w:rsidR="003F21B2" w:rsidRDefault="00000000">
            <w:r>
              <w:t>Stakeholder</w:t>
            </w:r>
          </w:p>
        </w:tc>
        <w:tc>
          <w:tcPr>
            <w:tcW w:w="1872" w:type="dxa"/>
            <w:shd w:val="clear" w:color="auto" w:fill="F2F2F2"/>
          </w:tcPr>
          <w:p w14:paraId="09750187" w14:textId="77777777" w:rsidR="003F21B2" w:rsidRDefault="00000000">
            <w:r>
              <w:t>Power</w:t>
            </w:r>
          </w:p>
        </w:tc>
        <w:tc>
          <w:tcPr>
            <w:tcW w:w="1872" w:type="dxa"/>
            <w:shd w:val="clear" w:color="auto" w:fill="F2F2F2"/>
          </w:tcPr>
          <w:p w14:paraId="09750188" w14:textId="77777777" w:rsidR="003F21B2" w:rsidRDefault="00000000">
            <w:r>
              <w:t>Legitimacy</w:t>
            </w:r>
          </w:p>
        </w:tc>
        <w:tc>
          <w:tcPr>
            <w:tcW w:w="1872" w:type="dxa"/>
            <w:shd w:val="clear" w:color="auto" w:fill="F2F2F2"/>
          </w:tcPr>
          <w:p w14:paraId="09750189" w14:textId="77777777" w:rsidR="003F21B2" w:rsidRDefault="00000000">
            <w:r>
              <w:t>Urgency</w:t>
            </w:r>
          </w:p>
        </w:tc>
        <w:tc>
          <w:tcPr>
            <w:tcW w:w="1872" w:type="dxa"/>
            <w:shd w:val="clear" w:color="auto" w:fill="F2F2F2"/>
          </w:tcPr>
          <w:p w14:paraId="0975018A" w14:textId="77777777" w:rsidR="003F21B2" w:rsidRDefault="00000000">
            <w:r>
              <w:t>Salience class</w:t>
            </w:r>
          </w:p>
        </w:tc>
      </w:tr>
      <w:tr w:rsidR="003F21B2" w14:paraId="09750191" w14:textId="77777777">
        <w:tc>
          <w:tcPr>
            <w:tcW w:w="1872" w:type="dxa"/>
          </w:tcPr>
          <w:p w14:paraId="0975018C" w14:textId="77777777" w:rsidR="003F21B2" w:rsidRDefault="00000000">
            <w:r>
              <w:t>Senior leadership</w:t>
            </w:r>
          </w:p>
        </w:tc>
        <w:tc>
          <w:tcPr>
            <w:tcW w:w="1872" w:type="dxa"/>
          </w:tcPr>
          <w:p w14:paraId="0975018D" w14:textId="77777777" w:rsidR="003F21B2" w:rsidRDefault="00000000">
            <w:r>
              <w:t>High</w:t>
            </w:r>
          </w:p>
        </w:tc>
        <w:tc>
          <w:tcPr>
            <w:tcW w:w="1872" w:type="dxa"/>
          </w:tcPr>
          <w:p w14:paraId="0975018E" w14:textId="77777777" w:rsidR="003F21B2" w:rsidRDefault="00000000">
            <w:r>
              <w:t>High</w:t>
            </w:r>
          </w:p>
        </w:tc>
        <w:tc>
          <w:tcPr>
            <w:tcW w:w="1872" w:type="dxa"/>
          </w:tcPr>
          <w:p w14:paraId="0975018F" w14:textId="77777777" w:rsidR="003F21B2" w:rsidRDefault="00000000">
            <w:r>
              <w:t>High</w:t>
            </w:r>
          </w:p>
        </w:tc>
        <w:tc>
          <w:tcPr>
            <w:tcW w:w="1872" w:type="dxa"/>
          </w:tcPr>
          <w:p w14:paraId="09750190" w14:textId="77777777" w:rsidR="003F21B2" w:rsidRDefault="00000000">
            <w:r>
              <w:t>Definitive</w:t>
            </w:r>
          </w:p>
        </w:tc>
      </w:tr>
      <w:tr w:rsidR="003F21B2" w14:paraId="09750197" w14:textId="77777777">
        <w:tc>
          <w:tcPr>
            <w:tcW w:w="1872" w:type="dxa"/>
          </w:tcPr>
          <w:p w14:paraId="09750192" w14:textId="77777777" w:rsidR="003F21B2" w:rsidRDefault="00000000">
            <w:r>
              <w:t>Regulators (CMA, EU)</w:t>
            </w:r>
          </w:p>
        </w:tc>
        <w:tc>
          <w:tcPr>
            <w:tcW w:w="1872" w:type="dxa"/>
          </w:tcPr>
          <w:p w14:paraId="09750193" w14:textId="77777777" w:rsidR="003F21B2" w:rsidRDefault="00000000">
            <w:r>
              <w:t>High</w:t>
            </w:r>
          </w:p>
        </w:tc>
        <w:tc>
          <w:tcPr>
            <w:tcW w:w="1872" w:type="dxa"/>
          </w:tcPr>
          <w:p w14:paraId="09750194" w14:textId="77777777" w:rsidR="003F21B2" w:rsidRDefault="00000000">
            <w:r>
              <w:t>High</w:t>
            </w:r>
          </w:p>
        </w:tc>
        <w:tc>
          <w:tcPr>
            <w:tcW w:w="1872" w:type="dxa"/>
          </w:tcPr>
          <w:p w14:paraId="09750195" w14:textId="77777777" w:rsidR="003F21B2" w:rsidRDefault="00000000">
            <w:r>
              <w:t>Medium–High</w:t>
            </w:r>
          </w:p>
        </w:tc>
        <w:tc>
          <w:tcPr>
            <w:tcW w:w="1872" w:type="dxa"/>
          </w:tcPr>
          <w:p w14:paraId="09750196" w14:textId="77777777" w:rsidR="003F21B2" w:rsidRDefault="00000000">
            <w:r>
              <w:t>Definitive</w:t>
            </w:r>
          </w:p>
        </w:tc>
      </w:tr>
      <w:tr w:rsidR="003F21B2" w14:paraId="0975019D" w14:textId="77777777">
        <w:tc>
          <w:tcPr>
            <w:tcW w:w="1872" w:type="dxa"/>
          </w:tcPr>
          <w:p w14:paraId="09750198" w14:textId="77777777" w:rsidR="003F21B2" w:rsidRDefault="00000000">
            <w:r>
              <w:t>Key suppliers</w:t>
            </w:r>
          </w:p>
        </w:tc>
        <w:tc>
          <w:tcPr>
            <w:tcW w:w="1872" w:type="dxa"/>
          </w:tcPr>
          <w:p w14:paraId="09750199" w14:textId="77777777" w:rsidR="003F21B2" w:rsidRDefault="00000000">
            <w:r>
              <w:t>High</w:t>
            </w:r>
          </w:p>
        </w:tc>
        <w:tc>
          <w:tcPr>
            <w:tcW w:w="1872" w:type="dxa"/>
          </w:tcPr>
          <w:p w14:paraId="0975019A" w14:textId="77777777" w:rsidR="003F21B2" w:rsidRDefault="00000000">
            <w:r>
              <w:t>High</w:t>
            </w:r>
          </w:p>
        </w:tc>
        <w:tc>
          <w:tcPr>
            <w:tcW w:w="1872" w:type="dxa"/>
          </w:tcPr>
          <w:p w14:paraId="0975019B" w14:textId="77777777" w:rsidR="003F21B2" w:rsidRDefault="00000000">
            <w:r>
              <w:t>High</w:t>
            </w:r>
          </w:p>
        </w:tc>
        <w:tc>
          <w:tcPr>
            <w:tcW w:w="1872" w:type="dxa"/>
          </w:tcPr>
          <w:p w14:paraId="0975019C" w14:textId="77777777" w:rsidR="003F21B2" w:rsidRDefault="00000000">
            <w:r>
              <w:t>Definitive</w:t>
            </w:r>
          </w:p>
        </w:tc>
      </w:tr>
      <w:tr w:rsidR="003F21B2" w14:paraId="097501A3" w14:textId="77777777">
        <w:tc>
          <w:tcPr>
            <w:tcW w:w="1872" w:type="dxa"/>
          </w:tcPr>
          <w:p w14:paraId="0975019E" w14:textId="77777777" w:rsidR="003F21B2" w:rsidRDefault="00000000">
            <w:r>
              <w:t>Customers</w:t>
            </w:r>
          </w:p>
        </w:tc>
        <w:tc>
          <w:tcPr>
            <w:tcW w:w="1872" w:type="dxa"/>
          </w:tcPr>
          <w:p w14:paraId="0975019F" w14:textId="77777777" w:rsidR="003F21B2" w:rsidRDefault="00000000">
            <w:r>
              <w:t>Medium</w:t>
            </w:r>
          </w:p>
        </w:tc>
        <w:tc>
          <w:tcPr>
            <w:tcW w:w="1872" w:type="dxa"/>
          </w:tcPr>
          <w:p w14:paraId="097501A0" w14:textId="77777777" w:rsidR="003F21B2" w:rsidRDefault="00000000">
            <w:r>
              <w:t>High</w:t>
            </w:r>
          </w:p>
        </w:tc>
        <w:tc>
          <w:tcPr>
            <w:tcW w:w="1872" w:type="dxa"/>
          </w:tcPr>
          <w:p w14:paraId="097501A1" w14:textId="77777777" w:rsidR="003F21B2" w:rsidRDefault="00000000">
            <w:r>
              <w:t>High</w:t>
            </w:r>
          </w:p>
        </w:tc>
        <w:tc>
          <w:tcPr>
            <w:tcW w:w="1872" w:type="dxa"/>
          </w:tcPr>
          <w:p w14:paraId="097501A2" w14:textId="77777777" w:rsidR="003F21B2" w:rsidRDefault="00000000">
            <w:r>
              <w:t>Definitive (collectively)</w:t>
            </w:r>
          </w:p>
        </w:tc>
      </w:tr>
      <w:tr w:rsidR="003F21B2" w14:paraId="097501A9" w14:textId="77777777">
        <w:tc>
          <w:tcPr>
            <w:tcW w:w="1872" w:type="dxa"/>
          </w:tcPr>
          <w:p w14:paraId="097501A4" w14:textId="77777777" w:rsidR="003F21B2" w:rsidRDefault="00000000">
            <w:r>
              <w:t>Investors</w:t>
            </w:r>
          </w:p>
        </w:tc>
        <w:tc>
          <w:tcPr>
            <w:tcW w:w="1872" w:type="dxa"/>
          </w:tcPr>
          <w:p w14:paraId="097501A5" w14:textId="77777777" w:rsidR="003F21B2" w:rsidRDefault="00000000">
            <w:r>
              <w:t>High</w:t>
            </w:r>
          </w:p>
        </w:tc>
        <w:tc>
          <w:tcPr>
            <w:tcW w:w="1872" w:type="dxa"/>
          </w:tcPr>
          <w:p w14:paraId="097501A6" w14:textId="77777777" w:rsidR="003F21B2" w:rsidRDefault="00000000">
            <w:r>
              <w:t>High</w:t>
            </w:r>
          </w:p>
        </w:tc>
        <w:tc>
          <w:tcPr>
            <w:tcW w:w="1872" w:type="dxa"/>
          </w:tcPr>
          <w:p w14:paraId="097501A7" w14:textId="77777777" w:rsidR="003F21B2" w:rsidRDefault="00000000">
            <w:r>
              <w:t>Low</w:t>
            </w:r>
          </w:p>
        </w:tc>
        <w:tc>
          <w:tcPr>
            <w:tcW w:w="1872" w:type="dxa"/>
          </w:tcPr>
          <w:p w14:paraId="097501A8" w14:textId="77777777" w:rsidR="003F21B2" w:rsidRDefault="00000000">
            <w:r>
              <w:t>Dominant</w:t>
            </w:r>
          </w:p>
        </w:tc>
      </w:tr>
      <w:tr w:rsidR="003F21B2" w14:paraId="097501AF" w14:textId="77777777">
        <w:tc>
          <w:tcPr>
            <w:tcW w:w="1872" w:type="dxa"/>
          </w:tcPr>
          <w:p w14:paraId="097501AA" w14:textId="77777777" w:rsidR="003F21B2" w:rsidRDefault="00000000">
            <w:r>
              <w:t>IT, operations, procurement</w:t>
            </w:r>
          </w:p>
        </w:tc>
        <w:tc>
          <w:tcPr>
            <w:tcW w:w="1872" w:type="dxa"/>
          </w:tcPr>
          <w:p w14:paraId="097501AB" w14:textId="77777777" w:rsidR="003F21B2" w:rsidRDefault="00000000">
            <w:r>
              <w:t>Medium</w:t>
            </w:r>
          </w:p>
        </w:tc>
        <w:tc>
          <w:tcPr>
            <w:tcW w:w="1872" w:type="dxa"/>
          </w:tcPr>
          <w:p w14:paraId="097501AC" w14:textId="77777777" w:rsidR="003F21B2" w:rsidRDefault="00000000">
            <w:r>
              <w:t>High</w:t>
            </w:r>
          </w:p>
        </w:tc>
        <w:tc>
          <w:tcPr>
            <w:tcW w:w="1872" w:type="dxa"/>
          </w:tcPr>
          <w:p w14:paraId="097501AD" w14:textId="77777777" w:rsidR="003F21B2" w:rsidRDefault="00000000">
            <w:r>
              <w:t>High</w:t>
            </w:r>
          </w:p>
        </w:tc>
        <w:tc>
          <w:tcPr>
            <w:tcW w:w="1872" w:type="dxa"/>
          </w:tcPr>
          <w:p w14:paraId="097501AE" w14:textId="77777777" w:rsidR="003F21B2" w:rsidRDefault="00000000">
            <w:r>
              <w:t>Dependent → Definitive</w:t>
            </w:r>
          </w:p>
        </w:tc>
      </w:tr>
      <w:tr w:rsidR="003F21B2" w14:paraId="097501B5" w14:textId="77777777">
        <w:tc>
          <w:tcPr>
            <w:tcW w:w="1872" w:type="dxa"/>
          </w:tcPr>
          <w:p w14:paraId="097501B0" w14:textId="77777777" w:rsidR="003F21B2" w:rsidRDefault="00000000">
            <w:r>
              <w:t>NGOs</w:t>
            </w:r>
          </w:p>
        </w:tc>
        <w:tc>
          <w:tcPr>
            <w:tcW w:w="1872" w:type="dxa"/>
          </w:tcPr>
          <w:p w14:paraId="097501B1" w14:textId="77777777" w:rsidR="003F21B2" w:rsidRDefault="00000000">
            <w:r>
              <w:t>Low–Medium</w:t>
            </w:r>
          </w:p>
        </w:tc>
        <w:tc>
          <w:tcPr>
            <w:tcW w:w="1872" w:type="dxa"/>
          </w:tcPr>
          <w:p w14:paraId="097501B2" w14:textId="77777777" w:rsidR="003F21B2" w:rsidRDefault="00000000">
            <w:r>
              <w:t>High</w:t>
            </w:r>
          </w:p>
        </w:tc>
        <w:tc>
          <w:tcPr>
            <w:tcW w:w="1872" w:type="dxa"/>
          </w:tcPr>
          <w:p w14:paraId="097501B3" w14:textId="77777777" w:rsidR="003F21B2" w:rsidRDefault="00000000">
            <w:r>
              <w:t>High</w:t>
            </w:r>
          </w:p>
        </w:tc>
        <w:tc>
          <w:tcPr>
            <w:tcW w:w="1872" w:type="dxa"/>
          </w:tcPr>
          <w:p w14:paraId="097501B4" w14:textId="77777777" w:rsidR="003F21B2" w:rsidRDefault="00000000">
            <w:r>
              <w:t>Dependent</w:t>
            </w:r>
          </w:p>
        </w:tc>
      </w:tr>
      <w:tr w:rsidR="003F21B2" w14:paraId="097501BB" w14:textId="77777777">
        <w:tc>
          <w:tcPr>
            <w:tcW w:w="1872" w:type="dxa"/>
          </w:tcPr>
          <w:p w14:paraId="097501B6" w14:textId="77777777" w:rsidR="003F21B2" w:rsidRDefault="00000000">
            <w:r>
              <w:t>Local communities</w:t>
            </w:r>
          </w:p>
        </w:tc>
        <w:tc>
          <w:tcPr>
            <w:tcW w:w="1872" w:type="dxa"/>
          </w:tcPr>
          <w:p w14:paraId="097501B7" w14:textId="77777777" w:rsidR="003F21B2" w:rsidRDefault="00000000">
            <w:r>
              <w:t>Low</w:t>
            </w:r>
          </w:p>
        </w:tc>
        <w:tc>
          <w:tcPr>
            <w:tcW w:w="1872" w:type="dxa"/>
          </w:tcPr>
          <w:p w14:paraId="097501B8" w14:textId="77777777" w:rsidR="003F21B2" w:rsidRDefault="00000000">
            <w:r>
              <w:t>High</w:t>
            </w:r>
          </w:p>
        </w:tc>
        <w:tc>
          <w:tcPr>
            <w:tcW w:w="1872" w:type="dxa"/>
          </w:tcPr>
          <w:p w14:paraId="097501B9" w14:textId="77777777" w:rsidR="003F21B2" w:rsidRDefault="00000000">
            <w:r>
              <w:t>Medium</w:t>
            </w:r>
          </w:p>
        </w:tc>
        <w:tc>
          <w:tcPr>
            <w:tcW w:w="1872" w:type="dxa"/>
          </w:tcPr>
          <w:p w14:paraId="097501BA" w14:textId="77777777" w:rsidR="003F21B2" w:rsidRDefault="00000000">
            <w:r>
              <w:t>Discretionary / Dependent</w:t>
            </w:r>
          </w:p>
        </w:tc>
      </w:tr>
      <w:tr w:rsidR="003F21B2" w14:paraId="097501C1" w14:textId="77777777">
        <w:tc>
          <w:tcPr>
            <w:tcW w:w="1872" w:type="dxa"/>
          </w:tcPr>
          <w:p w14:paraId="097501BC" w14:textId="77777777" w:rsidR="003F21B2" w:rsidRDefault="00000000">
            <w:r>
              <w:t>Media and activists</w:t>
            </w:r>
          </w:p>
        </w:tc>
        <w:tc>
          <w:tcPr>
            <w:tcW w:w="1872" w:type="dxa"/>
          </w:tcPr>
          <w:p w14:paraId="097501BD" w14:textId="77777777" w:rsidR="003F21B2" w:rsidRDefault="00000000">
            <w:r>
              <w:t>Medium</w:t>
            </w:r>
          </w:p>
        </w:tc>
        <w:tc>
          <w:tcPr>
            <w:tcW w:w="1872" w:type="dxa"/>
          </w:tcPr>
          <w:p w14:paraId="097501BE" w14:textId="77777777" w:rsidR="003F21B2" w:rsidRDefault="00000000">
            <w:r>
              <w:t>Low–Medium</w:t>
            </w:r>
          </w:p>
        </w:tc>
        <w:tc>
          <w:tcPr>
            <w:tcW w:w="1872" w:type="dxa"/>
          </w:tcPr>
          <w:p w14:paraId="097501BF" w14:textId="77777777" w:rsidR="003F21B2" w:rsidRDefault="00000000">
            <w:r>
              <w:t>High</w:t>
            </w:r>
          </w:p>
        </w:tc>
        <w:tc>
          <w:tcPr>
            <w:tcW w:w="1872" w:type="dxa"/>
          </w:tcPr>
          <w:p w14:paraId="097501C0" w14:textId="77777777" w:rsidR="003F21B2" w:rsidRDefault="00000000">
            <w:r>
              <w:t>Dangerous</w:t>
            </w:r>
          </w:p>
        </w:tc>
      </w:tr>
    </w:tbl>
    <w:p w14:paraId="097501C2" w14:textId="77777777" w:rsidR="003F21B2" w:rsidRDefault="00000000">
      <w:r>
        <w:t xml:space="preserve">Two insights emerge that the Mendelow matrix alone obscures. First, NGOs are "dependent" stakeholders: they lack direct power but can borrow it from regulators, </w:t>
      </w:r>
      <w:proofErr w:type="gramStart"/>
      <w:r>
        <w:t>media</w:t>
      </w:r>
      <w:proofErr w:type="gramEnd"/>
      <w:r>
        <w:t xml:space="preserve"> or customers. Engaging them early as critical friends therefore functions as risk prevention. Second, activists and parts of the media fall into the "dangerous" class, combining power and urgency without necessarily holding a legitimate claim, which warrants monitoring and transparent evidence rather than avoidance.</w:t>
      </w:r>
    </w:p>
    <w:p w14:paraId="097501C3" w14:textId="77777777" w:rsidR="003F21B2" w:rsidRDefault="00000000">
      <w:proofErr w:type="gramStart"/>
      <w:r>
        <w:t>The salience model nonetheless</w:t>
      </w:r>
      <w:proofErr w:type="gramEnd"/>
      <w:r>
        <w:t xml:space="preserve"> has limitations. Its attributes </w:t>
      </w:r>
      <w:proofErr w:type="gramStart"/>
      <w:r>
        <w:t>are perceived</w:t>
      </w:r>
      <w:proofErr w:type="gramEnd"/>
      <w:r>
        <w:t xml:space="preserve"> by managers and are therefore subjective, and it privileges stakeholders who can make themselves heard (Bryson, 2004). Future generations and the natural environment, </w:t>
      </w:r>
      <w:proofErr w:type="gramStart"/>
      <w:r>
        <w:t>arguably the</w:t>
      </w:r>
      <w:proofErr w:type="gramEnd"/>
      <w:r>
        <w:t xml:space="preserve"> most affected parties in a circular economy initiative, have no voice in the model. </w:t>
      </w:r>
      <w:proofErr w:type="spellStart"/>
      <w:r>
        <w:t>Hörisch</w:t>
      </w:r>
      <w:proofErr w:type="spellEnd"/>
      <w:r>
        <w:t xml:space="preserve">, Freeman and </w:t>
      </w:r>
      <w:proofErr w:type="spellStart"/>
      <w:r>
        <w:t>Schaltegger</w:t>
      </w:r>
      <w:proofErr w:type="spellEnd"/>
      <w:r>
        <w:t xml:space="preserve"> (2014) argue that sustainability management must deliberately give these interests representation, which this report addresses through an independent NGO adviser and a community panel (Section 5). Combining both frameworks thus provides a more defensible </w:t>
      </w:r>
      <w:proofErr w:type="spellStart"/>
      <w:r>
        <w:t>prioritisation</w:t>
      </w:r>
      <w:proofErr w:type="spellEnd"/>
      <w:r>
        <w:t xml:space="preserve"> than either alone.</w:t>
      </w:r>
    </w:p>
    <w:p w14:paraId="097501C4" w14:textId="77777777" w:rsidR="003F21B2" w:rsidRDefault="00000000">
      <w:pPr>
        <w:pStyle w:val="Heading2"/>
      </w:pPr>
      <w:r>
        <w:t>4. Roles, Responsibilities, Benefits and Challenges</w:t>
      </w:r>
    </w:p>
    <w:p w14:paraId="097501C5" w14:textId="77777777" w:rsidR="003F21B2" w:rsidRDefault="00000000">
      <w:r>
        <w:t xml:space="preserve">Each key stakeholder contributes distinct resources to GreenPath 360 but also faces constraints that, if ignored, become sources of resistance. The table </w:t>
      </w:r>
      <w:proofErr w:type="spellStart"/>
      <w:r>
        <w:t>summarises</w:t>
      </w:r>
      <w:proofErr w:type="spellEnd"/>
      <w:r>
        <w:t xml:space="preserve"> these for the definitive and key-player groups.</w:t>
      </w:r>
    </w:p>
    <w:tbl>
      <w:tblPr>
        <w:tblStyle w:val="TableGrid"/>
        <w:tblW w:w="0" w:type="auto"/>
        <w:tblLayout w:type="fixed"/>
        <w:tblLook w:val="0420" w:firstRow="1" w:lastRow="0" w:firstColumn="0" w:lastColumn="0" w:noHBand="0" w:noVBand="1"/>
      </w:tblPr>
      <w:tblGrid>
        <w:gridCol w:w="2340"/>
        <w:gridCol w:w="2340"/>
        <w:gridCol w:w="2340"/>
        <w:gridCol w:w="2340"/>
      </w:tblGrid>
      <w:tr w:rsidR="003F21B2" w14:paraId="097501CA" w14:textId="77777777">
        <w:trPr>
          <w:tblHeader/>
        </w:trPr>
        <w:tc>
          <w:tcPr>
            <w:tcW w:w="2340" w:type="dxa"/>
            <w:shd w:val="clear" w:color="auto" w:fill="F2F2F2"/>
          </w:tcPr>
          <w:p w14:paraId="097501C6" w14:textId="77777777" w:rsidR="003F21B2" w:rsidRDefault="00000000">
            <w:r>
              <w:lastRenderedPageBreak/>
              <w:t>Stakeholder</w:t>
            </w:r>
          </w:p>
        </w:tc>
        <w:tc>
          <w:tcPr>
            <w:tcW w:w="2340" w:type="dxa"/>
            <w:shd w:val="clear" w:color="auto" w:fill="F2F2F2"/>
          </w:tcPr>
          <w:p w14:paraId="097501C7" w14:textId="77777777" w:rsidR="003F21B2" w:rsidRDefault="00000000">
            <w:r>
              <w:t>Role and responsibilities</w:t>
            </w:r>
          </w:p>
        </w:tc>
        <w:tc>
          <w:tcPr>
            <w:tcW w:w="2340" w:type="dxa"/>
            <w:shd w:val="clear" w:color="auto" w:fill="F2F2F2"/>
          </w:tcPr>
          <w:p w14:paraId="097501C8" w14:textId="77777777" w:rsidR="003F21B2" w:rsidRDefault="00000000">
            <w:r>
              <w:t>Benefits brought</w:t>
            </w:r>
          </w:p>
        </w:tc>
        <w:tc>
          <w:tcPr>
            <w:tcW w:w="2340" w:type="dxa"/>
            <w:shd w:val="clear" w:color="auto" w:fill="F2F2F2"/>
          </w:tcPr>
          <w:p w14:paraId="097501C9" w14:textId="77777777" w:rsidR="003F21B2" w:rsidRDefault="00000000">
            <w:r>
              <w:t>Challenges faced</w:t>
            </w:r>
          </w:p>
        </w:tc>
      </w:tr>
      <w:tr w:rsidR="003F21B2" w14:paraId="097501CF" w14:textId="77777777">
        <w:tc>
          <w:tcPr>
            <w:tcW w:w="2340" w:type="dxa"/>
          </w:tcPr>
          <w:p w14:paraId="097501CB" w14:textId="77777777" w:rsidR="003F21B2" w:rsidRDefault="00000000">
            <w:r>
              <w:t>Senior leadership</w:t>
            </w:r>
          </w:p>
        </w:tc>
        <w:tc>
          <w:tcPr>
            <w:tcW w:w="2340" w:type="dxa"/>
          </w:tcPr>
          <w:p w14:paraId="097501CC" w14:textId="77777777" w:rsidR="003F21B2" w:rsidRDefault="00000000">
            <w:r>
              <w:t>Sponsor; approve budget; set targets; resolve escalations</w:t>
            </w:r>
          </w:p>
        </w:tc>
        <w:tc>
          <w:tcPr>
            <w:tcW w:w="2340" w:type="dxa"/>
          </w:tcPr>
          <w:p w14:paraId="097501CD" w14:textId="77777777" w:rsidR="003F21B2" w:rsidRDefault="00000000">
            <w:r>
              <w:t>Authority, resources, legitimacy</w:t>
            </w:r>
          </w:p>
        </w:tc>
        <w:tc>
          <w:tcPr>
            <w:tcW w:w="2340" w:type="dxa"/>
          </w:tcPr>
          <w:p w14:paraId="097501CE" w14:textId="77777777" w:rsidR="003F21B2" w:rsidRDefault="00000000">
            <w:r>
              <w:t>Short-term earnings pressure versus long payback</w:t>
            </w:r>
          </w:p>
        </w:tc>
      </w:tr>
      <w:tr w:rsidR="003F21B2" w14:paraId="097501D4" w14:textId="77777777">
        <w:tc>
          <w:tcPr>
            <w:tcW w:w="2340" w:type="dxa"/>
          </w:tcPr>
          <w:p w14:paraId="097501D0" w14:textId="77777777" w:rsidR="003F21B2" w:rsidRDefault="00000000">
            <w:r>
              <w:t>Sustainability team</w:t>
            </w:r>
          </w:p>
        </w:tc>
        <w:tc>
          <w:tcPr>
            <w:tcW w:w="2340" w:type="dxa"/>
          </w:tcPr>
          <w:p w14:paraId="097501D1" w14:textId="77777777" w:rsidR="003F21B2" w:rsidRDefault="00000000">
            <w:r>
              <w:t xml:space="preserve">Define impact metrics; verify claims; </w:t>
            </w:r>
            <w:proofErr w:type="gramStart"/>
            <w:r>
              <w:t>liaise</w:t>
            </w:r>
            <w:proofErr w:type="gramEnd"/>
            <w:r>
              <w:t xml:space="preserve"> with NGOs</w:t>
            </w:r>
          </w:p>
        </w:tc>
        <w:tc>
          <w:tcPr>
            <w:tcW w:w="2340" w:type="dxa"/>
          </w:tcPr>
          <w:p w14:paraId="097501D2" w14:textId="77777777" w:rsidR="003F21B2" w:rsidRDefault="00000000">
            <w:r>
              <w:t>Technical expertise, credibility</w:t>
            </w:r>
          </w:p>
        </w:tc>
        <w:tc>
          <w:tcPr>
            <w:tcW w:w="2340" w:type="dxa"/>
          </w:tcPr>
          <w:p w14:paraId="097501D3" w14:textId="77777777" w:rsidR="003F21B2" w:rsidRDefault="00000000">
            <w:r>
              <w:t>Limited authority over commercial functions</w:t>
            </w:r>
          </w:p>
        </w:tc>
      </w:tr>
      <w:tr w:rsidR="003F21B2" w14:paraId="097501D9" w14:textId="77777777">
        <w:tc>
          <w:tcPr>
            <w:tcW w:w="2340" w:type="dxa"/>
          </w:tcPr>
          <w:p w14:paraId="097501D5" w14:textId="77777777" w:rsidR="003F21B2" w:rsidRDefault="00000000">
            <w:r>
              <w:t>Procurement</w:t>
            </w:r>
          </w:p>
        </w:tc>
        <w:tc>
          <w:tcPr>
            <w:tcW w:w="2340" w:type="dxa"/>
          </w:tcPr>
          <w:p w14:paraId="097501D6" w14:textId="77777777" w:rsidR="003F21B2" w:rsidRDefault="00000000">
            <w:r>
              <w:t>Embed traceability clauses; onboard suppliers</w:t>
            </w:r>
          </w:p>
        </w:tc>
        <w:tc>
          <w:tcPr>
            <w:tcW w:w="2340" w:type="dxa"/>
          </w:tcPr>
          <w:p w14:paraId="097501D7" w14:textId="77777777" w:rsidR="003F21B2" w:rsidRDefault="00000000">
            <w:r>
              <w:t>Supplier leverage and data</w:t>
            </w:r>
          </w:p>
        </w:tc>
        <w:tc>
          <w:tcPr>
            <w:tcW w:w="2340" w:type="dxa"/>
          </w:tcPr>
          <w:p w14:paraId="097501D8" w14:textId="77777777" w:rsidR="003F21B2" w:rsidRDefault="00000000">
            <w:r>
              <w:t>Supplier pushback; cost increases</w:t>
            </w:r>
          </w:p>
        </w:tc>
      </w:tr>
      <w:tr w:rsidR="003F21B2" w14:paraId="097501DE" w14:textId="77777777">
        <w:tc>
          <w:tcPr>
            <w:tcW w:w="2340" w:type="dxa"/>
          </w:tcPr>
          <w:p w14:paraId="097501DA" w14:textId="77777777" w:rsidR="003F21B2" w:rsidRDefault="00000000">
            <w:r>
              <w:t>Product development</w:t>
            </w:r>
          </w:p>
        </w:tc>
        <w:tc>
          <w:tcPr>
            <w:tcW w:w="2340" w:type="dxa"/>
          </w:tcPr>
          <w:p w14:paraId="097501DB" w14:textId="77777777" w:rsidR="003F21B2" w:rsidRDefault="00000000">
            <w:r>
              <w:t xml:space="preserve">Design for durability, </w:t>
            </w:r>
            <w:proofErr w:type="gramStart"/>
            <w:r>
              <w:t>repair</w:t>
            </w:r>
            <w:proofErr w:type="gramEnd"/>
            <w:r>
              <w:t xml:space="preserve"> and recyclability</w:t>
            </w:r>
          </w:p>
        </w:tc>
        <w:tc>
          <w:tcPr>
            <w:tcW w:w="2340" w:type="dxa"/>
          </w:tcPr>
          <w:p w14:paraId="097501DC" w14:textId="77777777" w:rsidR="003F21B2" w:rsidRDefault="00000000">
            <w:r>
              <w:t>Upstream circularity</w:t>
            </w:r>
          </w:p>
        </w:tc>
        <w:tc>
          <w:tcPr>
            <w:tcW w:w="2340" w:type="dxa"/>
          </w:tcPr>
          <w:p w14:paraId="097501DD" w14:textId="77777777" w:rsidR="003F21B2" w:rsidRDefault="00000000">
            <w:r>
              <w:t>Longer development cycles, material costs</w:t>
            </w:r>
          </w:p>
        </w:tc>
      </w:tr>
      <w:tr w:rsidR="003F21B2" w14:paraId="097501E3" w14:textId="77777777">
        <w:tc>
          <w:tcPr>
            <w:tcW w:w="2340" w:type="dxa"/>
          </w:tcPr>
          <w:p w14:paraId="097501DF" w14:textId="77777777" w:rsidR="003F21B2" w:rsidRDefault="00000000">
            <w:r>
              <w:t>IT and data</w:t>
            </w:r>
          </w:p>
        </w:tc>
        <w:tc>
          <w:tcPr>
            <w:tcW w:w="2340" w:type="dxa"/>
          </w:tcPr>
          <w:p w14:paraId="097501E0" w14:textId="77777777" w:rsidR="003F21B2" w:rsidRDefault="00000000">
            <w:r>
              <w:t>Build platform; integrate supplier data; ensure GDPR compliance</w:t>
            </w:r>
          </w:p>
        </w:tc>
        <w:tc>
          <w:tcPr>
            <w:tcW w:w="2340" w:type="dxa"/>
          </w:tcPr>
          <w:p w14:paraId="097501E1" w14:textId="77777777" w:rsidR="003F21B2" w:rsidRDefault="00000000">
            <w:r>
              <w:t>Scalability, data insight</w:t>
            </w:r>
          </w:p>
        </w:tc>
        <w:tc>
          <w:tcPr>
            <w:tcW w:w="2340" w:type="dxa"/>
          </w:tcPr>
          <w:p w14:paraId="097501E2" w14:textId="77777777" w:rsidR="003F21B2" w:rsidRDefault="00000000">
            <w:r>
              <w:t>Legacy systems; cyber and privacy risk</w:t>
            </w:r>
          </w:p>
        </w:tc>
      </w:tr>
      <w:tr w:rsidR="003F21B2" w14:paraId="097501E8" w14:textId="77777777">
        <w:tc>
          <w:tcPr>
            <w:tcW w:w="2340" w:type="dxa"/>
          </w:tcPr>
          <w:p w14:paraId="097501E4" w14:textId="77777777" w:rsidR="003F21B2" w:rsidRDefault="00000000">
            <w:r>
              <w:t xml:space="preserve">Operations and </w:t>
            </w:r>
            <w:proofErr w:type="gramStart"/>
            <w:r>
              <w:t>logistics</w:t>
            </w:r>
            <w:proofErr w:type="gramEnd"/>
          </w:p>
        </w:tc>
        <w:tc>
          <w:tcPr>
            <w:tcW w:w="2340" w:type="dxa"/>
          </w:tcPr>
          <w:p w14:paraId="097501E5" w14:textId="77777777" w:rsidR="003F21B2" w:rsidRDefault="00000000">
            <w:r>
              <w:t xml:space="preserve">Run take-back, repair hubs and reverse </w:t>
            </w:r>
            <w:proofErr w:type="gramStart"/>
            <w:r>
              <w:t>logistics</w:t>
            </w:r>
            <w:proofErr w:type="gramEnd"/>
          </w:p>
        </w:tc>
        <w:tc>
          <w:tcPr>
            <w:tcW w:w="2340" w:type="dxa"/>
          </w:tcPr>
          <w:p w14:paraId="097501E6" w14:textId="77777777" w:rsidR="003F21B2" w:rsidRDefault="00000000">
            <w:r>
              <w:t>Physical delivery of circular services</w:t>
            </w:r>
          </w:p>
        </w:tc>
        <w:tc>
          <w:tcPr>
            <w:tcW w:w="2340" w:type="dxa"/>
          </w:tcPr>
          <w:p w14:paraId="097501E7" w14:textId="77777777" w:rsidR="003F21B2" w:rsidRDefault="00000000">
            <w:r>
              <w:t>Low and unpredictable return volumes</w:t>
            </w:r>
          </w:p>
        </w:tc>
      </w:tr>
      <w:tr w:rsidR="003F21B2" w14:paraId="097501ED" w14:textId="77777777">
        <w:tc>
          <w:tcPr>
            <w:tcW w:w="2340" w:type="dxa"/>
          </w:tcPr>
          <w:p w14:paraId="097501E9" w14:textId="77777777" w:rsidR="003F21B2" w:rsidRDefault="00000000">
            <w:r>
              <w:t>Marketing and customer service</w:t>
            </w:r>
          </w:p>
        </w:tc>
        <w:tc>
          <w:tcPr>
            <w:tcW w:w="2340" w:type="dxa"/>
          </w:tcPr>
          <w:p w14:paraId="097501EA" w14:textId="77777777" w:rsidR="003F21B2" w:rsidRDefault="00000000">
            <w:r>
              <w:t>Communicate value; manage enquiries and complaints</w:t>
            </w:r>
          </w:p>
        </w:tc>
        <w:tc>
          <w:tcPr>
            <w:tcW w:w="2340" w:type="dxa"/>
          </w:tcPr>
          <w:p w14:paraId="097501EB" w14:textId="77777777" w:rsidR="003F21B2" w:rsidRDefault="00000000">
            <w:r>
              <w:t>Customer insight and adoption</w:t>
            </w:r>
          </w:p>
        </w:tc>
        <w:tc>
          <w:tcPr>
            <w:tcW w:w="2340" w:type="dxa"/>
          </w:tcPr>
          <w:p w14:paraId="097501EC" w14:textId="77777777" w:rsidR="003F21B2" w:rsidRDefault="00000000">
            <w:r>
              <w:t>Risk of over-claiming; new service complexity</w:t>
            </w:r>
          </w:p>
        </w:tc>
      </w:tr>
      <w:tr w:rsidR="003F21B2" w14:paraId="097501F2" w14:textId="77777777">
        <w:tc>
          <w:tcPr>
            <w:tcW w:w="2340" w:type="dxa"/>
          </w:tcPr>
          <w:p w14:paraId="097501EE" w14:textId="77777777" w:rsidR="003F21B2" w:rsidRDefault="00000000">
            <w:r>
              <w:t>Suppliers</w:t>
            </w:r>
          </w:p>
        </w:tc>
        <w:tc>
          <w:tcPr>
            <w:tcW w:w="2340" w:type="dxa"/>
          </w:tcPr>
          <w:p w14:paraId="097501EF" w14:textId="77777777" w:rsidR="003F21B2" w:rsidRDefault="00000000">
            <w:r>
              <w:t xml:space="preserve">Provide verified product and </w:t>
            </w:r>
            <w:proofErr w:type="spellStart"/>
            <w:r>
              <w:t>labour</w:t>
            </w:r>
            <w:proofErr w:type="spellEnd"/>
            <w:r>
              <w:t xml:space="preserve"> data; co-develop products</w:t>
            </w:r>
          </w:p>
        </w:tc>
        <w:tc>
          <w:tcPr>
            <w:tcW w:w="2340" w:type="dxa"/>
          </w:tcPr>
          <w:p w14:paraId="097501F0" w14:textId="77777777" w:rsidR="003F21B2" w:rsidRDefault="00000000">
            <w:r>
              <w:t>Supply chain visibility, innovation</w:t>
            </w:r>
          </w:p>
        </w:tc>
        <w:tc>
          <w:tcPr>
            <w:tcW w:w="2340" w:type="dxa"/>
          </w:tcPr>
          <w:p w14:paraId="097501F1" w14:textId="77777777" w:rsidR="003F21B2" w:rsidRDefault="00000000">
            <w:r>
              <w:t>Capability gaps, especially for smaller and overseas suppliers</w:t>
            </w:r>
          </w:p>
        </w:tc>
      </w:tr>
      <w:tr w:rsidR="003F21B2" w14:paraId="097501F7" w14:textId="77777777">
        <w:tc>
          <w:tcPr>
            <w:tcW w:w="2340" w:type="dxa"/>
          </w:tcPr>
          <w:p w14:paraId="097501F3" w14:textId="77777777" w:rsidR="003F21B2" w:rsidRDefault="00000000">
            <w:r>
              <w:t>Customers</w:t>
            </w:r>
          </w:p>
        </w:tc>
        <w:tc>
          <w:tcPr>
            <w:tcW w:w="2340" w:type="dxa"/>
          </w:tcPr>
          <w:p w14:paraId="097501F4" w14:textId="77777777" w:rsidR="003F21B2" w:rsidRDefault="00000000">
            <w:r>
              <w:t xml:space="preserve">Participate in repair, </w:t>
            </w:r>
            <w:proofErr w:type="gramStart"/>
            <w:r>
              <w:t>resale</w:t>
            </w:r>
            <w:proofErr w:type="gramEnd"/>
            <w:r>
              <w:t xml:space="preserve"> and recycling; give feedback</w:t>
            </w:r>
          </w:p>
        </w:tc>
        <w:tc>
          <w:tcPr>
            <w:tcW w:w="2340" w:type="dxa"/>
          </w:tcPr>
          <w:p w14:paraId="097501F5" w14:textId="77777777" w:rsidR="003F21B2" w:rsidRDefault="00000000">
            <w:r>
              <w:t>Adoption, co-created value, loyalty</w:t>
            </w:r>
          </w:p>
        </w:tc>
        <w:tc>
          <w:tcPr>
            <w:tcW w:w="2340" w:type="dxa"/>
          </w:tcPr>
          <w:p w14:paraId="097501F6" w14:textId="77777777" w:rsidR="003F21B2" w:rsidRDefault="00000000">
            <w:r>
              <w:t xml:space="preserve">Convenience and price barriers; </w:t>
            </w:r>
            <w:proofErr w:type="spellStart"/>
            <w:r>
              <w:t>scepticism</w:t>
            </w:r>
            <w:proofErr w:type="spellEnd"/>
          </w:p>
        </w:tc>
      </w:tr>
      <w:tr w:rsidR="003F21B2" w14:paraId="097501FC" w14:textId="77777777">
        <w:tc>
          <w:tcPr>
            <w:tcW w:w="2340" w:type="dxa"/>
          </w:tcPr>
          <w:p w14:paraId="097501F8" w14:textId="77777777" w:rsidR="003F21B2" w:rsidRDefault="00000000">
            <w:r>
              <w:t>Regulators</w:t>
            </w:r>
          </w:p>
        </w:tc>
        <w:tc>
          <w:tcPr>
            <w:tcW w:w="2340" w:type="dxa"/>
          </w:tcPr>
          <w:p w14:paraId="097501F9" w14:textId="77777777" w:rsidR="003F21B2" w:rsidRDefault="00000000">
            <w:r>
              <w:t xml:space="preserve">Set and enforce rules on claims, </w:t>
            </w:r>
            <w:proofErr w:type="gramStart"/>
            <w:r>
              <w:t>data</w:t>
            </w:r>
            <w:proofErr w:type="gramEnd"/>
            <w:r>
              <w:t xml:space="preserve"> and waste</w:t>
            </w:r>
          </w:p>
        </w:tc>
        <w:tc>
          <w:tcPr>
            <w:tcW w:w="2340" w:type="dxa"/>
          </w:tcPr>
          <w:p w14:paraId="097501FA" w14:textId="77777777" w:rsidR="003F21B2" w:rsidRDefault="00000000">
            <w:r>
              <w:t>Clear standards, level playing field</w:t>
            </w:r>
          </w:p>
        </w:tc>
        <w:tc>
          <w:tcPr>
            <w:tcW w:w="2340" w:type="dxa"/>
          </w:tcPr>
          <w:p w14:paraId="097501FB" w14:textId="77777777" w:rsidR="003F21B2" w:rsidRDefault="00000000">
            <w:r>
              <w:t>Divergent requirements across markets</w:t>
            </w:r>
          </w:p>
        </w:tc>
      </w:tr>
      <w:tr w:rsidR="003F21B2" w14:paraId="09750201" w14:textId="77777777">
        <w:tc>
          <w:tcPr>
            <w:tcW w:w="2340" w:type="dxa"/>
          </w:tcPr>
          <w:p w14:paraId="097501FD" w14:textId="77777777" w:rsidR="003F21B2" w:rsidRDefault="00000000">
            <w:r>
              <w:t>NGOs and communities</w:t>
            </w:r>
          </w:p>
        </w:tc>
        <w:tc>
          <w:tcPr>
            <w:tcW w:w="2340" w:type="dxa"/>
          </w:tcPr>
          <w:p w14:paraId="097501FE" w14:textId="77777777" w:rsidR="003F21B2" w:rsidRDefault="00000000">
            <w:r>
              <w:t>Advise, verify, host local repair activity</w:t>
            </w:r>
          </w:p>
        </w:tc>
        <w:tc>
          <w:tcPr>
            <w:tcW w:w="2340" w:type="dxa"/>
          </w:tcPr>
          <w:p w14:paraId="097501FF" w14:textId="77777777" w:rsidR="003F21B2" w:rsidRDefault="00000000">
            <w:r>
              <w:t>Independent credibility, local reach</w:t>
            </w:r>
          </w:p>
        </w:tc>
        <w:tc>
          <w:tcPr>
            <w:tcW w:w="2340" w:type="dxa"/>
          </w:tcPr>
          <w:p w14:paraId="09750200" w14:textId="77777777" w:rsidR="003F21B2" w:rsidRDefault="00000000">
            <w:r>
              <w:t>Resource limits; fear of co-option</w:t>
            </w:r>
          </w:p>
        </w:tc>
      </w:tr>
    </w:tbl>
    <w:p w14:paraId="09750202" w14:textId="77777777" w:rsidR="003F21B2" w:rsidRDefault="00000000">
      <w:r>
        <w:t xml:space="preserve">Three cross-cutting challenges stand out. The first is </w:t>
      </w:r>
      <w:r>
        <w:rPr>
          <w:b/>
        </w:rPr>
        <w:t>capability asymmetry</w:t>
      </w:r>
      <w:r>
        <w:t xml:space="preserve">: smaller suppliers in lower-income markets may lack the systems to provide traceability data, so a uniform requirement risks </w:t>
      </w:r>
      <w:r>
        <w:lastRenderedPageBreak/>
        <w:t>excluding them, shifting the burden down the supply chain rather than sharing it (</w:t>
      </w:r>
      <w:proofErr w:type="spellStart"/>
      <w:r>
        <w:t>Seuring</w:t>
      </w:r>
      <w:proofErr w:type="spellEnd"/>
      <w:r>
        <w:t xml:space="preserve"> and Müller, 2008). The second is </w:t>
      </w:r>
      <w:r>
        <w:rPr>
          <w:b/>
        </w:rPr>
        <w:t>incentive misalignment</w:t>
      </w:r>
      <w:r>
        <w:t xml:space="preserve">: store and sales teams measured on new-product revenue may see resale and repair as </w:t>
      </w:r>
      <w:proofErr w:type="spellStart"/>
      <w:r>
        <w:t>cannibalising</w:t>
      </w:r>
      <w:proofErr w:type="spellEnd"/>
      <w:r>
        <w:t xml:space="preserve"> sales. </w:t>
      </w:r>
      <w:proofErr w:type="spellStart"/>
      <w:r>
        <w:t>Bridoux</w:t>
      </w:r>
      <w:proofErr w:type="spellEnd"/>
      <w:r>
        <w:t xml:space="preserve"> and </w:t>
      </w:r>
      <w:proofErr w:type="spellStart"/>
      <w:r>
        <w:t>Stoelhorst</w:t>
      </w:r>
      <w:proofErr w:type="spellEnd"/>
      <w:r>
        <w:t xml:space="preserve"> (2014) show that stakeholders hold heterogeneous motives, </w:t>
      </w:r>
      <w:proofErr w:type="gramStart"/>
      <w:r>
        <w:t>some</w:t>
      </w:r>
      <w:proofErr w:type="gramEnd"/>
      <w:r>
        <w:t xml:space="preserve"> self-regarding and </w:t>
      </w:r>
      <w:proofErr w:type="gramStart"/>
      <w:r>
        <w:t>some</w:t>
      </w:r>
      <w:proofErr w:type="gramEnd"/>
      <w:r>
        <w:t xml:space="preserve"> reciprocal, so a single incentive scheme will not motivate everyone. The third is the </w:t>
      </w:r>
      <w:r>
        <w:rPr>
          <w:b/>
        </w:rPr>
        <w:t>intention–</w:t>
      </w:r>
      <w:proofErr w:type="spellStart"/>
      <w:r>
        <w:rPr>
          <w:b/>
        </w:rPr>
        <w:t>behaviour</w:t>
      </w:r>
      <w:proofErr w:type="spellEnd"/>
      <w:r>
        <w:rPr>
          <w:b/>
        </w:rPr>
        <w:t xml:space="preserve"> gap</w:t>
      </w:r>
      <w:r>
        <w:t xml:space="preserve"> among customers, who often express support for sustainability but do not change purchasing habits unless the circular option is convenient and </w:t>
      </w:r>
      <w:proofErr w:type="gramStart"/>
      <w:r>
        <w:t>fairly priced</w:t>
      </w:r>
      <w:proofErr w:type="gramEnd"/>
      <w:r>
        <w:t>.</w:t>
      </w:r>
    </w:p>
    <w:p w14:paraId="09750203" w14:textId="77777777" w:rsidR="003F21B2" w:rsidRDefault="00000000">
      <w:r>
        <w:t xml:space="preserve">The benefits are equally significant. Product developers gain repair and return data that reveal design weaknesses; suppliers that invest in transparency gain preferred-partner status; and NGOs and communities provide the independent validation that marketing alone cannot buy. The relational lens is helpful here: Ashcroft et al. (2017) argue that relationship quality depends on directness, continuity, multiplexity, parity and commonality. </w:t>
      </w:r>
      <w:proofErr w:type="gramStart"/>
      <w:r>
        <w:t>Several of</w:t>
      </w:r>
      <w:proofErr w:type="gramEnd"/>
      <w:r>
        <w:t xml:space="preserve"> these dimensions are currently weak for GreenPath 360, particularly parity with small suppliers and commonality with </w:t>
      </w:r>
      <w:proofErr w:type="spellStart"/>
      <w:r>
        <w:t>sceptical</w:t>
      </w:r>
      <w:proofErr w:type="spellEnd"/>
      <w:r>
        <w:t xml:space="preserve"> NGOs. Section 5 </w:t>
      </w:r>
      <w:proofErr w:type="gramStart"/>
      <w:r>
        <w:t>is designed</w:t>
      </w:r>
      <w:proofErr w:type="gramEnd"/>
      <w:r>
        <w:t xml:space="preserve"> to strengthen them.</w:t>
      </w:r>
    </w:p>
    <w:p w14:paraId="09750204" w14:textId="77777777" w:rsidR="003F21B2" w:rsidRDefault="00000000">
      <w:pPr>
        <w:pStyle w:val="Heading2"/>
      </w:pPr>
      <w:r>
        <w:t>5. The Stakeholder Engagement Process and Conflict Management</w:t>
      </w:r>
    </w:p>
    <w:p w14:paraId="09750205" w14:textId="77777777" w:rsidR="003F21B2" w:rsidRDefault="00000000">
      <w:r>
        <w:t>As Project Manager, I will treat engagement as a continuous cycle aligned to the project lifecycle rather than a launch-phase campaign. The process follows the stakeholder performance domain of the PMBOK Guide (Project Management Institute, 2021) and Eskerod and Jepsen's (2013) view that stakeholders are a source of resources, not merely of risk.</w:t>
      </w:r>
    </w:p>
    <w:p w14:paraId="09750206" w14:textId="77777777" w:rsidR="003F21B2" w:rsidRDefault="00000000">
      <w:pPr>
        <w:pStyle w:val="Heading3"/>
      </w:pPr>
      <w:r>
        <w:t>5.1 Six-step engagement process</w:t>
      </w:r>
    </w:p>
    <w:p w14:paraId="09750207" w14:textId="77777777" w:rsidR="003F21B2" w:rsidRDefault="00000000">
      <w:pPr>
        <w:pStyle w:val="ListParagraph"/>
        <w:numPr>
          <w:ilvl w:val="0"/>
          <w:numId w:val="2"/>
        </w:numPr>
      </w:pPr>
      <w:r>
        <w:rPr>
          <w:b/>
        </w:rPr>
        <w:t>Identify</w:t>
      </w:r>
      <w:r>
        <w:t xml:space="preserve"> (month 0–1): build the register in Section 3 through workshops with each function and interviews with ten key suppliers, two NGOs and the customer panel.</w:t>
      </w:r>
    </w:p>
    <w:p w14:paraId="09750208" w14:textId="77777777" w:rsidR="003F21B2" w:rsidRDefault="00000000">
      <w:pPr>
        <w:pStyle w:val="ListParagraph"/>
        <w:numPr>
          <w:ilvl w:val="0"/>
          <w:numId w:val="2"/>
        </w:numPr>
      </w:pPr>
      <w:proofErr w:type="spellStart"/>
      <w:r>
        <w:rPr>
          <w:b/>
        </w:rPr>
        <w:t>Analyse</w:t>
      </w:r>
      <w:proofErr w:type="spellEnd"/>
      <w:r>
        <w:rPr>
          <w:b/>
        </w:rPr>
        <w:t xml:space="preserve"> and </w:t>
      </w:r>
      <w:proofErr w:type="spellStart"/>
      <w:r>
        <w:rPr>
          <w:b/>
        </w:rPr>
        <w:t>prioritise</w:t>
      </w:r>
      <w:proofErr w:type="spellEnd"/>
      <w:r>
        <w:t xml:space="preserve"> (month 1): apply the power/interest and salience analyses; assign a named relationship owner to every definitive and dominant stakeholder.</w:t>
      </w:r>
    </w:p>
    <w:p w14:paraId="09750209" w14:textId="77777777" w:rsidR="003F21B2" w:rsidRDefault="00000000">
      <w:pPr>
        <w:pStyle w:val="ListParagraph"/>
        <w:numPr>
          <w:ilvl w:val="0"/>
          <w:numId w:val="2"/>
        </w:numPr>
      </w:pPr>
      <w:r>
        <w:rPr>
          <w:b/>
        </w:rPr>
        <w:t>Plan</w:t>
      </w:r>
      <w:r>
        <w:t xml:space="preserve"> (month 1–2): agree the level of engagement, channels and frequency for each group (Table 5.2) and the decision rights for each activity (RACI, Table 5.3).</w:t>
      </w:r>
    </w:p>
    <w:p w14:paraId="0975020A" w14:textId="77777777" w:rsidR="003F21B2" w:rsidRDefault="00000000">
      <w:pPr>
        <w:pStyle w:val="ListParagraph"/>
        <w:numPr>
          <w:ilvl w:val="0"/>
          <w:numId w:val="2"/>
        </w:numPr>
      </w:pPr>
      <w:r>
        <w:rPr>
          <w:b/>
        </w:rPr>
        <w:t>Engage</w:t>
      </w:r>
      <w:r>
        <w:t xml:space="preserve"> (month 2–6): deliver co-design sprints, supplier onboarding, market </w:t>
      </w:r>
      <w:proofErr w:type="gramStart"/>
      <w:r>
        <w:t>pilots</w:t>
      </w:r>
      <w:proofErr w:type="gramEnd"/>
      <w:r>
        <w:t xml:space="preserve"> and community launches.</w:t>
      </w:r>
    </w:p>
    <w:p w14:paraId="0975020B" w14:textId="77777777" w:rsidR="003F21B2" w:rsidRDefault="00000000">
      <w:pPr>
        <w:pStyle w:val="ListParagraph"/>
        <w:numPr>
          <w:ilvl w:val="0"/>
          <w:numId w:val="2"/>
        </w:numPr>
      </w:pPr>
      <w:r>
        <w:rPr>
          <w:b/>
        </w:rPr>
        <w:t>Monitor and adapt</w:t>
      </w:r>
      <w:r>
        <w:t xml:space="preserve"> (ongoing): track a stakeholder dashboard covering sentiment, participation, issues logged and resolution time; refresh the map at each stage gate.</w:t>
      </w:r>
    </w:p>
    <w:p w14:paraId="0975020C" w14:textId="77777777" w:rsidR="003F21B2" w:rsidRDefault="00000000">
      <w:pPr>
        <w:pStyle w:val="ListParagraph"/>
        <w:numPr>
          <w:ilvl w:val="0"/>
          <w:numId w:val="2"/>
        </w:numPr>
      </w:pPr>
      <w:r>
        <w:rPr>
          <w:b/>
        </w:rPr>
        <w:t>Review and report</w:t>
      </w:r>
      <w:r>
        <w:t xml:space="preserve"> (months 9 and 12): hold an independent post-launch review and publish the findings, closing the feedback loop.</w:t>
      </w:r>
    </w:p>
    <w:p w14:paraId="0975020D" w14:textId="77777777" w:rsidR="003F21B2" w:rsidRDefault="00000000">
      <w:pPr>
        <w:pStyle w:val="Heading3"/>
      </w:pPr>
      <w:r>
        <w:t xml:space="preserve">5.2 Applying the 4Cs: communication, consultation, collaboration and </w:t>
      </w:r>
      <w:proofErr w:type="gramStart"/>
      <w:r>
        <w:t>commitment</w:t>
      </w:r>
      <w:proofErr w:type="gramEnd"/>
    </w:p>
    <w:p w14:paraId="0975020E" w14:textId="77777777" w:rsidR="003F21B2" w:rsidRDefault="00000000">
      <w:r>
        <w:t xml:space="preserve">The 4Cs model represents rising depth of involvement, echoing Arnstein's (1969) ladder of participation: communication informs; consultation seeks views but retains decision rights; collaboration shares design and decisions; and commitment creates mutual obligation. The appropriate level </w:t>
      </w:r>
      <w:proofErr w:type="gramStart"/>
      <w:r>
        <w:t>is matched</w:t>
      </w:r>
      <w:proofErr w:type="gramEnd"/>
      <w:r>
        <w:t xml:space="preserve"> to each stakeholder's position rather than applied uniformly, because full collaboration with every group would be unaffordable and could slow decisions.</w:t>
      </w:r>
    </w:p>
    <w:tbl>
      <w:tblPr>
        <w:tblStyle w:val="TableGrid"/>
        <w:tblW w:w="0" w:type="auto"/>
        <w:tblLayout w:type="fixed"/>
        <w:tblLook w:val="0420" w:firstRow="1" w:lastRow="0" w:firstColumn="0" w:lastColumn="0" w:noHBand="0" w:noVBand="1"/>
      </w:tblPr>
      <w:tblGrid>
        <w:gridCol w:w="2340"/>
        <w:gridCol w:w="2340"/>
        <w:gridCol w:w="2340"/>
        <w:gridCol w:w="2340"/>
      </w:tblGrid>
      <w:tr w:rsidR="003F21B2" w14:paraId="09750213" w14:textId="77777777">
        <w:trPr>
          <w:tblHeader/>
        </w:trPr>
        <w:tc>
          <w:tcPr>
            <w:tcW w:w="2340" w:type="dxa"/>
            <w:shd w:val="clear" w:color="auto" w:fill="F2F2F2"/>
          </w:tcPr>
          <w:p w14:paraId="0975020F" w14:textId="77777777" w:rsidR="003F21B2" w:rsidRDefault="00000000">
            <w:r>
              <w:t>Stakeholder group</w:t>
            </w:r>
          </w:p>
        </w:tc>
        <w:tc>
          <w:tcPr>
            <w:tcW w:w="2340" w:type="dxa"/>
            <w:shd w:val="clear" w:color="auto" w:fill="F2F2F2"/>
          </w:tcPr>
          <w:p w14:paraId="09750210" w14:textId="77777777" w:rsidR="003F21B2" w:rsidRDefault="00000000">
            <w:r>
              <w:t>Primary C</w:t>
            </w:r>
          </w:p>
        </w:tc>
        <w:tc>
          <w:tcPr>
            <w:tcW w:w="2340" w:type="dxa"/>
            <w:shd w:val="clear" w:color="auto" w:fill="F2F2F2"/>
          </w:tcPr>
          <w:p w14:paraId="09750211" w14:textId="77777777" w:rsidR="003F21B2" w:rsidRDefault="00000000">
            <w:r>
              <w:t>Mechanisms</w:t>
            </w:r>
          </w:p>
        </w:tc>
        <w:tc>
          <w:tcPr>
            <w:tcW w:w="2340" w:type="dxa"/>
            <w:shd w:val="clear" w:color="auto" w:fill="F2F2F2"/>
          </w:tcPr>
          <w:p w14:paraId="09750212" w14:textId="77777777" w:rsidR="003F21B2" w:rsidRDefault="00000000">
            <w:r>
              <w:t>Frequency</w:t>
            </w:r>
          </w:p>
        </w:tc>
      </w:tr>
      <w:tr w:rsidR="003F21B2" w14:paraId="09750218" w14:textId="77777777">
        <w:tc>
          <w:tcPr>
            <w:tcW w:w="2340" w:type="dxa"/>
          </w:tcPr>
          <w:p w14:paraId="09750214" w14:textId="77777777" w:rsidR="003F21B2" w:rsidRDefault="00000000">
            <w:r>
              <w:lastRenderedPageBreak/>
              <w:t>Board and senior leadership</w:t>
            </w:r>
          </w:p>
        </w:tc>
        <w:tc>
          <w:tcPr>
            <w:tcW w:w="2340" w:type="dxa"/>
          </w:tcPr>
          <w:p w14:paraId="09750215" w14:textId="77777777" w:rsidR="003F21B2" w:rsidRDefault="00000000">
            <w:r>
              <w:t>Commitment</w:t>
            </w:r>
          </w:p>
        </w:tc>
        <w:tc>
          <w:tcPr>
            <w:tcW w:w="2340" w:type="dxa"/>
          </w:tcPr>
          <w:p w14:paraId="09750216" w14:textId="77777777" w:rsidR="003F21B2" w:rsidRDefault="00000000">
            <w:r>
              <w:t>Steering group, gated business case, ESG objectives in executive scorecards</w:t>
            </w:r>
          </w:p>
        </w:tc>
        <w:tc>
          <w:tcPr>
            <w:tcW w:w="2340" w:type="dxa"/>
          </w:tcPr>
          <w:p w14:paraId="09750217" w14:textId="77777777" w:rsidR="003F21B2" w:rsidRDefault="00000000">
            <w:r>
              <w:t>Monthly</w:t>
            </w:r>
          </w:p>
        </w:tc>
      </w:tr>
      <w:tr w:rsidR="003F21B2" w14:paraId="0975021D" w14:textId="77777777">
        <w:tc>
          <w:tcPr>
            <w:tcW w:w="2340" w:type="dxa"/>
          </w:tcPr>
          <w:p w14:paraId="09750219" w14:textId="77777777" w:rsidR="003F21B2" w:rsidRDefault="00000000">
            <w:r>
              <w:t>Key suppliers</w:t>
            </w:r>
          </w:p>
        </w:tc>
        <w:tc>
          <w:tcPr>
            <w:tcW w:w="2340" w:type="dxa"/>
          </w:tcPr>
          <w:p w14:paraId="0975021A" w14:textId="77777777" w:rsidR="003F21B2" w:rsidRDefault="00000000">
            <w:r>
              <w:t>Collaboration → Commitment</w:t>
            </w:r>
          </w:p>
        </w:tc>
        <w:tc>
          <w:tcPr>
            <w:tcW w:w="2340" w:type="dxa"/>
          </w:tcPr>
          <w:p w14:paraId="0975021B" w14:textId="77777777" w:rsidR="003F21B2" w:rsidRDefault="00000000">
            <w:r>
              <w:t>Co-design workshops, supplier portal, capability fund, multi-year contracts</w:t>
            </w:r>
          </w:p>
        </w:tc>
        <w:tc>
          <w:tcPr>
            <w:tcW w:w="2340" w:type="dxa"/>
          </w:tcPr>
          <w:p w14:paraId="0975021C" w14:textId="77777777" w:rsidR="003F21B2" w:rsidRDefault="00000000">
            <w:r>
              <w:t>Fortnightly during onboarding</w:t>
            </w:r>
          </w:p>
        </w:tc>
      </w:tr>
      <w:tr w:rsidR="003F21B2" w14:paraId="09750222" w14:textId="77777777">
        <w:tc>
          <w:tcPr>
            <w:tcW w:w="2340" w:type="dxa"/>
          </w:tcPr>
          <w:p w14:paraId="0975021E" w14:textId="77777777" w:rsidR="003F21B2" w:rsidRDefault="00000000">
            <w:r>
              <w:t>Internal functions</w:t>
            </w:r>
          </w:p>
        </w:tc>
        <w:tc>
          <w:tcPr>
            <w:tcW w:w="2340" w:type="dxa"/>
          </w:tcPr>
          <w:p w14:paraId="0975021F" w14:textId="77777777" w:rsidR="003F21B2" w:rsidRDefault="00000000">
            <w:r>
              <w:t>Collaboration</w:t>
            </w:r>
          </w:p>
        </w:tc>
        <w:tc>
          <w:tcPr>
            <w:tcW w:w="2340" w:type="dxa"/>
          </w:tcPr>
          <w:p w14:paraId="09750220" w14:textId="77777777" w:rsidR="003F21B2" w:rsidRDefault="00000000">
            <w:r>
              <w:t>Cross-functional squad, GreenPath champions in each store</w:t>
            </w:r>
          </w:p>
        </w:tc>
        <w:tc>
          <w:tcPr>
            <w:tcW w:w="2340" w:type="dxa"/>
          </w:tcPr>
          <w:p w14:paraId="09750221" w14:textId="77777777" w:rsidR="003F21B2" w:rsidRDefault="00000000">
            <w:r>
              <w:t>Weekly stand-ups</w:t>
            </w:r>
          </w:p>
        </w:tc>
      </w:tr>
      <w:tr w:rsidR="003F21B2" w14:paraId="09750227" w14:textId="77777777">
        <w:tc>
          <w:tcPr>
            <w:tcW w:w="2340" w:type="dxa"/>
          </w:tcPr>
          <w:p w14:paraId="09750223" w14:textId="77777777" w:rsidR="003F21B2" w:rsidRDefault="00000000">
            <w:r>
              <w:t>Regulators</w:t>
            </w:r>
          </w:p>
        </w:tc>
        <w:tc>
          <w:tcPr>
            <w:tcW w:w="2340" w:type="dxa"/>
          </w:tcPr>
          <w:p w14:paraId="09750224" w14:textId="77777777" w:rsidR="003F21B2" w:rsidRDefault="00000000">
            <w:r>
              <w:t>Consultation</w:t>
            </w:r>
          </w:p>
        </w:tc>
        <w:tc>
          <w:tcPr>
            <w:tcW w:w="2340" w:type="dxa"/>
          </w:tcPr>
          <w:p w14:paraId="09750225" w14:textId="77777777" w:rsidR="003F21B2" w:rsidRDefault="00000000">
            <w:r>
              <w:t>Pre-launch briefings, claims evidence pack, response to consultations</w:t>
            </w:r>
          </w:p>
        </w:tc>
        <w:tc>
          <w:tcPr>
            <w:tcW w:w="2340" w:type="dxa"/>
          </w:tcPr>
          <w:p w14:paraId="09750226" w14:textId="77777777" w:rsidR="003F21B2" w:rsidRDefault="00000000">
            <w:r>
              <w:t>Quarterly</w:t>
            </w:r>
          </w:p>
        </w:tc>
      </w:tr>
      <w:tr w:rsidR="003F21B2" w14:paraId="0975022C" w14:textId="77777777">
        <w:tc>
          <w:tcPr>
            <w:tcW w:w="2340" w:type="dxa"/>
          </w:tcPr>
          <w:p w14:paraId="09750228" w14:textId="77777777" w:rsidR="003F21B2" w:rsidRDefault="00000000">
            <w:r>
              <w:t>Customers</w:t>
            </w:r>
          </w:p>
        </w:tc>
        <w:tc>
          <w:tcPr>
            <w:tcW w:w="2340" w:type="dxa"/>
          </w:tcPr>
          <w:p w14:paraId="09750229" w14:textId="77777777" w:rsidR="003F21B2" w:rsidRDefault="00000000">
            <w:r>
              <w:t>Consultation → Collaboration</w:t>
            </w:r>
          </w:p>
        </w:tc>
        <w:tc>
          <w:tcPr>
            <w:tcW w:w="2340" w:type="dxa"/>
          </w:tcPr>
          <w:p w14:paraId="0975022A" w14:textId="77777777" w:rsidR="003F21B2" w:rsidRDefault="00000000">
            <w:r>
              <w:t>Online community panel, beta testing, in-app feedback, rewards</w:t>
            </w:r>
          </w:p>
        </w:tc>
        <w:tc>
          <w:tcPr>
            <w:tcW w:w="2340" w:type="dxa"/>
          </w:tcPr>
          <w:p w14:paraId="0975022B" w14:textId="77777777" w:rsidR="003F21B2" w:rsidRDefault="00000000">
            <w:r>
              <w:t>Continuous</w:t>
            </w:r>
          </w:p>
        </w:tc>
      </w:tr>
      <w:tr w:rsidR="003F21B2" w14:paraId="09750231" w14:textId="77777777">
        <w:tc>
          <w:tcPr>
            <w:tcW w:w="2340" w:type="dxa"/>
          </w:tcPr>
          <w:p w14:paraId="0975022D" w14:textId="77777777" w:rsidR="003F21B2" w:rsidRDefault="00000000">
            <w:r>
              <w:t>NGOs and certifiers</w:t>
            </w:r>
          </w:p>
        </w:tc>
        <w:tc>
          <w:tcPr>
            <w:tcW w:w="2340" w:type="dxa"/>
          </w:tcPr>
          <w:p w14:paraId="0975022E" w14:textId="77777777" w:rsidR="003F21B2" w:rsidRDefault="00000000">
            <w:r>
              <w:t>Consultation → Collaboration</w:t>
            </w:r>
          </w:p>
        </w:tc>
        <w:tc>
          <w:tcPr>
            <w:tcW w:w="2340" w:type="dxa"/>
          </w:tcPr>
          <w:p w14:paraId="0975022F" w14:textId="77777777" w:rsidR="003F21B2" w:rsidRDefault="00000000">
            <w:r>
              <w:t>Independent advisory seat, verification of impact data</w:t>
            </w:r>
          </w:p>
        </w:tc>
        <w:tc>
          <w:tcPr>
            <w:tcW w:w="2340" w:type="dxa"/>
          </w:tcPr>
          <w:p w14:paraId="09750230" w14:textId="77777777" w:rsidR="003F21B2" w:rsidRDefault="00000000">
            <w:r>
              <w:t>Bi-monthly</w:t>
            </w:r>
          </w:p>
        </w:tc>
      </w:tr>
      <w:tr w:rsidR="003F21B2" w14:paraId="09750236" w14:textId="77777777">
        <w:tc>
          <w:tcPr>
            <w:tcW w:w="2340" w:type="dxa"/>
          </w:tcPr>
          <w:p w14:paraId="09750232" w14:textId="77777777" w:rsidR="003F21B2" w:rsidRDefault="00000000">
            <w:r>
              <w:t>Local communities</w:t>
            </w:r>
          </w:p>
        </w:tc>
        <w:tc>
          <w:tcPr>
            <w:tcW w:w="2340" w:type="dxa"/>
          </w:tcPr>
          <w:p w14:paraId="09750233" w14:textId="77777777" w:rsidR="003F21B2" w:rsidRDefault="00000000">
            <w:r>
              <w:t>Communication → Consultation</w:t>
            </w:r>
          </w:p>
        </w:tc>
        <w:tc>
          <w:tcPr>
            <w:tcW w:w="2340" w:type="dxa"/>
          </w:tcPr>
          <w:p w14:paraId="09750234" w14:textId="77777777" w:rsidR="003F21B2" w:rsidRDefault="00000000">
            <w:r>
              <w:t>Town-hall events, repair café partnerships, local press</w:t>
            </w:r>
          </w:p>
        </w:tc>
        <w:tc>
          <w:tcPr>
            <w:tcW w:w="2340" w:type="dxa"/>
          </w:tcPr>
          <w:p w14:paraId="09750235" w14:textId="77777777" w:rsidR="003F21B2" w:rsidRDefault="00000000">
            <w:r>
              <w:t>Per market launch</w:t>
            </w:r>
          </w:p>
        </w:tc>
      </w:tr>
      <w:tr w:rsidR="003F21B2" w14:paraId="0975023B" w14:textId="77777777">
        <w:tc>
          <w:tcPr>
            <w:tcW w:w="2340" w:type="dxa"/>
          </w:tcPr>
          <w:p w14:paraId="09750237" w14:textId="77777777" w:rsidR="003F21B2" w:rsidRDefault="00000000">
            <w:r>
              <w:t>Investors</w:t>
            </w:r>
          </w:p>
        </w:tc>
        <w:tc>
          <w:tcPr>
            <w:tcW w:w="2340" w:type="dxa"/>
          </w:tcPr>
          <w:p w14:paraId="09750238" w14:textId="77777777" w:rsidR="003F21B2" w:rsidRDefault="00000000">
            <w:r>
              <w:t>Communication</w:t>
            </w:r>
          </w:p>
        </w:tc>
        <w:tc>
          <w:tcPr>
            <w:tcW w:w="2340" w:type="dxa"/>
          </w:tcPr>
          <w:p w14:paraId="09750239" w14:textId="77777777" w:rsidR="003F21B2" w:rsidRDefault="00000000">
            <w:r>
              <w:t>ESG disclosures, investor day sessions, annual report</w:t>
            </w:r>
          </w:p>
        </w:tc>
        <w:tc>
          <w:tcPr>
            <w:tcW w:w="2340" w:type="dxa"/>
          </w:tcPr>
          <w:p w14:paraId="0975023A" w14:textId="77777777" w:rsidR="003F21B2" w:rsidRDefault="00000000">
            <w:r>
              <w:t>Half-yearly</w:t>
            </w:r>
          </w:p>
        </w:tc>
      </w:tr>
      <w:tr w:rsidR="003F21B2" w14:paraId="09750240" w14:textId="77777777">
        <w:tc>
          <w:tcPr>
            <w:tcW w:w="2340" w:type="dxa"/>
          </w:tcPr>
          <w:p w14:paraId="0975023C" w14:textId="77777777" w:rsidR="003F21B2" w:rsidRDefault="00000000">
            <w:r>
              <w:t>Media</w:t>
            </w:r>
          </w:p>
        </w:tc>
        <w:tc>
          <w:tcPr>
            <w:tcW w:w="2340" w:type="dxa"/>
          </w:tcPr>
          <w:p w14:paraId="0975023D" w14:textId="77777777" w:rsidR="003F21B2" w:rsidRDefault="00000000">
            <w:r>
              <w:t>Communication</w:t>
            </w:r>
          </w:p>
        </w:tc>
        <w:tc>
          <w:tcPr>
            <w:tcW w:w="2340" w:type="dxa"/>
          </w:tcPr>
          <w:p w14:paraId="0975023E" w14:textId="77777777" w:rsidR="003F21B2" w:rsidRDefault="00000000">
            <w:r>
              <w:t>Press briefings, published methodology, rapid response protocol</w:t>
            </w:r>
          </w:p>
        </w:tc>
        <w:tc>
          <w:tcPr>
            <w:tcW w:w="2340" w:type="dxa"/>
          </w:tcPr>
          <w:p w14:paraId="0975023F" w14:textId="77777777" w:rsidR="003F21B2" w:rsidRDefault="00000000">
            <w:r>
              <w:t>As needed</w:t>
            </w:r>
          </w:p>
        </w:tc>
      </w:tr>
    </w:tbl>
    <w:p w14:paraId="09750241" w14:textId="77777777" w:rsidR="003F21B2" w:rsidRDefault="00000000">
      <w:pPr>
        <w:pStyle w:val="Heading3"/>
      </w:pPr>
      <w:r>
        <w:t>5.3 RACI matrix</w:t>
      </w:r>
    </w:p>
    <w:p w14:paraId="09750242" w14:textId="77777777" w:rsidR="003F21B2" w:rsidRDefault="00000000">
      <w:r>
        <w:t xml:space="preserve">Unclear accountability is a frequent cause of failure in cross-functional sustainability </w:t>
      </w:r>
      <w:proofErr w:type="gramStart"/>
      <w:r>
        <w:t>projects, because</w:t>
      </w:r>
      <w:proofErr w:type="gramEnd"/>
      <w:r>
        <w:t xml:space="preserve"> everyone is interested but no one owns the outcome. A RACI matrix (Responsible, Accountable, Consulted, Informed) clarifies decision rights for the main workstreams.</w:t>
      </w:r>
    </w:p>
    <w:tbl>
      <w:tblPr>
        <w:tblStyle w:val="TableGrid"/>
        <w:tblW w:w="0" w:type="auto"/>
        <w:tblLayout w:type="fixed"/>
        <w:tblLook w:val="0420" w:firstRow="1" w:lastRow="0" w:firstColumn="0" w:lastColumn="0" w:noHBand="0" w:noVBand="1"/>
      </w:tblPr>
      <w:tblGrid>
        <w:gridCol w:w="1040"/>
        <w:gridCol w:w="1040"/>
        <w:gridCol w:w="1040"/>
        <w:gridCol w:w="1040"/>
        <w:gridCol w:w="1040"/>
        <w:gridCol w:w="1040"/>
        <w:gridCol w:w="1040"/>
        <w:gridCol w:w="1040"/>
        <w:gridCol w:w="1040"/>
      </w:tblGrid>
      <w:tr w:rsidR="003F21B2" w14:paraId="0975024C" w14:textId="77777777">
        <w:trPr>
          <w:tblHeader/>
        </w:trPr>
        <w:tc>
          <w:tcPr>
            <w:tcW w:w="1040" w:type="dxa"/>
            <w:shd w:val="clear" w:color="auto" w:fill="F2F2F2"/>
          </w:tcPr>
          <w:p w14:paraId="09750243" w14:textId="77777777" w:rsidR="003F21B2" w:rsidRDefault="00000000">
            <w:r>
              <w:lastRenderedPageBreak/>
              <w:t>Activity</w:t>
            </w:r>
          </w:p>
        </w:tc>
        <w:tc>
          <w:tcPr>
            <w:tcW w:w="1040" w:type="dxa"/>
            <w:shd w:val="clear" w:color="auto" w:fill="F2F2F2"/>
          </w:tcPr>
          <w:p w14:paraId="09750244" w14:textId="77777777" w:rsidR="003F21B2" w:rsidRDefault="00000000">
            <w:r>
              <w:t>Project Manager</w:t>
            </w:r>
          </w:p>
        </w:tc>
        <w:tc>
          <w:tcPr>
            <w:tcW w:w="1040" w:type="dxa"/>
            <w:shd w:val="clear" w:color="auto" w:fill="F2F2F2"/>
          </w:tcPr>
          <w:p w14:paraId="09750245" w14:textId="77777777" w:rsidR="003F21B2" w:rsidRDefault="00000000">
            <w:r>
              <w:t>Board sponsor</w:t>
            </w:r>
          </w:p>
        </w:tc>
        <w:tc>
          <w:tcPr>
            <w:tcW w:w="1040" w:type="dxa"/>
            <w:shd w:val="clear" w:color="auto" w:fill="F2F2F2"/>
          </w:tcPr>
          <w:p w14:paraId="09750246" w14:textId="77777777" w:rsidR="003F21B2" w:rsidRDefault="00000000">
            <w:r>
              <w:t>Sustainability</w:t>
            </w:r>
          </w:p>
        </w:tc>
        <w:tc>
          <w:tcPr>
            <w:tcW w:w="1040" w:type="dxa"/>
            <w:shd w:val="clear" w:color="auto" w:fill="F2F2F2"/>
          </w:tcPr>
          <w:p w14:paraId="09750247" w14:textId="77777777" w:rsidR="003F21B2" w:rsidRDefault="00000000">
            <w:r>
              <w:t>Procurement</w:t>
            </w:r>
          </w:p>
        </w:tc>
        <w:tc>
          <w:tcPr>
            <w:tcW w:w="1040" w:type="dxa"/>
            <w:shd w:val="clear" w:color="auto" w:fill="F2F2F2"/>
          </w:tcPr>
          <w:p w14:paraId="09750248" w14:textId="77777777" w:rsidR="003F21B2" w:rsidRDefault="00000000">
            <w:r>
              <w:t>IT and data</w:t>
            </w:r>
          </w:p>
        </w:tc>
        <w:tc>
          <w:tcPr>
            <w:tcW w:w="1040" w:type="dxa"/>
            <w:shd w:val="clear" w:color="auto" w:fill="F2F2F2"/>
          </w:tcPr>
          <w:p w14:paraId="09750249" w14:textId="77777777" w:rsidR="003F21B2" w:rsidRDefault="00000000">
            <w:r>
              <w:t>Marketing</w:t>
            </w:r>
          </w:p>
        </w:tc>
        <w:tc>
          <w:tcPr>
            <w:tcW w:w="1040" w:type="dxa"/>
            <w:shd w:val="clear" w:color="auto" w:fill="F2F2F2"/>
          </w:tcPr>
          <w:p w14:paraId="0975024A" w14:textId="77777777" w:rsidR="003F21B2" w:rsidRDefault="00000000">
            <w:r>
              <w:t>Suppliers</w:t>
            </w:r>
          </w:p>
        </w:tc>
        <w:tc>
          <w:tcPr>
            <w:tcW w:w="1040" w:type="dxa"/>
            <w:shd w:val="clear" w:color="auto" w:fill="F2F2F2"/>
          </w:tcPr>
          <w:p w14:paraId="0975024B" w14:textId="77777777" w:rsidR="003F21B2" w:rsidRDefault="00000000">
            <w:r>
              <w:t>NGO adviser</w:t>
            </w:r>
          </w:p>
        </w:tc>
      </w:tr>
      <w:tr w:rsidR="003F21B2" w14:paraId="09750256" w14:textId="77777777">
        <w:tc>
          <w:tcPr>
            <w:tcW w:w="1040" w:type="dxa"/>
          </w:tcPr>
          <w:p w14:paraId="0975024D" w14:textId="77777777" w:rsidR="003F21B2" w:rsidRDefault="00000000">
            <w:r>
              <w:t>Engagement strategy and plan</w:t>
            </w:r>
          </w:p>
        </w:tc>
        <w:tc>
          <w:tcPr>
            <w:tcW w:w="1040" w:type="dxa"/>
          </w:tcPr>
          <w:p w14:paraId="0975024E" w14:textId="77777777" w:rsidR="003F21B2" w:rsidRDefault="00000000">
            <w:r>
              <w:t>R</w:t>
            </w:r>
          </w:p>
        </w:tc>
        <w:tc>
          <w:tcPr>
            <w:tcW w:w="1040" w:type="dxa"/>
          </w:tcPr>
          <w:p w14:paraId="0975024F" w14:textId="77777777" w:rsidR="003F21B2" w:rsidRDefault="00000000">
            <w:r>
              <w:t>A</w:t>
            </w:r>
          </w:p>
        </w:tc>
        <w:tc>
          <w:tcPr>
            <w:tcW w:w="1040" w:type="dxa"/>
          </w:tcPr>
          <w:p w14:paraId="09750250" w14:textId="77777777" w:rsidR="003F21B2" w:rsidRDefault="00000000">
            <w:r>
              <w:t>C</w:t>
            </w:r>
          </w:p>
        </w:tc>
        <w:tc>
          <w:tcPr>
            <w:tcW w:w="1040" w:type="dxa"/>
          </w:tcPr>
          <w:p w14:paraId="09750251" w14:textId="77777777" w:rsidR="003F21B2" w:rsidRDefault="00000000">
            <w:r>
              <w:t>C</w:t>
            </w:r>
          </w:p>
        </w:tc>
        <w:tc>
          <w:tcPr>
            <w:tcW w:w="1040" w:type="dxa"/>
          </w:tcPr>
          <w:p w14:paraId="09750252" w14:textId="77777777" w:rsidR="003F21B2" w:rsidRDefault="00000000">
            <w:r>
              <w:t>I</w:t>
            </w:r>
          </w:p>
        </w:tc>
        <w:tc>
          <w:tcPr>
            <w:tcW w:w="1040" w:type="dxa"/>
          </w:tcPr>
          <w:p w14:paraId="09750253" w14:textId="77777777" w:rsidR="003F21B2" w:rsidRDefault="00000000">
            <w:r>
              <w:t>C</w:t>
            </w:r>
          </w:p>
        </w:tc>
        <w:tc>
          <w:tcPr>
            <w:tcW w:w="1040" w:type="dxa"/>
          </w:tcPr>
          <w:p w14:paraId="09750254" w14:textId="77777777" w:rsidR="003F21B2" w:rsidRDefault="00000000">
            <w:r>
              <w:t>I</w:t>
            </w:r>
          </w:p>
        </w:tc>
        <w:tc>
          <w:tcPr>
            <w:tcW w:w="1040" w:type="dxa"/>
          </w:tcPr>
          <w:p w14:paraId="09750255" w14:textId="77777777" w:rsidR="003F21B2" w:rsidRDefault="00000000">
            <w:r>
              <w:t>C</w:t>
            </w:r>
          </w:p>
        </w:tc>
      </w:tr>
      <w:tr w:rsidR="003F21B2" w14:paraId="09750260" w14:textId="77777777">
        <w:tc>
          <w:tcPr>
            <w:tcW w:w="1040" w:type="dxa"/>
          </w:tcPr>
          <w:p w14:paraId="09750257" w14:textId="77777777" w:rsidR="003F21B2" w:rsidRDefault="00000000">
            <w:r>
              <w:t>Supplier traceability onboarding</w:t>
            </w:r>
          </w:p>
        </w:tc>
        <w:tc>
          <w:tcPr>
            <w:tcW w:w="1040" w:type="dxa"/>
          </w:tcPr>
          <w:p w14:paraId="09750258" w14:textId="77777777" w:rsidR="003F21B2" w:rsidRDefault="00000000">
            <w:r>
              <w:t>C</w:t>
            </w:r>
          </w:p>
        </w:tc>
        <w:tc>
          <w:tcPr>
            <w:tcW w:w="1040" w:type="dxa"/>
          </w:tcPr>
          <w:p w14:paraId="09750259" w14:textId="77777777" w:rsidR="003F21B2" w:rsidRDefault="00000000">
            <w:r>
              <w:t>I</w:t>
            </w:r>
          </w:p>
        </w:tc>
        <w:tc>
          <w:tcPr>
            <w:tcW w:w="1040" w:type="dxa"/>
          </w:tcPr>
          <w:p w14:paraId="0975025A" w14:textId="77777777" w:rsidR="003F21B2" w:rsidRDefault="00000000">
            <w:r>
              <w:t>C</w:t>
            </w:r>
          </w:p>
        </w:tc>
        <w:tc>
          <w:tcPr>
            <w:tcW w:w="1040" w:type="dxa"/>
          </w:tcPr>
          <w:p w14:paraId="0975025B" w14:textId="77777777" w:rsidR="003F21B2" w:rsidRDefault="00000000">
            <w:r>
              <w:t>A/R</w:t>
            </w:r>
          </w:p>
        </w:tc>
        <w:tc>
          <w:tcPr>
            <w:tcW w:w="1040" w:type="dxa"/>
          </w:tcPr>
          <w:p w14:paraId="0975025C" w14:textId="77777777" w:rsidR="003F21B2" w:rsidRDefault="00000000">
            <w:r>
              <w:t>R</w:t>
            </w:r>
          </w:p>
        </w:tc>
        <w:tc>
          <w:tcPr>
            <w:tcW w:w="1040" w:type="dxa"/>
          </w:tcPr>
          <w:p w14:paraId="0975025D" w14:textId="77777777" w:rsidR="003F21B2" w:rsidRDefault="00000000">
            <w:r>
              <w:t>I</w:t>
            </w:r>
          </w:p>
        </w:tc>
        <w:tc>
          <w:tcPr>
            <w:tcW w:w="1040" w:type="dxa"/>
          </w:tcPr>
          <w:p w14:paraId="0975025E" w14:textId="77777777" w:rsidR="003F21B2" w:rsidRDefault="00000000">
            <w:r>
              <w:t>R</w:t>
            </w:r>
          </w:p>
        </w:tc>
        <w:tc>
          <w:tcPr>
            <w:tcW w:w="1040" w:type="dxa"/>
          </w:tcPr>
          <w:p w14:paraId="0975025F" w14:textId="77777777" w:rsidR="003F21B2" w:rsidRDefault="00000000">
            <w:r>
              <w:t>C</w:t>
            </w:r>
          </w:p>
        </w:tc>
      </w:tr>
      <w:tr w:rsidR="003F21B2" w14:paraId="0975026A" w14:textId="77777777">
        <w:tc>
          <w:tcPr>
            <w:tcW w:w="1040" w:type="dxa"/>
          </w:tcPr>
          <w:p w14:paraId="09750261" w14:textId="77777777" w:rsidR="003F21B2" w:rsidRDefault="00000000">
            <w:r>
              <w:t>Platform build and data security</w:t>
            </w:r>
          </w:p>
        </w:tc>
        <w:tc>
          <w:tcPr>
            <w:tcW w:w="1040" w:type="dxa"/>
          </w:tcPr>
          <w:p w14:paraId="09750262" w14:textId="77777777" w:rsidR="003F21B2" w:rsidRDefault="00000000">
            <w:r>
              <w:t>C</w:t>
            </w:r>
          </w:p>
        </w:tc>
        <w:tc>
          <w:tcPr>
            <w:tcW w:w="1040" w:type="dxa"/>
          </w:tcPr>
          <w:p w14:paraId="09750263" w14:textId="77777777" w:rsidR="003F21B2" w:rsidRDefault="00000000">
            <w:r>
              <w:t>I</w:t>
            </w:r>
          </w:p>
        </w:tc>
        <w:tc>
          <w:tcPr>
            <w:tcW w:w="1040" w:type="dxa"/>
          </w:tcPr>
          <w:p w14:paraId="09750264" w14:textId="77777777" w:rsidR="003F21B2" w:rsidRDefault="00000000">
            <w:r>
              <w:t>C</w:t>
            </w:r>
          </w:p>
        </w:tc>
        <w:tc>
          <w:tcPr>
            <w:tcW w:w="1040" w:type="dxa"/>
          </w:tcPr>
          <w:p w14:paraId="09750265" w14:textId="77777777" w:rsidR="003F21B2" w:rsidRDefault="00000000">
            <w:r>
              <w:t>I</w:t>
            </w:r>
          </w:p>
        </w:tc>
        <w:tc>
          <w:tcPr>
            <w:tcW w:w="1040" w:type="dxa"/>
          </w:tcPr>
          <w:p w14:paraId="09750266" w14:textId="77777777" w:rsidR="003F21B2" w:rsidRDefault="00000000">
            <w:r>
              <w:t>A/R</w:t>
            </w:r>
          </w:p>
        </w:tc>
        <w:tc>
          <w:tcPr>
            <w:tcW w:w="1040" w:type="dxa"/>
          </w:tcPr>
          <w:p w14:paraId="09750267" w14:textId="77777777" w:rsidR="003F21B2" w:rsidRDefault="00000000">
            <w:r>
              <w:t>C</w:t>
            </w:r>
          </w:p>
        </w:tc>
        <w:tc>
          <w:tcPr>
            <w:tcW w:w="1040" w:type="dxa"/>
          </w:tcPr>
          <w:p w14:paraId="09750268" w14:textId="77777777" w:rsidR="003F21B2" w:rsidRDefault="00000000">
            <w:r>
              <w:t>I</w:t>
            </w:r>
          </w:p>
        </w:tc>
        <w:tc>
          <w:tcPr>
            <w:tcW w:w="1040" w:type="dxa"/>
          </w:tcPr>
          <w:p w14:paraId="09750269" w14:textId="77777777" w:rsidR="003F21B2" w:rsidRDefault="00000000">
            <w:r>
              <w:t>I</w:t>
            </w:r>
          </w:p>
        </w:tc>
      </w:tr>
      <w:tr w:rsidR="003F21B2" w14:paraId="09750274" w14:textId="77777777">
        <w:tc>
          <w:tcPr>
            <w:tcW w:w="1040" w:type="dxa"/>
          </w:tcPr>
          <w:p w14:paraId="0975026B" w14:textId="77777777" w:rsidR="003F21B2" w:rsidRDefault="00000000">
            <w:r>
              <w:t>Environmental claims approval</w:t>
            </w:r>
          </w:p>
        </w:tc>
        <w:tc>
          <w:tcPr>
            <w:tcW w:w="1040" w:type="dxa"/>
          </w:tcPr>
          <w:p w14:paraId="0975026C" w14:textId="77777777" w:rsidR="003F21B2" w:rsidRDefault="00000000">
            <w:r>
              <w:t>C</w:t>
            </w:r>
          </w:p>
        </w:tc>
        <w:tc>
          <w:tcPr>
            <w:tcW w:w="1040" w:type="dxa"/>
          </w:tcPr>
          <w:p w14:paraId="0975026D" w14:textId="77777777" w:rsidR="003F21B2" w:rsidRDefault="00000000">
            <w:r>
              <w:t>I</w:t>
            </w:r>
          </w:p>
        </w:tc>
        <w:tc>
          <w:tcPr>
            <w:tcW w:w="1040" w:type="dxa"/>
          </w:tcPr>
          <w:p w14:paraId="0975026E" w14:textId="77777777" w:rsidR="003F21B2" w:rsidRDefault="00000000">
            <w:r>
              <w:t>A</w:t>
            </w:r>
          </w:p>
        </w:tc>
        <w:tc>
          <w:tcPr>
            <w:tcW w:w="1040" w:type="dxa"/>
          </w:tcPr>
          <w:p w14:paraId="0975026F" w14:textId="77777777" w:rsidR="003F21B2" w:rsidRDefault="00000000">
            <w:r>
              <w:t>I</w:t>
            </w:r>
          </w:p>
        </w:tc>
        <w:tc>
          <w:tcPr>
            <w:tcW w:w="1040" w:type="dxa"/>
          </w:tcPr>
          <w:p w14:paraId="09750270" w14:textId="77777777" w:rsidR="003F21B2" w:rsidRDefault="00000000">
            <w:r>
              <w:t>I</w:t>
            </w:r>
          </w:p>
        </w:tc>
        <w:tc>
          <w:tcPr>
            <w:tcW w:w="1040" w:type="dxa"/>
          </w:tcPr>
          <w:p w14:paraId="09750271" w14:textId="77777777" w:rsidR="003F21B2" w:rsidRDefault="00000000">
            <w:r>
              <w:t>R</w:t>
            </w:r>
          </w:p>
        </w:tc>
        <w:tc>
          <w:tcPr>
            <w:tcW w:w="1040" w:type="dxa"/>
          </w:tcPr>
          <w:p w14:paraId="09750272" w14:textId="77777777" w:rsidR="003F21B2" w:rsidRDefault="00000000">
            <w:r>
              <w:t>I</w:t>
            </w:r>
          </w:p>
        </w:tc>
        <w:tc>
          <w:tcPr>
            <w:tcW w:w="1040" w:type="dxa"/>
          </w:tcPr>
          <w:p w14:paraId="09750273" w14:textId="77777777" w:rsidR="003F21B2" w:rsidRDefault="00000000">
            <w:r>
              <w:t>C</w:t>
            </w:r>
          </w:p>
        </w:tc>
      </w:tr>
      <w:tr w:rsidR="003F21B2" w14:paraId="0975027E" w14:textId="77777777">
        <w:tc>
          <w:tcPr>
            <w:tcW w:w="1040" w:type="dxa"/>
          </w:tcPr>
          <w:p w14:paraId="09750275" w14:textId="77777777" w:rsidR="003F21B2" w:rsidRDefault="00000000">
            <w:r>
              <w:t>Customer launch campaign</w:t>
            </w:r>
          </w:p>
        </w:tc>
        <w:tc>
          <w:tcPr>
            <w:tcW w:w="1040" w:type="dxa"/>
          </w:tcPr>
          <w:p w14:paraId="09750276" w14:textId="77777777" w:rsidR="003F21B2" w:rsidRDefault="00000000">
            <w:r>
              <w:t>C</w:t>
            </w:r>
          </w:p>
        </w:tc>
        <w:tc>
          <w:tcPr>
            <w:tcW w:w="1040" w:type="dxa"/>
          </w:tcPr>
          <w:p w14:paraId="09750277" w14:textId="77777777" w:rsidR="003F21B2" w:rsidRDefault="00000000">
            <w:r>
              <w:t>I</w:t>
            </w:r>
          </w:p>
        </w:tc>
        <w:tc>
          <w:tcPr>
            <w:tcW w:w="1040" w:type="dxa"/>
          </w:tcPr>
          <w:p w14:paraId="09750278" w14:textId="77777777" w:rsidR="003F21B2" w:rsidRDefault="00000000">
            <w:r>
              <w:t>C</w:t>
            </w:r>
          </w:p>
        </w:tc>
        <w:tc>
          <w:tcPr>
            <w:tcW w:w="1040" w:type="dxa"/>
          </w:tcPr>
          <w:p w14:paraId="09750279" w14:textId="77777777" w:rsidR="003F21B2" w:rsidRDefault="00000000">
            <w:r>
              <w:t>I</w:t>
            </w:r>
          </w:p>
        </w:tc>
        <w:tc>
          <w:tcPr>
            <w:tcW w:w="1040" w:type="dxa"/>
          </w:tcPr>
          <w:p w14:paraId="0975027A" w14:textId="77777777" w:rsidR="003F21B2" w:rsidRDefault="00000000">
            <w:r>
              <w:t>C</w:t>
            </w:r>
          </w:p>
        </w:tc>
        <w:tc>
          <w:tcPr>
            <w:tcW w:w="1040" w:type="dxa"/>
          </w:tcPr>
          <w:p w14:paraId="0975027B" w14:textId="77777777" w:rsidR="003F21B2" w:rsidRDefault="00000000">
            <w:r>
              <w:t>A/R</w:t>
            </w:r>
          </w:p>
        </w:tc>
        <w:tc>
          <w:tcPr>
            <w:tcW w:w="1040" w:type="dxa"/>
          </w:tcPr>
          <w:p w14:paraId="0975027C" w14:textId="77777777" w:rsidR="003F21B2" w:rsidRDefault="00000000">
            <w:r>
              <w:t>I</w:t>
            </w:r>
          </w:p>
        </w:tc>
        <w:tc>
          <w:tcPr>
            <w:tcW w:w="1040" w:type="dxa"/>
          </w:tcPr>
          <w:p w14:paraId="0975027D" w14:textId="77777777" w:rsidR="003F21B2" w:rsidRDefault="00000000">
            <w:r>
              <w:t>I</w:t>
            </w:r>
          </w:p>
        </w:tc>
      </w:tr>
      <w:tr w:rsidR="003F21B2" w14:paraId="09750288" w14:textId="77777777">
        <w:tc>
          <w:tcPr>
            <w:tcW w:w="1040" w:type="dxa"/>
          </w:tcPr>
          <w:p w14:paraId="0975027F" w14:textId="77777777" w:rsidR="003F21B2" w:rsidRDefault="00000000">
            <w:r>
              <w:t>Post-launch impact review</w:t>
            </w:r>
          </w:p>
        </w:tc>
        <w:tc>
          <w:tcPr>
            <w:tcW w:w="1040" w:type="dxa"/>
          </w:tcPr>
          <w:p w14:paraId="09750280" w14:textId="77777777" w:rsidR="003F21B2" w:rsidRDefault="00000000">
            <w:r>
              <w:t>R</w:t>
            </w:r>
          </w:p>
        </w:tc>
        <w:tc>
          <w:tcPr>
            <w:tcW w:w="1040" w:type="dxa"/>
          </w:tcPr>
          <w:p w14:paraId="09750281" w14:textId="77777777" w:rsidR="003F21B2" w:rsidRDefault="00000000">
            <w:r>
              <w:t>A</w:t>
            </w:r>
          </w:p>
        </w:tc>
        <w:tc>
          <w:tcPr>
            <w:tcW w:w="1040" w:type="dxa"/>
          </w:tcPr>
          <w:p w14:paraId="09750282" w14:textId="77777777" w:rsidR="003F21B2" w:rsidRDefault="00000000">
            <w:r>
              <w:t>R</w:t>
            </w:r>
          </w:p>
        </w:tc>
        <w:tc>
          <w:tcPr>
            <w:tcW w:w="1040" w:type="dxa"/>
          </w:tcPr>
          <w:p w14:paraId="09750283" w14:textId="77777777" w:rsidR="003F21B2" w:rsidRDefault="00000000">
            <w:r>
              <w:t>C</w:t>
            </w:r>
          </w:p>
        </w:tc>
        <w:tc>
          <w:tcPr>
            <w:tcW w:w="1040" w:type="dxa"/>
          </w:tcPr>
          <w:p w14:paraId="09750284" w14:textId="77777777" w:rsidR="003F21B2" w:rsidRDefault="00000000">
            <w:r>
              <w:t>C</w:t>
            </w:r>
          </w:p>
        </w:tc>
        <w:tc>
          <w:tcPr>
            <w:tcW w:w="1040" w:type="dxa"/>
          </w:tcPr>
          <w:p w14:paraId="09750285" w14:textId="77777777" w:rsidR="003F21B2" w:rsidRDefault="00000000">
            <w:r>
              <w:t>C</w:t>
            </w:r>
          </w:p>
        </w:tc>
        <w:tc>
          <w:tcPr>
            <w:tcW w:w="1040" w:type="dxa"/>
          </w:tcPr>
          <w:p w14:paraId="09750286" w14:textId="77777777" w:rsidR="003F21B2" w:rsidRDefault="00000000">
            <w:r>
              <w:t>C</w:t>
            </w:r>
          </w:p>
        </w:tc>
        <w:tc>
          <w:tcPr>
            <w:tcW w:w="1040" w:type="dxa"/>
          </w:tcPr>
          <w:p w14:paraId="09750287" w14:textId="77777777" w:rsidR="003F21B2" w:rsidRDefault="00000000">
            <w:r>
              <w:t>C</w:t>
            </w:r>
          </w:p>
        </w:tc>
      </w:tr>
    </w:tbl>
    <w:p w14:paraId="09750289" w14:textId="77777777" w:rsidR="003F21B2" w:rsidRDefault="00000000">
      <w:r>
        <w:t>The matrix deliberately makes the Sustainability team, not Marketing, accountable for environmental claims. This separates promotion from verification and directly mitigates greenwashing risk (Delmas and Burbano, 2011).</w:t>
      </w:r>
    </w:p>
    <w:p w14:paraId="0975028A" w14:textId="77777777" w:rsidR="003F21B2" w:rsidRDefault="00000000">
      <w:pPr>
        <w:pStyle w:val="Heading3"/>
      </w:pPr>
      <w:r>
        <w:t>5.4 Adapting engagement across cultural and market contexts</w:t>
      </w:r>
    </w:p>
    <w:p w14:paraId="0975028B" w14:textId="77777777" w:rsidR="003F21B2" w:rsidRDefault="00000000">
      <w:r>
        <w:t xml:space="preserve">A single global engagement script would be inappropriate. Hofstede, </w:t>
      </w:r>
      <w:proofErr w:type="gramStart"/>
      <w:r>
        <w:t>Hofstede</w:t>
      </w:r>
      <w:proofErr w:type="gramEnd"/>
      <w:r>
        <w:t xml:space="preserve"> and Minkov (2010) show that national cultures differ in power distance, </w:t>
      </w:r>
      <w:proofErr w:type="gramStart"/>
      <w:r>
        <w:t>individualism</w:t>
      </w:r>
      <w:proofErr w:type="gramEnd"/>
      <w:r>
        <w:t xml:space="preserve"> and uncertainty avoidance. In higher power-distance markets in South-East Asia, supplier concerns may not </w:t>
      </w:r>
      <w:proofErr w:type="gramStart"/>
      <w:r>
        <w:t>be voiced</w:t>
      </w:r>
      <w:proofErr w:type="gramEnd"/>
      <w:r>
        <w:t xml:space="preserve"> openly in group workshops, so one-to-one meetings through trusted local intermediaries will </w:t>
      </w:r>
      <w:proofErr w:type="gramStart"/>
      <w:r>
        <w:t>be used</w:t>
      </w:r>
      <w:proofErr w:type="gramEnd"/>
      <w:r>
        <w:t xml:space="preserve">. In high uncertainty-avoidance markets such as Germany, customers and regulators will expect detailed, certified evidence before trusting claims. Hofstede's dimensions are, however, </w:t>
      </w:r>
      <w:proofErr w:type="spellStart"/>
      <w:r>
        <w:t>generalisations</w:t>
      </w:r>
      <w:proofErr w:type="spellEnd"/>
      <w:r>
        <w:t xml:space="preserve"> at national level and risk stereotyping individuals, so they will guide initial design and be </w:t>
      </w:r>
      <w:proofErr w:type="gramStart"/>
      <w:r>
        <w:t>tested</w:t>
      </w:r>
      <w:proofErr w:type="gramEnd"/>
      <w:r>
        <w:t xml:space="preserve"> against </w:t>
      </w:r>
      <w:r>
        <w:lastRenderedPageBreak/>
        <w:t xml:space="preserve">local team feedback rather than treated as fact. Engagement materials will </w:t>
      </w:r>
      <w:proofErr w:type="gramStart"/>
      <w:r>
        <w:t>be translated</w:t>
      </w:r>
      <w:proofErr w:type="gramEnd"/>
      <w:r>
        <w:t xml:space="preserve"> and </w:t>
      </w:r>
      <w:proofErr w:type="spellStart"/>
      <w:r>
        <w:t>localised</w:t>
      </w:r>
      <w:proofErr w:type="spellEnd"/>
      <w:r>
        <w:t xml:space="preserve">, and market launch dates staggered so that lessons from the UK </w:t>
      </w:r>
      <w:proofErr w:type="gramStart"/>
      <w:r>
        <w:t>pilot</w:t>
      </w:r>
      <w:proofErr w:type="gramEnd"/>
      <w:r>
        <w:t xml:space="preserve"> inform later markets.</w:t>
      </w:r>
    </w:p>
    <w:p w14:paraId="0975028C" w14:textId="77777777" w:rsidR="003F21B2" w:rsidRDefault="00000000">
      <w:pPr>
        <w:pStyle w:val="Heading3"/>
      </w:pPr>
      <w:r>
        <w:t xml:space="preserve">5.5 Managing </w:t>
      </w:r>
      <w:proofErr w:type="gramStart"/>
      <w:r>
        <w:t>conflict</w:t>
      </w:r>
      <w:proofErr w:type="gramEnd"/>
    </w:p>
    <w:p w14:paraId="0975028D" w14:textId="77777777" w:rsidR="003F21B2" w:rsidRDefault="00000000">
      <w:r>
        <w:t>Conflict is inevitable when stakeholders hold competing legitimate interests. The Thomas–Kilmann model, which places conflict-handling styles on axes of assertiveness and cooperativeness (Thomas, 1992), helps select a style suited to each situation rather than defaulting to avoidance or force.</w:t>
      </w:r>
    </w:p>
    <w:tbl>
      <w:tblPr>
        <w:tblStyle w:val="TableGrid"/>
        <w:tblW w:w="0" w:type="auto"/>
        <w:tblLayout w:type="fixed"/>
        <w:tblLook w:val="0420" w:firstRow="1" w:lastRow="0" w:firstColumn="0" w:lastColumn="0" w:noHBand="0" w:noVBand="1"/>
      </w:tblPr>
      <w:tblGrid>
        <w:gridCol w:w="3120"/>
        <w:gridCol w:w="3120"/>
        <w:gridCol w:w="3120"/>
      </w:tblGrid>
      <w:tr w:rsidR="003F21B2" w14:paraId="09750291" w14:textId="77777777">
        <w:trPr>
          <w:tblHeader/>
        </w:trPr>
        <w:tc>
          <w:tcPr>
            <w:tcW w:w="3120" w:type="dxa"/>
            <w:shd w:val="clear" w:color="auto" w:fill="F2F2F2"/>
          </w:tcPr>
          <w:p w14:paraId="0975028E" w14:textId="77777777" w:rsidR="003F21B2" w:rsidRDefault="00000000">
            <w:r>
              <w:t>Anticipated conflict</w:t>
            </w:r>
          </w:p>
        </w:tc>
        <w:tc>
          <w:tcPr>
            <w:tcW w:w="3120" w:type="dxa"/>
            <w:shd w:val="clear" w:color="auto" w:fill="F2F2F2"/>
          </w:tcPr>
          <w:p w14:paraId="0975028F" w14:textId="77777777" w:rsidR="003F21B2" w:rsidRDefault="00000000">
            <w:r>
              <w:t>Recommended style</w:t>
            </w:r>
          </w:p>
        </w:tc>
        <w:tc>
          <w:tcPr>
            <w:tcW w:w="3120" w:type="dxa"/>
            <w:shd w:val="clear" w:color="auto" w:fill="F2F2F2"/>
          </w:tcPr>
          <w:p w14:paraId="09750290" w14:textId="77777777" w:rsidR="003F21B2" w:rsidRDefault="00000000">
            <w:r>
              <w:t>Rationale and action</w:t>
            </w:r>
          </w:p>
        </w:tc>
      </w:tr>
      <w:tr w:rsidR="003F21B2" w14:paraId="09750295" w14:textId="77777777">
        <w:tc>
          <w:tcPr>
            <w:tcW w:w="3120" w:type="dxa"/>
          </w:tcPr>
          <w:p w14:paraId="09750292" w14:textId="77777777" w:rsidR="003F21B2" w:rsidRDefault="00000000">
            <w:r>
              <w:t>Marketing wants bold claims; Sustainability wants caution</w:t>
            </w:r>
          </w:p>
        </w:tc>
        <w:tc>
          <w:tcPr>
            <w:tcW w:w="3120" w:type="dxa"/>
          </w:tcPr>
          <w:p w14:paraId="09750293" w14:textId="77777777" w:rsidR="003F21B2" w:rsidRDefault="00000000">
            <w:r>
              <w:t>Collaborating</w:t>
            </w:r>
          </w:p>
        </w:tc>
        <w:tc>
          <w:tcPr>
            <w:tcW w:w="3120" w:type="dxa"/>
          </w:tcPr>
          <w:p w14:paraId="09750294" w14:textId="77777777" w:rsidR="003F21B2" w:rsidRDefault="00000000">
            <w:r>
              <w:t>Joint claims-evidence workshop; claims only where data meet the CMA Green Claims Code</w:t>
            </w:r>
          </w:p>
        </w:tc>
      </w:tr>
      <w:tr w:rsidR="003F21B2" w14:paraId="09750299" w14:textId="77777777">
        <w:tc>
          <w:tcPr>
            <w:tcW w:w="3120" w:type="dxa"/>
          </w:tcPr>
          <w:p w14:paraId="09750296" w14:textId="77777777" w:rsidR="003F21B2" w:rsidRDefault="00000000">
            <w:r>
              <w:t>Suppliers resist traceability costs</w:t>
            </w:r>
          </w:p>
        </w:tc>
        <w:tc>
          <w:tcPr>
            <w:tcW w:w="3120" w:type="dxa"/>
          </w:tcPr>
          <w:p w14:paraId="09750297" w14:textId="77777777" w:rsidR="003F21B2" w:rsidRDefault="00000000">
            <w:r>
              <w:t>Compromising → Collaborating</w:t>
            </w:r>
          </w:p>
        </w:tc>
        <w:tc>
          <w:tcPr>
            <w:tcW w:w="3120" w:type="dxa"/>
          </w:tcPr>
          <w:p w14:paraId="09750298" w14:textId="77777777" w:rsidR="003F21B2" w:rsidRDefault="00000000">
            <w:r>
              <w:t>Phased timelines, shared capability fund, longer contracts in return for data</w:t>
            </w:r>
          </w:p>
        </w:tc>
      </w:tr>
      <w:tr w:rsidR="003F21B2" w14:paraId="0975029D" w14:textId="77777777">
        <w:tc>
          <w:tcPr>
            <w:tcW w:w="3120" w:type="dxa"/>
          </w:tcPr>
          <w:p w14:paraId="0975029A" w14:textId="77777777" w:rsidR="003F21B2" w:rsidRDefault="00000000">
            <w:r>
              <w:t xml:space="preserve">Store teams fear resale </w:t>
            </w:r>
            <w:proofErr w:type="spellStart"/>
            <w:r>
              <w:t>cannibalises</w:t>
            </w:r>
            <w:proofErr w:type="spellEnd"/>
            <w:r>
              <w:t xml:space="preserve"> sales</w:t>
            </w:r>
          </w:p>
        </w:tc>
        <w:tc>
          <w:tcPr>
            <w:tcW w:w="3120" w:type="dxa"/>
          </w:tcPr>
          <w:p w14:paraId="0975029B" w14:textId="77777777" w:rsidR="003F21B2" w:rsidRDefault="00000000">
            <w:r>
              <w:t>Collaborating</w:t>
            </w:r>
          </w:p>
        </w:tc>
        <w:tc>
          <w:tcPr>
            <w:tcW w:w="3120" w:type="dxa"/>
          </w:tcPr>
          <w:p w14:paraId="0975029C" w14:textId="77777777" w:rsidR="003F21B2" w:rsidRDefault="00000000">
            <w:r>
              <w:t>Credit stores for circular transactions in performance metrics</w:t>
            </w:r>
          </w:p>
        </w:tc>
      </w:tr>
      <w:tr w:rsidR="003F21B2" w14:paraId="097502A1" w14:textId="77777777">
        <w:tc>
          <w:tcPr>
            <w:tcW w:w="3120" w:type="dxa"/>
          </w:tcPr>
          <w:p w14:paraId="0975029E" w14:textId="77777777" w:rsidR="003F21B2" w:rsidRDefault="00000000">
            <w:r>
              <w:t>NGO criticism of supply chain practices</w:t>
            </w:r>
          </w:p>
        </w:tc>
        <w:tc>
          <w:tcPr>
            <w:tcW w:w="3120" w:type="dxa"/>
          </w:tcPr>
          <w:p w14:paraId="0975029F" w14:textId="77777777" w:rsidR="003F21B2" w:rsidRDefault="00000000">
            <w:r>
              <w:t>Accommodating on legitimate points</w:t>
            </w:r>
          </w:p>
        </w:tc>
        <w:tc>
          <w:tcPr>
            <w:tcW w:w="3120" w:type="dxa"/>
          </w:tcPr>
          <w:p w14:paraId="097502A0" w14:textId="77777777" w:rsidR="003F21B2" w:rsidRDefault="00000000">
            <w:r>
              <w:t>Acknowledge gaps publicly and publish an improvement roadmap</w:t>
            </w:r>
          </w:p>
        </w:tc>
      </w:tr>
      <w:tr w:rsidR="003F21B2" w14:paraId="097502A5" w14:textId="77777777">
        <w:tc>
          <w:tcPr>
            <w:tcW w:w="3120" w:type="dxa"/>
          </w:tcPr>
          <w:p w14:paraId="097502A2" w14:textId="77777777" w:rsidR="003F21B2" w:rsidRDefault="00000000">
            <w:r>
              <w:t>Budget dispute between functions</w:t>
            </w:r>
          </w:p>
        </w:tc>
        <w:tc>
          <w:tcPr>
            <w:tcW w:w="3120" w:type="dxa"/>
          </w:tcPr>
          <w:p w14:paraId="097502A3" w14:textId="77777777" w:rsidR="003F21B2" w:rsidRDefault="00000000">
            <w:r>
              <w:t>Competing (by sponsor)</w:t>
            </w:r>
          </w:p>
        </w:tc>
        <w:tc>
          <w:tcPr>
            <w:tcW w:w="3120" w:type="dxa"/>
          </w:tcPr>
          <w:p w14:paraId="097502A4" w14:textId="77777777" w:rsidR="003F21B2" w:rsidRDefault="00000000">
            <w:r>
              <w:t>Escalate to steering group for a binding decision when deadlines are at risk</w:t>
            </w:r>
          </w:p>
        </w:tc>
      </w:tr>
    </w:tbl>
    <w:p w14:paraId="097502A6" w14:textId="77777777" w:rsidR="003F21B2" w:rsidRDefault="00000000">
      <w:r>
        <w:t>A three-tier escalation route supports this: relationship owner, then project steering group, then Board sponsor, each with a target resolution time. Interest-based negotiation, which focuses on underlying needs rather than fixed positions, will be the default at tiers one and two.</w:t>
      </w:r>
    </w:p>
    <w:p w14:paraId="097502A7" w14:textId="77777777" w:rsidR="003F21B2" w:rsidRDefault="00000000">
      <w:pPr>
        <w:pStyle w:val="Heading3"/>
      </w:pPr>
      <w:r>
        <w:t>5.6 Critical reflection on the process</w:t>
      </w:r>
    </w:p>
    <w:p w14:paraId="097502A8" w14:textId="77777777" w:rsidR="003F21B2" w:rsidRDefault="00000000">
      <w:r>
        <w:t xml:space="preserve">This approach is robust but not without weaknesses. Greenwood (2007) warns that engagement can </w:t>
      </w:r>
      <w:proofErr w:type="gramStart"/>
      <w:r>
        <w:t>be used</w:t>
      </w:r>
      <w:proofErr w:type="gramEnd"/>
      <w:r>
        <w:t xml:space="preserve"> as a </w:t>
      </w:r>
      <w:proofErr w:type="spellStart"/>
      <w:r>
        <w:t>legitimising</w:t>
      </w:r>
      <w:proofErr w:type="spellEnd"/>
      <w:r>
        <w:t xml:space="preserve"> ritual that manages stakeholders rather than empowering them, and that more engagement does not automatically mean more responsible </w:t>
      </w:r>
      <w:proofErr w:type="spellStart"/>
      <w:r>
        <w:t>behaviour</w:t>
      </w:r>
      <w:proofErr w:type="spellEnd"/>
      <w:r>
        <w:t xml:space="preserve">. To counter this, the plan commits to publishing what changed </w:t>
      </w:r>
      <w:proofErr w:type="gramStart"/>
      <w:r>
        <w:t>as a result of</w:t>
      </w:r>
      <w:proofErr w:type="gramEnd"/>
      <w:r>
        <w:t xml:space="preserve"> stakeholder input. There is also a resource trade-off: deep collaboration with every supplier is impossible, so the capability fund focuses on high-risk categories. Finally, tools such as RACI and power/interest grids give an impression of control in complex systems where stakeholders interact with one another, not only with the firm (Kujala et al., 2022). For this </w:t>
      </w:r>
      <w:proofErr w:type="gramStart"/>
      <w:r>
        <w:t>reason</w:t>
      </w:r>
      <w:proofErr w:type="gramEnd"/>
      <w:r>
        <w:t xml:space="preserve"> the plan relies as </w:t>
      </w:r>
      <w:proofErr w:type="gramStart"/>
      <w:r>
        <w:t>much</w:t>
      </w:r>
      <w:proofErr w:type="gramEnd"/>
      <w:r>
        <w:t xml:space="preserve"> on relationship owners' judgement as on the matrices themselves.</w:t>
      </w:r>
    </w:p>
    <w:p w14:paraId="097502A9" w14:textId="77777777" w:rsidR="003F21B2" w:rsidRDefault="00000000">
      <w:pPr>
        <w:pStyle w:val="Heading2"/>
      </w:pPr>
      <w:r>
        <w:lastRenderedPageBreak/>
        <w:t>6. Evaluating the Impact of Sustainable Stakeholder Engagement</w:t>
      </w:r>
    </w:p>
    <w:p w14:paraId="097502AA" w14:textId="77777777" w:rsidR="003F21B2" w:rsidRDefault="00000000">
      <w:r>
        <w:t xml:space="preserve">Sustainable stakeholder engagement can strengthen performance across six dimensions, but the evidence is stronger for </w:t>
      </w:r>
      <w:proofErr w:type="gramStart"/>
      <w:r>
        <w:t>some</w:t>
      </w:r>
      <w:proofErr w:type="gramEnd"/>
      <w:r>
        <w:t xml:space="preserve"> than for others, and each benefit carries a corresponding risk.</w:t>
      </w:r>
    </w:p>
    <w:p w14:paraId="097502AB" w14:textId="77777777" w:rsidR="003F21B2" w:rsidRDefault="00000000">
      <w:pPr>
        <w:pStyle w:val="Heading3"/>
      </w:pPr>
      <w:r>
        <w:t>6.1 Business performance</w:t>
      </w:r>
    </w:p>
    <w:p w14:paraId="097502AC" w14:textId="77777777" w:rsidR="003F21B2" w:rsidRDefault="00000000">
      <w:r>
        <w:t xml:space="preserve">The business case </w:t>
      </w:r>
      <w:proofErr w:type="gramStart"/>
      <w:r>
        <w:t>is supported</w:t>
      </w:r>
      <w:proofErr w:type="gramEnd"/>
      <w:r>
        <w:t xml:space="preserve"> but not conclusive. Eccles, </w:t>
      </w:r>
      <w:proofErr w:type="gramStart"/>
      <w:r>
        <w:t>Ioannou</w:t>
      </w:r>
      <w:proofErr w:type="gramEnd"/>
      <w:r>
        <w:t xml:space="preserve"> and Serafeim (2014) found that firms adopting sustainability policies early, with formal stakeholder engagement processes, outperformed matched counterparts in stock market and accounting terms over 18 years. Friede, Busch and Bassen's (2015) review of more than 2,000 studies found that most reported a non-negative relationship between ESG performance and financial performance. However, correlation does not prove causation: profitable firms may simply be able to afford sustainability. Circular services such as repair and resale also have thin margins at launch, so GreenPath 360 should </w:t>
      </w:r>
      <w:proofErr w:type="gramStart"/>
      <w:r>
        <w:t>be justified</w:t>
      </w:r>
      <w:proofErr w:type="gramEnd"/>
      <w:r>
        <w:t xml:space="preserve"> on a portfolio of financial and strategic returns, including customer lifetime value, reduced waste </w:t>
      </w:r>
      <w:proofErr w:type="gramStart"/>
      <w:r>
        <w:t>costs</w:t>
      </w:r>
      <w:proofErr w:type="gramEnd"/>
      <w:r>
        <w:t xml:space="preserve"> and regulatory readiness, rather than short-term profit alone.</w:t>
      </w:r>
    </w:p>
    <w:p w14:paraId="097502AD" w14:textId="77777777" w:rsidR="003F21B2" w:rsidRDefault="00000000">
      <w:pPr>
        <w:pStyle w:val="Heading3"/>
      </w:pPr>
      <w:r>
        <w:t>6.2 Stakeholder trust</w:t>
      </w:r>
    </w:p>
    <w:p w14:paraId="097502AE" w14:textId="77777777" w:rsidR="003F21B2" w:rsidRDefault="00000000">
      <w:r>
        <w:t xml:space="preserve">Trust is the outcome engagement most directly influences and the one most easily destroyed. Greenwashing, defined as positive communication about weak environmental performance, damages trust disproportionately (Delmas and Burbano, 2011). Regulatory evidence confirms this risk for retail: in 2024 the CMA secured formal commitments from ASOS, Boohoo and Asda's George brand to change how they make environmental claims, following its fashion greenwashing investigation, and in 2022 the Norwegian Consumer Authority challenged H&amp;M's use of environmental profile data in marketing. These cases show that trust depends on verifiable claims, which is why the RACI separates claim approval from promotion. Ashcroft et al. (2017) add that trust </w:t>
      </w:r>
      <w:proofErr w:type="gramStart"/>
      <w:r>
        <w:t>is built</w:t>
      </w:r>
      <w:proofErr w:type="gramEnd"/>
      <w:r>
        <w:t xml:space="preserve"> through continuity and directness, so consistent follow-through after launch matters more than launch publicity.</w:t>
      </w:r>
    </w:p>
    <w:p w14:paraId="097502AF" w14:textId="77777777" w:rsidR="003F21B2" w:rsidRDefault="00000000">
      <w:pPr>
        <w:pStyle w:val="Heading3"/>
      </w:pPr>
      <w:r>
        <w:t>6.3 Responsible supply chains</w:t>
      </w:r>
    </w:p>
    <w:p w14:paraId="097502B0" w14:textId="77777777" w:rsidR="003F21B2" w:rsidRDefault="00000000">
      <w:r>
        <w:t xml:space="preserve">Engagement makes supply chains more transparent and resilient, but only if it moves beyond auditing towards partnership. </w:t>
      </w:r>
      <w:proofErr w:type="spellStart"/>
      <w:r>
        <w:t>Seuring</w:t>
      </w:r>
      <w:proofErr w:type="spellEnd"/>
      <w:r>
        <w:t xml:space="preserve"> and Müller (2008) distinguish risk-focused supplier management from collaborative "sustainable product" approaches, finding that the latter generates greater long-term improvement. The aftermath of Rana Plaza showed that collective, binding commitments between brands, unions and NGOs achieved what voluntary codes had not. The risk for Northbridge is that transparency requirements simply shift costs to suppliers; the capability fund and longer contracts </w:t>
      </w:r>
      <w:proofErr w:type="gramStart"/>
      <w:r>
        <w:t>are intended</w:t>
      </w:r>
      <w:proofErr w:type="gramEnd"/>
      <w:r>
        <w:t xml:space="preserve"> to share that burden fairly.</w:t>
      </w:r>
    </w:p>
    <w:p w14:paraId="097502B1" w14:textId="77777777" w:rsidR="003F21B2" w:rsidRDefault="00000000">
      <w:pPr>
        <w:pStyle w:val="Heading3"/>
      </w:pPr>
      <w:r>
        <w:t>6.4 Innovation</w:t>
      </w:r>
    </w:p>
    <w:p w14:paraId="097502B2" w14:textId="77777777" w:rsidR="003F21B2" w:rsidRDefault="00000000">
      <w:r>
        <w:t xml:space="preserve">Stakeholders are a significant source of circular innovation. </w:t>
      </w:r>
      <w:proofErr w:type="spellStart"/>
      <w:r>
        <w:t>Bocken</w:t>
      </w:r>
      <w:proofErr w:type="spellEnd"/>
      <w:r>
        <w:t xml:space="preserve"> et al. (2016) show that slowing and closing resource loops requires redesigning both products and business models, which depends on knowledge held by suppliers, </w:t>
      </w:r>
      <w:proofErr w:type="gramStart"/>
      <w:r>
        <w:t>repairers</w:t>
      </w:r>
      <w:proofErr w:type="gramEnd"/>
      <w:r>
        <w:t xml:space="preserve"> and users. IKEA's Buy Back and Resell service, expanded internationally from 2020, and Patagonia's Worn Wear repair and resale </w:t>
      </w:r>
      <w:proofErr w:type="spellStart"/>
      <w:r>
        <w:t>programme</w:t>
      </w:r>
      <w:proofErr w:type="spellEnd"/>
      <w:r>
        <w:t xml:space="preserve"> illustrate how customer participation can generate new revenue streams and design insight. Customer repair data from GreenPath 360 can feed directly into product development, creating a learning loop. However, </w:t>
      </w:r>
      <w:r>
        <w:lastRenderedPageBreak/>
        <w:t xml:space="preserve">open innovation raises questions of intellectual property and data ownership that must </w:t>
      </w:r>
      <w:proofErr w:type="gramStart"/>
      <w:r>
        <w:t>be agreed</w:t>
      </w:r>
      <w:proofErr w:type="gramEnd"/>
      <w:r>
        <w:t xml:space="preserve"> with suppliers in advance.</w:t>
      </w:r>
    </w:p>
    <w:p w14:paraId="097502B3" w14:textId="77777777" w:rsidR="003F21B2" w:rsidRDefault="00000000">
      <w:pPr>
        <w:pStyle w:val="Heading3"/>
      </w:pPr>
      <w:r>
        <w:t>6.5 Social value</w:t>
      </w:r>
    </w:p>
    <w:p w14:paraId="097502B4" w14:textId="77777777" w:rsidR="003F21B2" w:rsidRDefault="00000000">
      <w:r>
        <w:t xml:space="preserve">Community partnerships create value beyond the firm through local repair skills, </w:t>
      </w:r>
      <w:proofErr w:type="gramStart"/>
      <w:r>
        <w:t>jobs</w:t>
      </w:r>
      <w:proofErr w:type="gramEnd"/>
      <w:r>
        <w:t xml:space="preserve"> and reduced waste. Porter and Kramer's (2011) concept of shared value suggests that such benefits can align with competitive advantage. Marks &amp; Spencer's long-running clothes "Shwopping" partnership with Oxfam is an example of a retailer and NGO jointly generating charitable income and textile reuse. Critics argue that shared value can underplay genuine trade-offs between profit and social outcomes, so social value should </w:t>
      </w:r>
      <w:proofErr w:type="gramStart"/>
      <w:r>
        <w:t>be measured</w:t>
      </w:r>
      <w:proofErr w:type="gramEnd"/>
      <w:r>
        <w:t xml:space="preserve"> independently rather than assumed.</w:t>
      </w:r>
    </w:p>
    <w:p w14:paraId="097502B5" w14:textId="77777777" w:rsidR="003F21B2" w:rsidRDefault="00000000">
      <w:pPr>
        <w:pStyle w:val="Heading3"/>
      </w:pPr>
      <w:r>
        <w:t>6.6 Long-term reputation</w:t>
      </w:r>
    </w:p>
    <w:p w14:paraId="097502B6" w14:textId="77777777" w:rsidR="003F21B2" w:rsidRDefault="00000000">
      <w:r>
        <w:t xml:space="preserve">Reputation is the cumulative result of the dimensions above. Christopher, </w:t>
      </w:r>
      <w:proofErr w:type="gramStart"/>
      <w:r>
        <w:t>Payne</w:t>
      </w:r>
      <w:proofErr w:type="gramEnd"/>
      <w:r>
        <w:t xml:space="preserve"> and Ballantyne (2013) argue that long-term value </w:t>
      </w:r>
      <w:proofErr w:type="gramStart"/>
      <w:r>
        <w:t>is created</w:t>
      </w:r>
      <w:proofErr w:type="gramEnd"/>
      <w:r>
        <w:t xml:space="preserve"> through relationships with multiple stakeholder "markets", not only customers, so reputation built with suppliers, employees and communities reinforces customer loyalty. Yet reputational gains from sustainability are slow and asymmetric: years of credible engagement can </w:t>
      </w:r>
      <w:proofErr w:type="gramStart"/>
      <w:r>
        <w:t>be undermined</w:t>
      </w:r>
      <w:proofErr w:type="gramEnd"/>
      <w:r>
        <w:t xml:space="preserve"> by one exposed supply chain failure.</w:t>
      </w:r>
    </w:p>
    <w:p w14:paraId="097502B7" w14:textId="77777777" w:rsidR="003F21B2" w:rsidRDefault="00000000">
      <w:pPr>
        <w:pStyle w:val="Heading3"/>
      </w:pPr>
      <w:r>
        <w:t>6.7 Overall evaluation</w:t>
      </w:r>
    </w:p>
    <w:p w14:paraId="097502B8" w14:textId="77777777" w:rsidR="003F21B2" w:rsidRDefault="00000000">
      <w:r>
        <w:t xml:space="preserve">On balance, the evidence suggests that sustainable engagement is a necessary condition for GreenPath 360's success but not a sufficient one. Its benefits are </w:t>
      </w:r>
      <w:proofErr w:type="gramStart"/>
      <w:r>
        <w:t>long term</w:t>
      </w:r>
      <w:proofErr w:type="gramEnd"/>
      <w:r>
        <w:t xml:space="preserve">, partly intangible and difficult to attribute, while its costs and risks are immediate. There is also a rebound risk: resale and rewards could encourage additional consumption rather than reducing it (Kirchherr, </w:t>
      </w:r>
      <w:proofErr w:type="spellStart"/>
      <w:r>
        <w:t>Reike</w:t>
      </w:r>
      <w:proofErr w:type="spellEnd"/>
      <w:r>
        <w:t xml:space="preserve"> and Hekkert, 2017). Impact must therefore </w:t>
      </w:r>
      <w:proofErr w:type="gramStart"/>
      <w:r>
        <w:t>be measured</w:t>
      </w:r>
      <w:proofErr w:type="gramEnd"/>
      <w:r>
        <w:t xml:space="preserve"> through outcome indicators such as </w:t>
      </w:r>
      <w:proofErr w:type="spellStart"/>
      <w:r>
        <w:t>tonnes</w:t>
      </w:r>
      <w:proofErr w:type="spellEnd"/>
      <w:r>
        <w:t xml:space="preserve"> diverted and product lifetimes extended, not only participation numbers.</w:t>
      </w:r>
    </w:p>
    <w:p w14:paraId="097502B9" w14:textId="77777777" w:rsidR="003F21B2" w:rsidRDefault="00000000">
      <w:pPr>
        <w:pStyle w:val="Heading2"/>
      </w:pPr>
      <w:r>
        <w:t>7. Recommendations and Conclusion</w:t>
      </w:r>
    </w:p>
    <w:p w14:paraId="097502BA" w14:textId="77777777" w:rsidR="003F21B2" w:rsidRDefault="00000000">
      <w:pPr>
        <w:pStyle w:val="Heading3"/>
      </w:pPr>
      <w:r>
        <w:t>7.1 Recommendations</w:t>
      </w:r>
    </w:p>
    <w:p w14:paraId="097502BB" w14:textId="77777777" w:rsidR="003F21B2" w:rsidRDefault="00000000">
      <w:pPr>
        <w:pStyle w:val="ListParagraph"/>
        <w:numPr>
          <w:ilvl w:val="0"/>
          <w:numId w:val="3"/>
        </w:numPr>
      </w:pPr>
      <w:r>
        <w:rPr>
          <w:b/>
        </w:rPr>
        <w:t>Pilot before scaling.</w:t>
      </w:r>
      <w:r>
        <w:t xml:space="preserve"> Launch in the UK and one EU market first, with a structured review at month three, before extending to North America and South-East Asia.</w:t>
      </w:r>
    </w:p>
    <w:p w14:paraId="097502BC" w14:textId="77777777" w:rsidR="003F21B2" w:rsidRDefault="00000000">
      <w:pPr>
        <w:pStyle w:val="ListParagraph"/>
        <w:numPr>
          <w:ilvl w:val="0"/>
          <w:numId w:val="3"/>
        </w:numPr>
      </w:pPr>
      <w:proofErr w:type="gramStart"/>
      <w:r>
        <w:rPr>
          <w:b/>
        </w:rPr>
        <w:t>Govern</w:t>
      </w:r>
      <w:proofErr w:type="gramEnd"/>
      <w:r>
        <w:rPr>
          <w:b/>
        </w:rPr>
        <w:t xml:space="preserve"> claims independently.</w:t>
      </w:r>
      <w:r>
        <w:t xml:space="preserve"> Make the Sustainability team accountable for all environmental claims, aligned to the CMA Green Claims Code, and publish the evidence methodology.</w:t>
      </w:r>
    </w:p>
    <w:p w14:paraId="097502BD" w14:textId="77777777" w:rsidR="003F21B2" w:rsidRDefault="00000000">
      <w:pPr>
        <w:pStyle w:val="ListParagraph"/>
        <w:numPr>
          <w:ilvl w:val="0"/>
          <w:numId w:val="3"/>
        </w:numPr>
      </w:pPr>
      <w:r>
        <w:rPr>
          <w:b/>
        </w:rPr>
        <w:t>Give sustainability a voice.</w:t>
      </w:r>
      <w:r>
        <w:t xml:space="preserve"> Appoint an independent NGO adviser and community panels to the steering group to represent interests the salience model overlooks.</w:t>
      </w:r>
    </w:p>
    <w:p w14:paraId="097502BE" w14:textId="77777777" w:rsidR="003F21B2" w:rsidRDefault="00000000">
      <w:pPr>
        <w:pStyle w:val="ListParagraph"/>
        <w:numPr>
          <w:ilvl w:val="0"/>
          <w:numId w:val="3"/>
        </w:numPr>
      </w:pPr>
      <w:r>
        <w:rPr>
          <w:b/>
        </w:rPr>
        <w:t>Share the supplier burden.</w:t>
      </w:r>
      <w:r>
        <w:t xml:space="preserve"> Create a supplier capability fund and offer longer contracts in exchange for verified traceability data, prioritising high-risk categories.</w:t>
      </w:r>
    </w:p>
    <w:p w14:paraId="097502BF" w14:textId="77777777" w:rsidR="003F21B2" w:rsidRDefault="00000000">
      <w:pPr>
        <w:pStyle w:val="ListParagraph"/>
        <w:numPr>
          <w:ilvl w:val="0"/>
          <w:numId w:val="3"/>
        </w:numPr>
      </w:pPr>
      <w:r>
        <w:rPr>
          <w:b/>
        </w:rPr>
        <w:t>Align incentives.</w:t>
      </w:r>
      <w:r>
        <w:t xml:space="preserve"> Credit stores and sales teams for repair, </w:t>
      </w:r>
      <w:proofErr w:type="gramStart"/>
      <w:r>
        <w:t>resale</w:t>
      </w:r>
      <w:proofErr w:type="gramEnd"/>
      <w:r>
        <w:t xml:space="preserve"> and take-back transactions, and link a share of executive objectives to a quarterly stakeholder trust index.</w:t>
      </w:r>
    </w:p>
    <w:p w14:paraId="097502C0" w14:textId="77777777" w:rsidR="003F21B2" w:rsidRDefault="00000000">
      <w:pPr>
        <w:pStyle w:val="ListParagraph"/>
        <w:numPr>
          <w:ilvl w:val="0"/>
          <w:numId w:val="3"/>
        </w:numPr>
      </w:pPr>
      <w:r>
        <w:rPr>
          <w:b/>
        </w:rPr>
        <w:t>Close the loop.</w:t>
      </w:r>
      <w:r>
        <w:t xml:space="preserve"> Publish a "you </w:t>
      </w:r>
      <w:proofErr w:type="gramStart"/>
      <w:r>
        <w:t>said,</w:t>
      </w:r>
      <w:proofErr w:type="gramEnd"/>
      <w:r>
        <w:t xml:space="preserve"> we did" report after each review to show how stakeholder input changed decisions.</w:t>
      </w:r>
    </w:p>
    <w:p w14:paraId="097502C1" w14:textId="77777777" w:rsidR="003F21B2" w:rsidRDefault="00000000">
      <w:pPr>
        <w:pStyle w:val="Heading3"/>
      </w:pPr>
      <w:r>
        <w:lastRenderedPageBreak/>
        <w:t>7.2 Conclusion</w:t>
      </w:r>
    </w:p>
    <w:p w14:paraId="097502C2" w14:textId="77777777" w:rsidR="003F21B2" w:rsidRDefault="00000000">
      <w:r>
        <w:t xml:space="preserve">This report has shown that GreenPath 360 depends on a wide network of internal and external stakeholders whose power, legitimacy and urgency differ and change over time. Combining Mendelow's matrix with the salience model produced a more defensible </w:t>
      </w:r>
      <w:proofErr w:type="spellStart"/>
      <w:r>
        <w:t>prioritisation</w:t>
      </w:r>
      <w:proofErr w:type="spellEnd"/>
      <w:r>
        <w:t xml:space="preserve"> than either tool </w:t>
      </w:r>
      <w:proofErr w:type="gramStart"/>
      <w:r>
        <w:t>alone, and</w:t>
      </w:r>
      <w:proofErr w:type="gramEnd"/>
      <w:r>
        <w:t xml:space="preserve"> revealed the need to give voice to stakeholders such as NGOs, </w:t>
      </w:r>
      <w:proofErr w:type="gramStart"/>
      <w:r>
        <w:t>communities</w:t>
      </w:r>
      <w:proofErr w:type="gramEnd"/>
      <w:r>
        <w:t xml:space="preserve"> and the environment that conventional maps underweight. The engagement process, structured through the 4Cs, a RACI matrix and culturally adapted communication, aims to move key stakeholders from awareness to commitment, while the Thomas–Kilmann model provides a disciplined approach to inevitable conflicts.</w:t>
      </w:r>
    </w:p>
    <w:p w14:paraId="097502C3" w14:textId="77777777" w:rsidR="003F21B2" w:rsidRDefault="00000000">
      <w:r>
        <w:t xml:space="preserve">The evaluation suggests that sustainable engagement can enhance trust, supply chain responsibility, innovation, social </w:t>
      </w:r>
      <w:proofErr w:type="gramStart"/>
      <w:r>
        <w:t>value</w:t>
      </w:r>
      <w:proofErr w:type="gramEnd"/>
      <w:r>
        <w:t xml:space="preserve"> and reputation, but that these benefits are long term and depend on authenticity. The greatest single risk is a gap between what GreenPath 360 claims and what it delivers. If Northbridge engages stakeholders as genuine partners rather than audiences, the initiative can become a lasting source of competitive advantage rather than a short-lived campaign.</w:t>
      </w:r>
    </w:p>
    <w:p w14:paraId="097502C4" w14:textId="77777777" w:rsidR="003F21B2" w:rsidRDefault="00000000">
      <w:pPr>
        <w:pStyle w:val="Heading2"/>
      </w:pPr>
      <w:r>
        <w:t>References</w:t>
      </w:r>
    </w:p>
    <w:p w14:paraId="097502C5" w14:textId="77777777" w:rsidR="003F21B2" w:rsidRDefault="00000000">
      <w:r>
        <w:t xml:space="preserve">Arnstein, S.R. (1969) 'A ladder of citizen participation', </w:t>
      </w:r>
      <w:r>
        <w:rPr>
          <w:i/>
        </w:rPr>
        <w:t>Journal of the American Institute of Planners</w:t>
      </w:r>
      <w:r>
        <w:t>, 35(4), pp. 216–224.</w:t>
      </w:r>
    </w:p>
    <w:p w14:paraId="097502C6" w14:textId="77777777" w:rsidR="003F21B2" w:rsidRDefault="00000000">
      <w:r>
        <w:t xml:space="preserve">Ashcroft, J., Childs, R., Myers, A. and Schluter, M. (2017) </w:t>
      </w:r>
      <w:r>
        <w:rPr>
          <w:i/>
        </w:rPr>
        <w:t xml:space="preserve">The relational lens: understanding, </w:t>
      </w:r>
      <w:proofErr w:type="gramStart"/>
      <w:r>
        <w:rPr>
          <w:i/>
        </w:rPr>
        <w:t>managing</w:t>
      </w:r>
      <w:proofErr w:type="gramEnd"/>
      <w:r>
        <w:rPr>
          <w:i/>
        </w:rPr>
        <w:t xml:space="preserve"> and measuring stakeholder relationships</w:t>
      </w:r>
      <w:r>
        <w:t>. Cambridge: Cambridge University Press.</w:t>
      </w:r>
    </w:p>
    <w:p w14:paraId="097502C7" w14:textId="77777777" w:rsidR="003F21B2" w:rsidRDefault="00000000">
      <w:proofErr w:type="spellStart"/>
      <w:r>
        <w:t>Bocken</w:t>
      </w:r>
      <w:proofErr w:type="spellEnd"/>
      <w:r>
        <w:t xml:space="preserve">, N.M.P., de Pauw, I., Bakker, C. and van der </w:t>
      </w:r>
      <w:proofErr w:type="spellStart"/>
      <w:r>
        <w:t>Grinten</w:t>
      </w:r>
      <w:proofErr w:type="spellEnd"/>
      <w:r>
        <w:t xml:space="preserve">, B. (2016) 'Product design and business model strategies for a circular economy', </w:t>
      </w:r>
      <w:r>
        <w:rPr>
          <w:i/>
        </w:rPr>
        <w:t>Journal of Industrial and Production Engineering</w:t>
      </w:r>
      <w:r>
        <w:t>, 33(5), pp. 308–320.</w:t>
      </w:r>
    </w:p>
    <w:p w14:paraId="097502C8" w14:textId="77777777" w:rsidR="003F21B2" w:rsidRDefault="00000000">
      <w:proofErr w:type="spellStart"/>
      <w:r>
        <w:t>Bridoux</w:t>
      </w:r>
      <w:proofErr w:type="spellEnd"/>
      <w:r>
        <w:t xml:space="preserve">, F. and </w:t>
      </w:r>
      <w:proofErr w:type="spellStart"/>
      <w:r>
        <w:t>Stoelhorst</w:t>
      </w:r>
      <w:proofErr w:type="spellEnd"/>
      <w:r>
        <w:t>, J.W. (2014) '</w:t>
      </w:r>
      <w:proofErr w:type="spellStart"/>
      <w:r>
        <w:t>Microfoundations</w:t>
      </w:r>
      <w:proofErr w:type="spellEnd"/>
      <w:r>
        <w:t xml:space="preserve"> for stakeholder theory: managing stakeholders with heterogeneous motives', </w:t>
      </w:r>
      <w:r>
        <w:rPr>
          <w:i/>
        </w:rPr>
        <w:t>Strategic Management Journal</w:t>
      </w:r>
      <w:r>
        <w:t>, 35(1), pp. 107–125.</w:t>
      </w:r>
    </w:p>
    <w:p w14:paraId="097502C9" w14:textId="77777777" w:rsidR="003F21B2" w:rsidRDefault="00000000">
      <w:r>
        <w:t xml:space="preserve">Bryson, J.M. (2004) 'What to do when stakeholders matter: stakeholder identification and analysis techniques', </w:t>
      </w:r>
      <w:r>
        <w:rPr>
          <w:i/>
        </w:rPr>
        <w:t>Public Management Review</w:t>
      </w:r>
      <w:r>
        <w:t>, 6(1), pp. 21–53.</w:t>
      </w:r>
    </w:p>
    <w:p w14:paraId="097502CA" w14:textId="77777777" w:rsidR="003F21B2" w:rsidRDefault="00000000">
      <w:r>
        <w:t xml:space="preserve">Christopher, M., Payne, </w:t>
      </w:r>
      <w:proofErr w:type="gramStart"/>
      <w:r>
        <w:t>A.</w:t>
      </w:r>
      <w:proofErr w:type="gramEnd"/>
      <w:r>
        <w:t xml:space="preserve"> and Ballantyne, D. (2013) </w:t>
      </w:r>
      <w:r>
        <w:rPr>
          <w:i/>
        </w:rPr>
        <w:t>Relationship marketing: creating stakeholder value</w:t>
      </w:r>
      <w:r>
        <w:t>. Saint Louis: Taylor and Francis.</w:t>
      </w:r>
    </w:p>
    <w:p w14:paraId="097502CB" w14:textId="77777777" w:rsidR="003F21B2" w:rsidRDefault="00000000">
      <w:r>
        <w:t xml:space="preserve">Competition and Markets Authority (2021) </w:t>
      </w:r>
      <w:r>
        <w:rPr>
          <w:i/>
        </w:rPr>
        <w:t>Making environmental claims on goods and services (Green Claims Code)</w:t>
      </w:r>
      <w:r>
        <w:t>. London: CMA.</w:t>
      </w:r>
    </w:p>
    <w:p w14:paraId="097502CC" w14:textId="77777777" w:rsidR="003F21B2" w:rsidRDefault="00000000">
      <w:r>
        <w:t xml:space="preserve">Delmas, M.A. and Burbano, V.C. (2011) 'The drivers of greenwashing', </w:t>
      </w:r>
      <w:r>
        <w:rPr>
          <w:i/>
        </w:rPr>
        <w:t>California Management Review</w:t>
      </w:r>
      <w:r>
        <w:t>, 54(1), pp. 64–87.</w:t>
      </w:r>
    </w:p>
    <w:p w14:paraId="097502CD" w14:textId="77777777" w:rsidR="003F21B2" w:rsidRDefault="00000000">
      <w:r>
        <w:t xml:space="preserve">Eccles, R.G., Ioannou, I. and Serafeim, G. (2014) 'The impact of corporate sustainability on organizational processes and performance', </w:t>
      </w:r>
      <w:r>
        <w:rPr>
          <w:i/>
        </w:rPr>
        <w:t>Management Science</w:t>
      </w:r>
      <w:r>
        <w:t>, 60(11), pp. 2835–2857.</w:t>
      </w:r>
    </w:p>
    <w:p w14:paraId="097502CE" w14:textId="77777777" w:rsidR="003F21B2" w:rsidRDefault="00000000">
      <w:r>
        <w:t xml:space="preserve">Ellen MacArthur Foundation (2013) </w:t>
      </w:r>
      <w:r>
        <w:rPr>
          <w:i/>
        </w:rPr>
        <w:t>Towards the circular economy, Vol. 1: economic and business rationale for an accelerated transition</w:t>
      </w:r>
      <w:r>
        <w:t>. Cowes: Ellen MacArthur Foundation.</w:t>
      </w:r>
    </w:p>
    <w:p w14:paraId="097502CF" w14:textId="77777777" w:rsidR="003F21B2" w:rsidRDefault="00000000">
      <w:r>
        <w:t xml:space="preserve">Eskerod, P. and Jepsen, A.L. (2013) </w:t>
      </w:r>
      <w:r>
        <w:rPr>
          <w:i/>
        </w:rPr>
        <w:t>Project stakeholder management</w:t>
      </w:r>
      <w:r>
        <w:t>. Farnham: Gower.</w:t>
      </w:r>
    </w:p>
    <w:p w14:paraId="097502D0" w14:textId="77777777" w:rsidR="003F21B2" w:rsidRDefault="00000000">
      <w:r>
        <w:lastRenderedPageBreak/>
        <w:t xml:space="preserve">Freeman, R.E. (1984) </w:t>
      </w:r>
      <w:r>
        <w:rPr>
          <w:i/>
        </w:rPr>
        <w:t>Strategic management: a stakeholder approach</w:t>
      </w:r>
      <w:r>
        <w:t>. Boston: Pitman.</w:t>
      </w:r>
    </w:p>
    <w:p w14:paraId="097502D1" w14:textId="77777777" w:rsidR="003F21B2" w:rsidRDefault="00000000">
      <w:r>
        <w:t xml:space="preserve">Freeman, R.E., Harrison, J.S. and </w:t>
      </w:r>
      <w:proofErr w:type="spellStart"/>
      <w:r>
        <w:t>Zyglidopoulos</w:t>
      </w:r>
      <w:proofErr w:type="spellEnd"/>
      <w:r>
        <w:t xml:space="preserve">, S. (2018) </w:t>
      </w:r>
      <w:r>
        <w:rPr>
          <w:i/>
        </w:rPr>
        <w:t>Stakeholder theory: concepts and strategies</w:t>
      </w:r>
      <w:r>
        <w:t>. Cambridge: Cambridge University Press.</w:t>
      </w:r>
    </w:p>
    <w:p w14:paraId="097502D2" w14:textId="77777777" w:rsidR="003F21B2" w:rsidRDefault="00000000">
      <w:r>
        <w:t xml:space="preserve">Friede, G., Busch, </w:t>
      </w:r>
      <w:proofErr w:type="gramStart"/>
      <w:r>
        <w:t>T.</w:t>
      </w:r>
      <w:proofErr w:type="gramEnd"/>
      <w:r>
        <w:t xml:space="preserve"> and Bassen, A. (2015) 'ESG and financial performance: aggregated evidence from more than 2000 empirical studies', </w:t>
      </w:r>
      <w:r>
        <w:rPr>
          <w:i/>
        </w:rPr>
        <w:t>Journal of Sustainable Finance &amp; Investment</w:t>
      </w:r>
      <w:r>
        <w:t>, 5(4), pp. 210–233.</w:t>
      </w:r>
    </w:p>
    <w:p w14:paraId="097502D3" w14:textId="77777777" w:rsidR="003F21B2" w:rsidRDefault="00000000">
      <w:r>
        <w:t xml:space="preserve">Geissdoerfer, M., </w:t>
      </w:r>
      <w:proofErr w:type="spellStart"/>
      <w:r>
        <w:t>Savaget</w:t>
      </w:r>
      <w:proofErr w:type="spellEnd"/>
      <w:r>
        <w:t xml:space="preserve">, P., Bocken, N.M.P. and </w:t>
      </w:r>
      <w:proofErr w:type="spellStart"/>
      <w:r>
        <w:t>Hultink</w:t>
      </w:r>
      <w:proofErr w:type="spellEnd"/>
      <w:r>
        <w:t xml:space="preserve">, E.J. (2017) 'The circular economy – a new sustainability paradigm?', </w:t>
      </w:r>
      <w:r>
        <w:rPr>
          <w:i/>
        </w:rPr>
        <w:t>Journal of Cleaner Production</w:t>
      </w:r>
      <w:r>
        <w:t>, 143, pp. 757–768.</w:t>
      </w:r>
    </w:p>
    <w:p w14:paraId="097502D4" w14:textId="77777777" w:rsidR="003F21B2" w:rsidRDefault="00000000">
      <w:r>
        <w:t xml:space="preserve">Greenwood, M. (2007) 'Stakeholder engagement: beyond the myth of corporate responsibility', </w:t>
      </w:r>
      <w:r>
        <w:rPr>
          <w:i/>
        </w:rPr>
        <w:t>Journal of Business Ethics</w:t>
      </w:r>
      <w:r>
        <w:t>, 74(4), pp. 315–327.</w:t>
      </w:r>
    </w:p>
    <w:p w14:paraId="097502D5" w14:textId="77777777" w:rsidR="003F21B2" w:rsidRDefault="00000000">
      <w:r>
        <w:t xml:space="preserve">Hofstede, G., Hofstede, G.J. and Minkov, M. (2010) </w:t>
      </w:r>
      <w:r>
        <w:rPr>
          <w:i/>
        </w:rPr>
        <w:t>Cultures and organizations: software of the mind</w:t>
      </w:r>
      <w:r>
        <w:t xml:space="preserve">. 3rd </w:t>
      </w:r>
      <w:proofErr w:type="spellStart"/>
      <w:r>
        <w:t>edn</w:t>
      </w:r>
      <w:proofErr w:type="spellEnd"/>
      <w:r>
        <w:t>. New York: McGraw-Hill.</w:t>
      </w:r>
    </w:p>
    <w:p w14:paraId="097502D6" w14:textId="77777777" w:rsidR="003F21B2" w:rsidRDefault="00000000">
      <w:proofErr w:type="spellStart"/>
      <w:r>
        <w:t>Hörisch</w:t>
      </w:r>
      <w:proofErr w:type="spellEnd"/>
      <w:r>
        <w:t xml:space="preserve">, J., Freeman, R.E. and </w:t>
      </w:r>
      <w:proofErr w:type="spellStart"/>
      <w:r>
        <w:t>Schaltegger</w:t>
      </w:r>
      <w:proofErr w:type="spellEnd"/>
      <w:r>
        <w:t xml:space="preserve">, S. (2014) 'Applying stakeholder theory in sustainability management: links, similarities, dissimilarities, and a conceptual framework', </w:t>
      </w:r>
      <w:r>
        <w:rPr>
          <w:i/>
        </w:rPr>
        <w:t>Organization &amp; Environment</w:t>
      </w:r>
      <w:r>
        <w:t>, 27(4), pp. 328–346.</w:t>
      </w:r>
    </w:p>
    <w:p w14:paraId="097502D7" w14:textId="77777777" w:rsidR="003F21B2" w:rsidRDefault="00000000">
      <w:r>
        <w:t xml:space="preserve">Kirchherr, J., </w:t>
      </w:r>
      <w:proofErr w:type="spellStart"/>
      <w:r>
        <w:t>Reike</w:t>
      </w:r>
      <w:proofErr w:type="spellEnd"/>
      <w:r>
        <w:t xml:space="preserve">, D. and Hekkert, M. (2017) 'Conceptualizing the circular economy: an analysis of 114 definitions', </w:t>
      </w:r>
      <w:r>
        <w:rPr>
          <w:i/>
        </w:rPr>
        <w:t>Resources, Conservation and Recycling</w:t>
      </w:r>
      <w:r>
        <w:t>, 127, pp. 221–232.</w:t>
      </w:r>
    </w:p>
    <w:p w14:paraId="097502D8" w14:textId="77777777" w:rsidR="003F21B2" w:rsidRDefault="00000000">
      <w:r>
        <w:t xml:space="preserve">Kujala, J., Sachs, S., Leinonen, H., Heikkinen, A. and Laude, D. (2022) 'Stakeholder engagement: past, present, and future', </w:t>
      </w:r>
      <w:r>
        <w:rPr>
          <w:i/>
        </w:rPr>
        <w:t>Business &amp; Society</w:t>
      </w:r>
      <w:r>
        <w:t>, 61(5), pp. 1136–1196.</w:t>
      </w:r>
    </w:p>
    <w:p w14:paraId="097502D9" w14:textId="77777777" w:rsidR="003F21B2" w:rsidRDefault="00000000">
      <w:r>
        <w:t xml:space="preserve">Mendelow, A. (1991) 'Stakeholder mapping', </w:t>
      </w:r>
      <w:r>
        <w:rPr>
          <w:i/>
        </w:rPr>
        <w:t>Proceedings of the 2nd International Conference on Information Systems</w:t>
      </w:r>
      <w:r>
        <w:t>. Cambridge, MA.</w:t>
      </w:r>
    </w:p>
    <w:p w14:paraId="097502DA" w14:textId="77777777" w:rsidR="003F21B2" w:rsidRDefault="00000000">
      <w:r>
        <w:t xml:space="preserve">Mitchell, R.K., Agle, B.R. and Wood, D.J. (1997) 'Toward a theory of stakeholder identification and salience: defining the principle of who and what really counts', </w:t>
      </w:r>
      <w:r>
        <w:rPr>
          <w:i/>
        </w:rPr>
        <w:t>Academy of Management Review</w:t>
      </w:r>
      <w:r>
        <w:t>, 22(4), pp. 853–886.</w:t>
      </w:r>
    </w:p>
    <w:p w14:paraId="097502DB" w14:textId="77777777" w:rsidR="003F21B2" w:rsidRDefault="00000000">
      <w:r>
        <w:t xml:space="preserve">Porter, M.E. and Kramer, M.R. (2011) 'Creating shared value', </w:t>
      </w:r>
      <w:r>
        <w:rPr>
          <w:i/>
        </w:rPr>
        <w:t>Harvard Business Review</w:t>
      </w:r>
      <w:r>
        <w:t>, 89(1/2), pp. 62–77.</w:t>
      </w:r>
    </w:p>
    <w:p w14:paraId="097502DC" w14:textId="77777777" w:rsidR="003F21B2" w:rsidRDefault="00000000">
      <w:r>
        <w:t xml:space="preserve">Project Management Institute (2021) </w:t>
      </w:r>
      <w:r>
        <w:rPr>
          <w:i/>
        </w:rPr>
        <w:t>A guide to the project management body of knowledge (PMBOK guide)</w:t>
      </w:r>
      <w:r>
        <w:t xml:space="preserve">. 7th </w:t>
      </w:r>
      <w:proofErr w:type="spellStart"/>
      <w:r>
        <w:t>edn</w:t>
      </w:r>
      <w:proofErr w:type="spellEnd"/>
      <w:r>
        <w:t>. Newtown Square, PA: Project Management Institute.</w:t>
      </w:r>
    </w:p>
    <w:p w14:paraId="097502DD" w14:textId="77777777" w:rsidR="003F21B2" w:rsidRDefault="00000000">
      <w:proofErr w:type="spellStart"/>
      <w:r>
        <w:t>Seuring</w:t>
      </w:r>
      <w:proofErr w:type="spellEnd"/>
      <w:r>
        <w:t xml:space="preserve">, S. and Müller, M. (2008) 'From a literature review to a conceptual framework for sustainable supply chain management', </w:t>
      </w:r>
      <w:r>
        <w:rPr>
          <w:i/>
        </w:rPr>
        <w:t>Journal of Cleaner Production</w:t>
      </w:r>
      <w:r>
        <w:t>, 16(15), pp. 1699–1710.</w:t>
      </w:r>
    </w:p>
    <w:p w14:paraId="097502DE" w14:textId="77777777" w:rsidR="003F21B2" w:rsidRDefault="00000000">
      <w:r>
        <w:t xml:space="preserve">Thomas, K.W. (1992) 'Conflict and conflict management: reflections and update', </w:t>
      </w:r>
      <w:r>
        <w:rPr>
          <w:i/>
        </w:rPr>
        <w:t>Journal of Organizational Behavior</w:t>
      </w:r>
      <w:r>
        <w:t>, 13(3), pp. 265–274.</w:t>
      </w:r>
    </w:p>
    <w:sectPr w:rsidR="003F21B2">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nsolas">
    <w:panose1 w:val="00000000000000000000"/>
    <w:charset w:val="00"/>
    <w:family w:val="roman"/>
    <w:notTrueType/>
    <w:pitch w:val="default"/>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B11DF9"/>
    <w:multiLevelType w:val="hybridMultilevel"/>
    <w:tmpl w:val="1F86B46C"/>
    <w:lvl w:ilvl="0" w:tplc="1DAA6E04">
      <w:start w:val="1"/>
      <w:numFmt w:val="bullet"/>
      <w:lvlText w:val="•"/>
      <w:lvlJc w:val="left"/>
      <w:pPr>
        <w:ind w:left="720" w:hanging="360"/>
      </w:pPr>
    </w:lvl>
    <w:lvl w:ilvl="1" w:tplc="30D8535E">
      <w:start w:val="1"/>
      <w:numFmt w:val="bullet"/>
      <w:lvlText w:val="o"/>
      <w:lvlJc w:val="left"/>
      <w:pPr>
        <w:ind w:left="1440" w:hanging="360"/>
      </w:pPr>
    </w:lvl>
    <w:lvl w:ilvl="2" w:tplc="B61CD0AE">
      <w:start w:val="1"/>
      <w:numFmt w:val="bullet"/>
      <w:lvlText w:val="▪"/>
      <w:lvlJc w:val="left"/>
      <w:pPr>
        <w:ind w:left="2160" w:hanging="360"/>
      </w:pPr>
    </w:lvl>
    <w:lvl w:ilvl="3" w:tplc="5F42FAAE">
      <w:start w:val="1"/>
      <w:numFmt w:val="bullet"/>
      <w:lvlText w:val="•"/>
      <w:lvlJc w:val="left"/>
      <w:pPr>
        <w:ind w:left="2880" w:hanging="360"/>
      </w:pPr>
    </w:lvl>
    <w:lvl w:ilvl="4" w:tplc="B054FEA4">
      <w:start w:val="1"/>
      <w:numFmt w:val="bullet"/>
      <w:lvlText w:val="o"/>
      <w:lvlJc w:val="left"/>
      <w:pPr>
        <w:ind w:left="3600" w:hanging="360"/>
      </w:pPr>
    </w:lvl>
    <w:lvl w:ilvl="5" w:tplc="9EF83980">
      <w:start w:val="1"/>
      <w:numFmt w:val="bullet"/>
      <w:lvlText w:val="▪"/>
      <w:lvlJc w:val="left"/>
      <w:pPr>
        <w:ind w:left="4320" w:hanging="360"/>
      </w:pPr>
    </w:lvl>
    <w:lvl w:ilvl="6" w:tplc="4C942652">
      <w:start w:val="1"/>
      <w:numFmt w:val="bullet"/>
      <w:lvlText w:val="•"/>
      <w:lvlJc w:val="left"/>
      <w:pPr>
        <w:ind w:left="5040" w:hanging="360"/>
      </w:pPr>
    </w:lvl>
    <w:lvl w:ilvl="7" w:tplc="615435DA">
      <w:start w:val="1"/>
      <w:numFmt w:val="bullet"/>
      <w:lvlText w:val="o"/>
      <w:lvlJc w:val="left"/>
      <w:pPr>
        <w:ind w:left="5760" w:hanging="360"/>
      </w:pPr>
    </w:lvl>
    <w:lvl w:ilvl="8" w:tplc="59408566">
      <w:start w:val="1"/>
      <w:numFmt w:val="bullet"/>
      <w:lvlText w:val="▪"/>
      <w:lvlJc w:val="left"/>
      <w:pPr>
        <w:ind w:left="6480" w:hanging="360"/>
      </w:pPr>
    </w:lvl>
  </w:abstractNum>
  <w:abstractNum w:abstractNumId="1" w15:restartNumberingAfterBreak="0">
    <w:nsid w:val="6CA410FC"/>
    <w:multiLevelType w:val="hybridMultilevel"/>
    <w:tmpl w:val="7D4C5A04"/>
    <w:lvl w:ilvl="0" w:tplc="AA8671EE">
      <w:start w:val="1"/>
      <w:numFmt w:val="decimal"/>
      <w:lvlText w:val="%1."/>
      <w:lvlJc w:val="left"/>
      <w:pPr>
        <w:ind w:left="720" w:hanging="360"/>
      </w:pPr>
    </w:lvl>
    <w:lvl w:ilvl="1" w:tplc="37D2EB0E">
      <w:start w:val="1"/>
      <w:numFmt w:val="lowerLetter"/>
      <w:lvlText w:val="%2."/>
      <w:lvlJc w:val="left"/>
      <w:pPr>
        <w:ind w:left="1440" w:hanging="360"/>
      </w:pPr>
    </w:lvl>
    <w:lvl w:ilvl="2" w:tplc="FEBE8992">
      <w:start w:val="1"/>
      <w:numFmt w:val="lowerRoman"/>
      <w:lvlText w:val="%3."/>
      <w:lvlJc w:val="left"/>
      <w:pPr>
        <w:ind w:left="2160" w:hanging="360"/>
      </w:pPr>
    </w:lvl>
    <w:lvl w:ilvl="3" w:tplc="18721FDE">
      <w:start w:val="1"/>
      <w:numFmt w:val="decimal"/>
      <w:lvlText w:val="%4."/>
      <w:lvlJc w:val="left"/>
      <w:pPr>
        <w:ind w:left="2880" w:hanging="360"/>
      </w:pPr>
    </w:lvl>
    <w:lvl w:ilvl="4" w:tplc="D23E353E">
      <w:start w:val="1"/>
      <w:numFmt w:val="lowerLetter"/>
      <w:lvlText w:val="%5."/>
      <w:lvlJc w:val="left"/>
      <w:pPr>
        <w:ind w:left="3600" w:hanging="360"/>
      </w:pPr>
    </w:lvl>
    <w:lvl w:ilvl="5" w:tplc="08DEADB4">
      <w:start w:val="1"/>
      <w:numFmt w:val="lowerRoman"/>
      <w:lvlText w:val="%6."/>
      <w:lvlJc w:val="left"/>
      <w:pPr>
        <w:ind w:left="4320" w:hanging="360"/>
      </w:pPr>
    </w:lvl>
    <w:lvl w:ilvl="6" w:tplc="6E2CEA8C">
      <w:start w:val="1"/>
      <w:numFmt w:val="decimal"/>
      <w:lvlText w:val="%7."/>
      <w:lvlJc w:val="left"/>
      <w:pPr>
        <w:ind w:left="5040" w:hanging="360"/>
      </w:pPr>
    </w:lvl>
    <w:lvl w:ilvl="7" w:tplc="9FC84EF6">
      <w:start w:val="1"/>
      <w:numFmt w:val="lowerLetter"/>
      <w:lvlText w:val="%8."/>
      <w:lvlJc w:val="left"/>
      <w:pPr>
        <w:ind w:left="5760" w:hanging="360"/>
      </w:pPr>
    </w:lvl>
    <w:lvl w:ilvl="8" w:tplc="8672268A">
      <w:start w:val="1"/>
      <w:numFmt w:val="lowerRoman"/>
      <w:lvlText w:val="%9."/>
      <w:lvlJc w:val="left"/>
      <w:pPr>
        <w:ind w:left="6480" w:hanging="360"/>
      </w:pPr>
    </w:lvl>
  </w:abstractNum>
  <w:num w:numId="1" w16cid:durableId="1095128040">
    <w:abstractNumId w:val="0"/>
  </w:num>
  <w:num w:numId="2" w16cid:durableId="77680952">
    <w:abstractNumId w:val="1"/>
    <w:lvlOverride w:ilvl="0">
      <w:startOverride w:val="1"/>
    </w:lvlOverride>
  </w:num>
  <w:num w:numId="3" w16cid:durableId="1154377827">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3F21B2"/>
    <w:rsid w:val="00325317"/>
    <w:rsid w:val="003F21B2"/>
    <w:rsid w:val="004448D0"/>
    <w:rsid w:val="00870E56"/>
    <w:rsid w:val="00C87B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500F5"/>
  <w15:docId w15:val="{F0FB997D-80D5-41C9-A086-A6858A977E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spacing w:before="360" w:after="120"/>
      <w:outlineLvl w:val="0"/>
    </w:pPr>
    <w:rPr>
      <w:b/>
      <w:sz w:val="32"/>
    </w:rPr>
  </w:style>
  <w:style w:type="paragraph" w:styleId="Heading2">
    <w:name w:val="heading 2"/>
    <w:basedOn w:val="Normal"/>
    <w:next w:val="Normal"/>
    <w:uiPriority w:val="9"/>
    <w:unhideWhenUsed/>
    <w:qFormat/>
    <w:pPr>
      <w:keepNext/>
      <w:spacing w:before="280" w:after="100"/>
      <w:outlineLvl w:val="1"/>
    </w:pPr>
    <w:rPr>
      <w:b/>
      <w:sz w:val="26"/>
    </w:rPr>
  </w:style>
  <w:style w:type="paragraph" w:styleId="Heading3">
    <w:name w:val="heading 3"/>
    <w:basedOn w:val="Normal"/>
    <w:next w:val="Normal"/>
    <w:uiPriority w:val="9"/>
    <w:unhideWhenUsed/>
    <w:qFormat/>
    <w:pPr>
      <w:keepNext/>
      <w:spacing w:before="240" w:after="80"/>
      <w:outlineLvl w:val="2"/>
    </w:pPr>
    <w:rPr>
      <w:b/>
      <w:sz w:val="24"/>
    </w:rPr>
  </w:style>
  <w:style w:type="paragraph" w:styleId="Heading4">
    <w:name w:val="heading 4"/>
    <w:basedOn w:val="Normal"/>
    <w:next w:val="Normal"/>
    <w:uiPriority w:val="9"/>
    <w:semiHidden/>
    <w:unhideWhenUsed/>
    <w:qFormat/>
    <w:pPr>
      <w:keepNext/>
      <w:outlineLvl w:val="3"/>
    </w:pPr>
    <w:rPr>
      <w:b/>
    </w:rPr>
  </w:style>
  <w:style w:type="paragraph" w:styleId="Heading5">
    <w:name w:val="heading 5"/>
    <w:basedOn w:val="Normal"/>
    <w:next w:val="Normal"/>
    <w:uiPriority w:val="9"/>
    <w:semiHidden/>
    <w:unhideWhenUsed/>
    <w:qFormat/>
    <w:pPr>
      <w:keepNext/>
      <w:outlineLvl w:val="4"/>
    </w:pPr>
    <w:rPr>
      <w:b/>
    </w:rPr>
  </w:style>
  <w:style w:type="paragraph" w:styleId="Heading6">
    <w:name w:val="heading 6"/>
    <w:basedOn w:val="Normal"/>
    <w:next w:val="Normal"/>
    <w:uiPriority w:val="9"/>
    <w:semiHidden/>
    <w:unhideWhenUsed/>
    <w:qFormat/>
    <w:pPr>
      <w:keepNext/>
      <w:outlineLvl w:val="5"/>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contextualSpacing/>
    </w:pPr>
    <w:rPr>
      <w:sz w:val="56"/>
    </w:rPr>
  </w:style>
  <w:style w:type="paragraph" w:styleId="Quote">
    <w:name w:val="Quote"/>
    <w:basedOn w:val="Normal"/>
    <w:qFormat/>
    <w:pPr>
      <w:pBdr>
        <w:left w:val="single" w:sz="12" w:space="8" w:color="A0A0A0"/>
      </w:pBdr>
      <w:ind w:left="720" w:right="720"/>
    </w:pPr>
    <w:rPr>
      <w:i/>
      <w:color w:val="404040"/>
    </w:rPr>
  </w:style>
  <w:style w:type="paragraph" w:customStyle="1" w:styleId="Code">
    <w:name w:val="Code"/>
    <w:basedOn w:val="Normal"/>
    <w:link w:val="CodeChar"/>
    <w:pPr>
      <w:shd w:val="clear" w:color="auto" w:fill="F5F5F5"/>
      <w:spacing w:after="0" w:line="240" w:lineRule="auto"/>
      <w:contextualSpacing/>
    </w:pPr>
    <w:rPr>
      <w:rFonts w:ascii="Consolas" w:eastAsia="Consolas" w:hAnsi="Consolas" w:cs="Consolas"/>
      <w:sz w:val="20"/>
    </w:rPr>
  </w:style>
  <w:style w:type="character" w:customStyle="1" w:styleId="CodeChar">
    <w:name w:val="Code Char"/>
    <w:link w:val="Code"/>
    <w:rPr>
      <w:rFonts w:ascii="Consolas" w:eastAsia="Consolas" w:hAnsi="Consolas" w:cs="Consolas"/>
      <w:sz w:val="20"/>
      <w:shd w:val="clear" w:color="auto" w:fill="F5F5F5"/>
    </w:rPr>
  </w:style>
  <w:style w:type="paragraph" w:styleId="ListParagraph">
    <w:name w:val="List Paragraph"/>
    <w:basedOn w:val="Normal"/>
    <w:qFormat/>
    <w:pPr>
      <w:ind w:left="720"/>
      <w:contextualSpacing/>
    </w:pPr>
  </w:style>
  <w:style w:type="character" w:styleId="Hyperlink">
    <w:name w:val="Hyperlink"/>
    <w:rPr>
      <w:color w:val="0563C1"/>
      <w:u w:val="single"/>
    </w:rPr>
  </w:style>
  <w:style w:type="paragraph" w:styleId="CommentText">
    <w:name w:val="annotation text"/>
    <w:basedOn w:val="Normal"/>
    <w:pPr>
      <w:spacing w:line="240" w:lineRule="auto"/>
    </w:pPr>
    <w:rPr>
      <w:sz w:val="20"/>
      <w:szCs w:val="20"/>
    </w:rPr>
  </w:style>
  <w:style w:type="character" w:styleId="CommentReference">
    <w:name w:val="annotation reference"/>
    <w:rPr>
      <w:sz w:val="16"/>
      <w:szCs w:val="16"/>
    </w:rPr>
  </w:style>
  <w:style w:type="table" w:styleId="TableGrid">
    <w:name w:val="Table Grid"/>
    <w:basedOn w:val="TableNormal"/>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TotalTime>
  <Pages>15</Pages>
  <Words>4869</Words>
  <Characters>27759</Characters>
  <Application>Microsoft Office Word</Application>
  <DocSecurity>0</DocSecurity>
  <Lines>231</Lines>
  <Paragraphs>65</Paragraphs>
  <ScaleCrop>false</ScaleCrop>
  <Company/>
  <LinksUpToDate>false</LinksUpToDate>
  <CharactersWithSpaces>32563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Stakeholder Engagement for the Successful Launch of GreenPath 360</dc:title>
  <dc:description>Claude Docs node/914ed286-75a8@11 docx-w6</dc:description>
  <cp:lastModifiedBy>Ionela surugiu</cp:lastModifiedBy>
  <cp:revision>14</cp:revision>
  <dcterms:created xsi:type="dcterms:W3CDTF">2026-10-13T17:25:00Z</dcterms:created>
  <dcterms:modified xsi:type="dcterms:W3CDTF">2026-10-13T17:29:00Z</dcterms:modified>
</cp:coreProperties>
</file>