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BAC9F25" w:rsidP="6D12336A" w:rsidRDefault="2BAC9F25" w14:paraId="31494703" w14:textId="0923AF8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2BAC9F25">
        <w:rPr>
          <w:rFonts w:ascii="Arial" w:hAnsi="Arial" w:eastAsia="Arial" w:cs="Arial" w:asciiTheme="minorAscii" w:hAnsiTheme="minorAscii" w:eastAsiaTheme="minorAscii" w:cstheme="minorAscii"/>
          <w:sz w:val="22"/>
          <w:szCs w:val="22"/>
        </w:rPr>
        <w:t xml:space="preserve">University of Wales Trinity Saint David </w:t>
      </w:r>
    </w:p>
    <w:p w:rsidR="2BAC9F25" w:rsidP="6D12336A" w:rsidRDefault="2BAC9F25" w14:paraId="7FAF67E7" w14:textId="10FABBB6">
      <w:pPr>
        <w:pStyle w:val="Normal"/>
        <w:bidi w:val="0"/>
        <w:spacing w:before="0" w:beforeAutospacing="off" w:after="160" w:afterAutospacing="off" w:line="360" w:lineRule="auto"/>
        <w:ind w:left="0" w:right="0"/>
        <w:jc w:val="left"/>
      </w:pPr>
      <w:r w:rsidRPr="6D12336A" w:rsidR="2BAC9F25">
        <w:rPr>
          <w:rFonts w:ascii="Arial" w:hAnsi="Arial" w:eastAsia="Arial" w:cs="Arial" w:asciiTheme="minorAscii" w:hAnsiTheme="minorAscii" w:eastAsiaTheme="minorAscii" w:cstheme="minorAscii"/>
          <w:sz w:val="22"/>
          <w:szCs w:val="22"/>
        </w:rPr>
        <w:t xml:space="preserve">BSc (Hons) Health and Social Care </w:t>
      </w:r>
    </w:p>
    <w:p w:rsidR="2BAC9F25" w:rsidP="6D12336A" w:rsidRDefault="2BAC9F25" w14:paraId="79271434" w14:textId="762C682D">
      <w:pPr>
        <w:pStyle w:val="Normal"/>
        <w:bidi w:val="0"/>
        <w:spacing w:before="0" w:beforeAutospacing="off" w:after="160" w:afterAutospacing="off" w:line="360" w:lineRule="auto"/>
        <w:ind w:left="0" w:right="0"/>
        <w:jc w:val="left"/>
      </w:pPr>
      <w:r w:rsidRPr="6D12336A" w:rsidR="2BAC9F25">
        <w:rPr>
          <w:rFonts w:ascii="Arial" w:hAnsi="Arial" w:eastAsia="Arial" w:cs="Arial" w:asciiTheme="minorAscii" w:hAnsiTheme="minorAscii" w:eastAsiaTheme="minorAscii" w:cstheme="minorAscii"/>
          <w:sz w:val="22"/>
          <w:szCs w:val="22"/>
        </w:rPr>
        <w:t xml:space="preserve">Module Title: Principles of Health and Social Care Practice </w:t>
      </w:r>
      <w:r>
        <w:br/>
      </w:r>
      <w:r w:rsidRPr="6D12336A" w:rsidR="2BAC9F25">
        <w:rPr>
          <w:rFonts w:ascii="Arial" w:hAnsi="Arial" w:eastAsia="Arial" w:cs="Arial" w:asciiTheme="minorAscii" w:hAnsiTheme="minorAscii" w:eastAsiaTheme="minorAscii" w:cstheme="minorAscii"/>
          <w:sz w:val="22"/>
          <w:szCs w:val="22"/>
        </w:rPr>
        <w:t xml:space="preserve">Module Code: BMHP5016 </w:t>
      </w:r>
    </w:p>
    <w:p w:rsidR="2BAC9F25" w:rsidP="6D12336A" w:rsidRDefault="2BAC9F25" w14:paraId="35344B43" w14:textId="736BC891">
      <w:pPr>
        <w:pStyle w:val="Normal"/>
        <w:bidi w:val="0"/>
        <w:spacing w:before="0" w:beforeAutospacing="off" w:after="160" w:afterAutospacing="off" w:line="360" w:lineRule="auto"/>
        <w:ind w:left="0" w:right="0"/>
        <w:jc w:val="left"/>
      </w:pPr>
      <w:r w:rsidRPr="6D12336A" w:rsidR="2BAC9F25">
        <w:rPr>
          <w:rFonts w:ascii="Arial" w:hAnsi="Arial" w:eastAsia="Arial" w:cs="Arial" w:asciiTheme="minorAscii" w:hAnsiTheme="minorAscii" w:eastAsiaTheme="minorAscii" w:cstheme="minorAscii"/>
          <w:sz w:val="22"/>
          <w:szCs w:val="22"/>
        </w:rPr>
        <w:t xml:space="preserve">Assignment 1: Written Assignment (Reflective Report) </w:t>
      </w:r>
    </w:p>
    <w:p w:rsidR="2BAC9F25" w:rsidP="6D12336A" w:rsidRDefault="2BAC9F25" w14:paraId="270BF779" w14:textId="69B42013">
      <w:pPr>
        <w:pStyle w:val="Normal"/>
        <w:bidi w:val="0"/>
        <w:spacing w:before="0" w:beforeAutospacing="off" w:after="160" w:afterAutospacing="off" w:line="360" w:lineRule="auto"/>
        <w:ind w:left="0" w:right="0"/>
        <w:jc w:val="left"/>
      </w:pPr>
      <w:r w:rsidRPr="6D12336A" w:rsidR="2BAC9F25">
        <w:rPr>
          <w:rFonts w:ascii="Arial" w:hAnsi="Arial" w:eastAsia="Arial" w:cs="Arial" w:asciiTheme="minorAscii" w:hAnsiTheme="minorAscii" w:eastAsiaTheme="minorAscii" w:cstheme="minorAscii"/>
          <w:sz w:val="22"/>
          <w:szCs w:val="22"/>
        </w:rPr>
        <w:t xml:space="preserve">Student Name: </w:t>
      </w:r>
      <w:r w:rsidRPr="6D12336A" w:rsidR="2BAC9F25">
        <w:rPr>
          <w:rFonts w:ascii="Arial" w:hAnsi="Arial" w:eastAsia="Arial" w:cs="Arial" w:asciiTheme="minorAscii" w:hAnsiTheme="minorAscii" w:eastAsiaTheme="minorAscii" w:cstheme="minorAscii"/>
          <w:sz w:val="22"/>
          <w:szCs w:val="22"/>
        </w:rPr>
        <w:t>M</w:t>
      </w:r>
      <w:r w:rsidRPr="6D12336A" w:rsidR="3DA4F84E">
        <w:rPr>
          <w:rFonts w:ascii="Arial" w:hAnsi="Arial" w:eastAsia="Arial" w:cs="Arial" w:asciiTheme="minorAscii" w:hAnsiTheme="minorAscii" w:eastAsiaTheme="minorAscii" w:cstheme="minorAscii"/>
          <w:sz w:val="22"/>
          <w:szCs w:val="22"/>
        </w:rPr>
        <w:t>gid</w:t>
      </w:r>
      <w:r w:rsidRPr="6D12336A" w:rsidR="3DA4F84E">
        <w:rPr>
          <w:rFonts w:ascii="Arial" w:hAnsi="Arial" w:eastAsia="Arial" w:cs="Arial" w:asciiTheme="minorAscii" w:hAnsiTheme="minorAscii" w:eastAsiaTheme="minorAscii" w:cstheme="minorAscii"/>
          <w:sz w:val="22"/>
          <w:szCs w:val="22"/>
        </w:rPr>
        <w:t xml:space="preserve"> </w:t>
      </w:r>
      <w:r w:rsidRPr="6D12336A" w:rsidR="2BAC9F25">
        <w:rPr>
          <w:rFonts w:ascii="Arial" w:hAnsi="Arial" w:eastAsia="Arial" w:cs="Arial" w:asciiTheme="minorAscii" w:hAnsiTheme="minorAscii" w:eastAsiaTheme="minorAscii" w:cstheme="minorAscii"/>
          <w:sz w:val="22"/>
          <w:szCs w:val="22"/>
        </w:rPr>
        <w:t>Glal</w:t>
      </w:r>
      <w:r w:rsidRPr="6D12336A" w:rsidR="2BAC9F25">
        <w:rPr>
          <w:rFonts w:ascii="Arial" w:hAnsi="Arial" w:eastAsia="Arial" w:cs="Arial" w:asciiTheme="minorAscii" w:hAnsiTheme="minorAscii" w:eastAsiaTheme="minorAscii" w:cstheme="minorAscii"/>
          <w:sz w:val="22"/>
          <w:szCs w:val="22"/>
        </w:rPr>
        <w:t xml:space="preserve"> </w:t>
      </w:r>
      <w:r>
        <w:br/>
      </w:r>
      <w:r w:rsidRPr="6D12336A" w:rsidR="2BAC9F25">
        <w:rPr>
          <w:rFonts w:ascii="Arial" w:hAnsi="Arial" w:eastAsia="Arial" w:cs="Arial" w:asciiTheme="minorAscii" w:hAnsiTheme="minorAscii" w:eastAsiaTheme="minorAscii" w:cstheme="minorAscii"/>
          <w:sz w:val="22"/>
          <w:szCs w:val="22"/>
        </w:rPr>
        <w:t xml:space="preserve">Student ID: 2422237 </w:t>
      </w:r>
    </w:p>
    <w:p w:rsidR="09BE6B59" w:rsidP="6D12336A" w:rsidRDefault="09BE6B59" w14:paraId="26A13426" w14:textId="1F9E299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9BE6B59">
        <w:rPr>
          <w:rFonts w:ascii="Arial" w:hAnsi="Arial" w:eastAsia="Arial" w:cs="Arial" w:asciiTheme="minorAscii" w:hAnsiTheme="minorAscii" w:eastAsiaTheme="minorAscii" w:cstheme="minorAscii"/>
          <w:sz w:val="22"/>
          <w:szCs w:val="22"/>
        </w:rPr>
        <w:t xml:space="preserve">Lecturer: </w:t>
      </w:r>
      <w:r w:rsidRPr="6D12336A" w:rsidR="785D8359">
        <w:rPr>
          <w:rFonts w:ascii="Arial" w:hAnsi="Arial" w:eastAsia="Arial" w:cs="Arial" w:asciiTheme="minorAscii" w:hAnsiTheme="minorAscii" w:eastAsiaTheme="minorAscii" w:cstheme="minorAscii"/>
          <w:sz w:val="22"/>
          <w:szCs w:val="22"/>
        </w:rPr>
        <w:t>tswani</w:t>
      </w:r>
    </w:p>
    <w:p w:rsidR="6D12336A" w:rsidP="6D12336A" w:rsidRDefault="6D12336A" w14:paraId="522EB8F3" w14:textId="5BCB301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4E64F870" w14:textId="0782836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458D04D6" w14:textId="3DCB10A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5C7A5F6D" w14:textId="301665C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4D2446BD" w14:textId="066E33B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22C8DD68" w14:textId="45C253CC">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67AAB8D3" w14:textId="6F562E0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5E6CB349" w14:textId="7D1C0FB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6CF1BA20" w14:textId="4688D3A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5442705E" w14:textId="3CC1AC5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05DAAF02" w14:textId="08172FE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3EAF8A38" w14:textId="5B8F4E5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0A152848" w14:textId="59E13D84">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1C9AE045" w14:textId="2B53ED5C">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11FE9D68" w14:textId="772986E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4A2E7813" w14:textId="778EE13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7C4BCF31" w14:textId="783F9CC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BEE00A5" w:rsidP="6D12336A" w:rsidRDefault="6BEE00A5" w14:paraId="20ECCF16" w14:textId="148D435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Health and social care practice in the UK is guided by </w:t>
      </w:r>
      <w:r w:rsidRPr="6D12336A" w:rsidR="6BEE00A5">
        <w:rPr>
          <w:rFonts w:ascii="Arial" w:hAnsi="Arial" w:eastAsia="Arial" w:cs="Arial" w:asciiTheme="minorAscii" w:hAnsiTheme="minorAscii" w:eastAsiaTheme="minorAscii" w:cstheme="minorAscii"/>
          <w:sz w:val="22"/>
          <w:szCs w:val="22"/>
        </w:rPr>
        <w:t>a number of</w:t>
      </w:r>
      <w:r w:rsidRPr="6D12336A" w:rsidR="6BEE00A5">
        <w:rPr>
          <w:rFonts w:ascii="Arial" w:hAnsi="Arial" w:eastAsia="Arial" w:cs="Arial" w:asciiTheme="minorAscii" w:hAnsiTheme="minorAscii" w:eastAsiaTheme="minorAscii" w:cstheme="minorAscii"/>
          <w:sz w:val="22"/>
          <w:szCs w:val="22"/>
        </w:rPr>
        <w:t xml:space="preserve"> core principles that aim to ensure people receive care that is safe, </w:t>
      </w:r>
      <w:r w:rsidRPr="6D12336A" w:rsidR="6BEE00A5">
        <w:rPr>
          <w:rFonts w:ascii="Arial" w:hAnsi="Arial" w:eastAsia="Arial" w:cs="Arial" w:asciiTheme="minorAscii" w:hAnsiTheme="minorAscii" w:eastAsiaTheme="minorAscii" w:cstheme="minorAscii"/>
          <w:sz w:val="22"/>
          <w:szCs w:val="22"/>
        </w:rPr>
        <w:t>effective</w:t>
      </w:r>
      <w:r w:rsidRPr="6D12336A" w:rsidR="6BEE00A5">
        <w:rPr>
          <w:rFonts w:ascii="Arial" w:hAnsi="Arial" w:eastAsia="Arial" w:cs="Arial" w:asciiTheme="minorAscii" w:hAnsiTheme="minorAscii" w:eastAsiaTheme="minorAscii" w:cstheme="minorAscii"/>
          <w:sz w:val="22"/>
          <w:szCs w:val="22"/>
        </w:rPr>
        <w:t xml:space="preserve"> and respectful. Three of the most important principles are person-centred care, partnership </w:t>
      </w:r>
      <w:r w:rsidRPr="6D12336A" w:rsidR="6BEE00A5">
        <w:rPr>
          <w:rFonts w:ascii="Arial" w:hAnsi="Arial" w:eastAsia="Arial" w:cs="Arial" w:asciiTheme="minorAscii" w:hAnsiTheme="minorAscii" w:eastAsiaTheme="minorAscii" w:cstheme="minorAscii"/>
          <w:sz w:val="22"/>
          <w:szCs w:val="22"/>
        </w:rPr>
        <w:t>working</w:t>
      </w:r>
      <w:r w:rsidRPr="6D12336A" w:rsidR="6BEE00A5">
        <w:rPr>
          <w:rFonts w:ascii="Arial" w:hAnsi="Arial" w:eastAsia="Arial" w:cs="Arial" w:asciiTheme="minorAscii" w:hAnsiTheme="minorAscii" w:eastAsiaTheme="minorAscii" w:cstheme="minorAscii"/>
          <w:sz w:val="22"/>
          <w:szCs w:val="22"/>
        </w:rPr>
        <w:t xml:space="preserve"> and ethical practice. These principles influence how care is planned, </w:t>
      </w:r>
      <w:r w:rsidRPr="6D12336A" w:rsidR="6BEE00A5">
        <w:rPr>
          <w:rFonts w:ascii="Arial" w:hAnsi="Arial" w:eastAsia="Arial" w:cs="Arial" w:asciiTheme="minorAscii" w:hAnsiTheme="minorAscii" w:eastAsiaTheme="minorAscii" w:cstheme="minorAscii"/>
          <w:sz w:val="22"/>
          <w:szCs w:val="22"/>
        </w:rPr>
        <w:t>delivered</w:t>
      </w:r>
      <w:r w:rsidRPr="6D12336A" w:rsidR="6BEE00A5">
        <w:rPr>
          <w:rFonts w:ascii="Arial" w:hAnsi="Arial" w:eastAsia="Arial" w:cs="Arial" w:asciiTheme="minorAscii" w:hAnsiTheme="minorAscii" w:eastAsiaTheme="minorAscii" w:cstheme="minorAscii"/>
          <w:sz w:val="22"/>
          <w:szCs w:val="22"/>
        </w:rPr>
        <w:t xml:space="preserve"> and reviewed across health and social care services. In recent years, increasing pressure on services, workforce shortages and rising demand have made it even more important for professionals to apply these principles consistently (Care Quality Commission (CQC), 2024).</w:t>
      </w:r>
    </w:p>
    <w:p w:rsidR="6BEE00A5" w:rsidP="6D12336A" w:rsidRDefault="6BEE00A5" w14:paraId="33DD9888" w14:textId="42CFD1C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Person-centred care focuses on recognising individuals as unique and involving them in decisions about their own care. Partnership working supports collaboration between professionals, organisations, service </w:t>
      </w:r>
      <w:r w:rsidRPr="6D12336A" w:rsidR="6BEE00A5">
        <w:rPr>
          <w:rFonts w:ascii="Arial" w:hAnsi="Arial" w:eastAsia="Arial" w:cs="Arial" w:asciiTheme="minorAscii" w:hAnsiTheme="minorAscii" w:eastAsiaTheme="minorAscii" w:cstheme="minorAscii"/>
          <w:sz w:val="22"/>
          <w:szCs w:val="22"/>
        </w:rPr>
        <w:t>users</w:t>
      </w:r>
      <w:r w:rsidRPr="6D12336A" w:rsidR="6BEE00A5">
        <w:rPr>
          <w:rFonts w:ascii="Arial" w:hAnsi="Arial" w:eastAsia="Arial" w:cs="Arial" w:asciiTheme="minorAscii" w:hAnsiTheme="minorAscii" w:eastAsiaTheme="minorAscii" w:cstheme="minorAscii"/>
          <w:sz w:val="22"/>
          <w:szCs w:val="22"/>
        </w:rPr>
        <w:t xml:space="preserve"> and carers, helping to reduce fragmented care. Ethical practice provides a framework for professionals when making complex decisions, particularly where there are competing rights, </w:t>
      </w:r>
      <w:r w:rsidRPr="6D12336A" w:rsidR="6BEE00A5">
        <w:rPr>
          <w:rFonts w:ascii="Arial" w:hAnsi="Arial" w:eastAsia="Arial" w:cs="Arial" w:asciiTheme="minorAscii" w:hAnsiTheme="minorAscii" w:eastAsiaTheme="minorAscii" w:cstheme="minorAscii"/>
          <w:sz w:val="22"/>
          <w:szCs w:val="22"/>
        </w:rPr>
        <w:t>risks</w:t>
      </w:r>
      <w:r w:rsidRPr="6D12336A" w:rsidR="6BEE00A5">
        <w:rPr>
          <w:rFonts w:ascii="Arial" w:hAnsi="Arial" w:eastAsia="Arial" w:cs="Arial" w:asciiTheme="minorAscii" w:hAnsiTheme="minorAscii" w:eastAsiaTheme="minorAscii" w:cstheme="minorAscii"/>
          <w:sz w:val="22"/>
          <w:szCs w:val="22"/>
        </w:rPr>
        <w:t xml:space="preserve"> or responsibilities.</w:t>
      </w:r>
    </w:p>
    <w:p w:rsidR="6BEE00A5" w:rsidP="6D12336A" w:rsidRDefault="6BEE00A5" w14:paraId="61EF273A" w14:textId="0C2A159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This report explores the importance of person-centred care, partnership working and ethics within UK health and social care practice. Task 1 examines why these principles are important using relevant theory and legislation. Task 2 </w:t>
      </w:r>
      <w:r w:rsidRPr="6D12336A" w:rsidR="6BEE00A5">
        <w:rPr>
          <w:rFonts w:ascii="Arial" w:hAnsi="Arial" w:eastAsia="Arial" w:cs="Arial" w:asciiTheme="minorAscii" w:hAnsiTheme="minorAscii" w:eastAsiaTheme="minorAscii" w:cstheme="minorAscii"/>
          <w:sz w:val="22"/>
          <w:szCs w:val="22"/>
        </w:rPr>
        <w:t>provides</w:t>
      </w:r>
      <w:r w:rsidRPr="6D12336A" w:rsidR="6BEE00A5">
        <w:rPr>
          <w:rFonts w:ascii="Arial" w:hAnsi="Arial" w:eastAsia="Arial" w:cs="Arial" w:asciiTheme="minorAscii" w:hAnsiTheme="minorAscii" w:eastAsiaTheme="minorAscii" w:cstheme="minorAscii"/>
          <w:sz w:val="22"/>
          <w:szCs w:val="22"/>
        </w:rPr>
        <w:t xml:space="preserve"> a practical example of how the principles are applied in practice. Task 3 reflects on how these principles influence my own professional practice and future development.</w:t>
      </w:r>
    </w:p>
    <w:p w:rsidR="6D12336A" w:rsidP="6D12336A" w:rsidRDefault="6D12336A" w14:paraId="665DB44A" w14:textId="01FAA4D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BEE00A5" w:rsidP="6D12336A" w:rsidRDefault="6BEE00A5" w14:paraId="08DF55A3" w14:textId="65725CD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Task 1: Reflection on the Importance of the Principles of Health and Social Care</w:t>
      </w:r>
    </w:p>
    <w:p w:rsidR="6BEE00A5" w:rsidP="6D12336A" w:rsidRDefault="6BEE00A5" w14:paraId="0FEFD60C" w14:textId="74EDFE4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Person-Centred Care</w:t>
      </w:r>
    </w:p>
    <w:p w:rsidR="6BEE00A5" w:rsidP="6D12336A" w:rsidRDefault="6BEE00A5" w14:paraId="1B71739C" w14:textId="672BBD3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Person-centred care is a fundamental principle within health and social care and focuses on placing the individual at the centre of decision-making. Rather than viewing people as passive recipients of services, this approach recognises them as active partners with their own needs, </w:t>
      </w:r>
      <w:r w:rsidRPr="6D12336A" w:rsidR="6BEE00A5">
        <w:rPr>
          <w:rFonts w:ascii="Arial" w:hAnsi="Arial" w:eastAsia="Arial" w:cs="Arial" w:asciiTheme="minorAscii" w:hAnsiTheme="minorAscii" w:eastAsiaTheme="minorAscii" w:cstheme="minorAscii"/>
          <w:sz w:val="22"/>
          <w:szCs w:val="22"/>
        </w:rPr>
        <w:t>preferences</w:t>
      </w:r>
      <w:r w:rsidRPr="6D12336A" w:rsidR="6BEE00A5">
        <w:rPr>
          <w:rFonts w:ascii="Arial" w:hAnsi="Arial" w:eastAsia="Arial" w:cs="Arial" w:asciiTheme="minorAscii" w:hAnsiTheme="minorAscii" w:eastAsiaTheme="minorAscii" w:cstheme="minorAscii"/>
          <w:sz w:val="22"/>
          <w:szCs w:val="22"/>
        </w:rPr>
        <w:t xml:space="preserve"> and values. The Health Foundation (2016) describes person-centred care as care that respects and responds to what matters most to the individual.</w:t>
      </w:r>
    </w:p>
    <w:p w:rsidR="6BEE00A5" w:rsidP="6D12336A" w:rsidRDefault="6BEE00A5" w14:paraId="370D37BE" w14:textId="0DFADCE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The Care Act (2014) reinforces the importance of person-centred care by placing wellbeing, </w:t>
      </w:r>
      <w:r w:rsidRPr="6D12336A" w:rsidR="6BEE00A5">
        <w:rPr>
          <w:rFonts w:ascii="Arial" w:hAnsi="Arial" w:eastAsia="Arial" w:cs="Arial" w:asciiTheme="minorAscii" w:hAnsiTheme="minorAscii" w:eastAsiaTheme="minorAscii" w:cstheme="minorAscii"/>
          <w:sz w:val="22"/>
          <w:szCs w:val="22"/>
        </w:rPr>
        <w:t>choice</w:t>
      </w:r>
      <w:r w:rsidRPr="6D12336A" w:rsidR="6BEE00A5">
        <w:rPr>
          <w:rFonts w:ascii="Arial" w:hAnsi="Arial" w:eastAsia="Arial" w:cs="Arial" w:asciiTheme="minorAscii" w:hAnsiTheme="minorAscii" w:eastAsiaTheme="minorAscii" w:cstheme="minorAscii"/>
          <w:sz w:val="22"/>
          <w:szCs w:val="22"/>
        </w:rPr>
        <w:t xml:space="preserve"> and control at the heart of adult social care. By involving individuals in care planning, professionals can support dignity, </w:t>
      </w:r>
      <w:r w:rsidRPr="6D12336A" w:rsidR="6BEE00A5">
        <w:rPr>
          <w:rFonts w:ascii="Arial" w:hAnsi="Arial" w:eastAsia="Arial" w:cs="Arial" w:asciiTheme="minorAscii" w:hAnsiTheme="minorAscii" w:eastAsiaTheme="minorAscii" w:cstheme="minorAscii"/>
          <w:sz w:val="22"/>
          <w:szCs w:val="22"/>
        </w:rPr>
        <w:t>independence</w:t>
      </w:r>
      <w:r w:rsidRPr="6D12336A" w:rsidR="6BEE00A5">
        <w:rPr>
          <w:rFonts w:ascii="Arial" w:hAnsi="Arial" w:eastAsia="Arial" w:cs="Arial" w:asciiTheme="minorAscii" w:hAnsiTheme="minorAscii" w:eastAsiaTheme="minorAscii" w:cstheme="minorAscii"/>
          <w:sz w:val="22"/>
          <w:szCs w:val="22"/>
        </w:rPr>
        <w:t xml:space="preserve"> and autonomy. Maslow’s Hierarchy of Needs (1943) further supports this principle by suggesting that individuals are unlikely to engage with care if their basic needs, such as safety and comfort, are not met.</w:t>
      </w:r>
    </w:p>
    <w:p w:rsidR="6BEE00A5" w:rsidP="6D12336A" w:rsidRDefault="6BEE00A5" w14:paraId="596014B4" w14:textId="583AD824">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Person-centred care is also </w:t>
      </w:r>
      <w:r w:rsidRPr="6D12336A" w:rsidR="6BEE00A5">
        <w:rPr>
          <w:rFonts w:ascii="Arial" w:hAnsi="Arial" w:eastAsia="Arial" w:cs="Arial" w:asciiTheme="minorAscii" w:hAnsiTheme="minorAscii" w:eastAsiaTheme="minorAscii" w:cstheme="minorAscii"/>
          <w:sz w:val="22"/>
          <w:szCs w:val="22"/>
        </w:rPr>
        <w:t>closely linked</w:t>
      </w:r>
      <w:r w:rsidRPr="6D12336A" w:rsidR="6BEE00A5">
        <w:rPr>
          <w:rFonts w:ascii="Arial" w:hAnsi="Arial" w:eastAsia="Arial" w:cs="Arial" w:asciiTheme="minorAscii" w:hAnsiTheme="minorAscii" w:eastAsiaTheme="minorAscii" w:cstheme="minorAscii"/>
          <w:sz w:val="22"/>
          <w:szCs w:val="22"/>
        </w:rPr>
        <w:t xml:space="preserve"> to equality and inclusion. In practice, this means recognising that individuals may face barriers linked to disability, language, </w:t>
      </w:r>
      <w:r w:rsidRPr="6D12336A" w:rsidR="6BEE00A5">
        <w:rPr>
          <w:rFonts w:ascii="Arial" w:hAnsi="Arial" w:eastAsia="Arial" w:cs="Arial" w:asciiTheme="minorAscii" w:hAnsiTheme="minorAscii" w:eastAsiaTheme="minorAscii" w:cstheme="minorAscii"/>
          <w:sz w:val="22"/>
          <w:szCs w:val="22"/>
        </w:rPr>
        <w:t>culture</w:t>
      </w:r>
      <w:r w:rsidRPr="6D12336A" w:rsidR="6BEE00A5">
        <w:rPr>
          <w:rFonts w:ascii="Arial" w:hAnsi="Arial" w:eastAsia="Arial" w:cs="Arial" w:asciiTheme="minorAscii" w:hAnsiTheme="minorAscii" w:eastAsiaTheme="minorAscii" w:cstheme="minorAscii"/>
          <w:sz w:val="22"/>
          <w:szCs w:val="22"/>
        </w:rPr>
        <w:t xml:space="preserve"> or digital access. Professionals must make reasonable adjustments, such as adapting communication methods or involving advocates, to ensure individuals can </w:t>
      </w:r>
      <w:r w:rsidRPr="6D12336A" w:rsidR="6BEE00A5">
        <w:rPr>
          <w:rFonts w:ascii="Arial" w:hAnsi="Arial" w:eastAsia="Arial" w:cs="Arial" w:asciiTheme="minorAscii" w:hAnsiTheme="minorAscii" w:eastAsiaTheme="minorAscii" w:cstheme="minorAscii"/>
          <w:sz w:val="22"/>
          <w:szCs w:val="22"/>
        </w:rPr>
        <w:t>participate</w:t>
      </w:r>
      <w:r w:rsidRPr="6D12336A" w:rsidR="6BEE00A5">
        <w:rPr>
          <w:rFonts w:ascii="Arial" w:hAnsi="Arial" w:eastAsia="Arial" w:cs="Arial" w:asciiTheme="minorAscii" w:hAnsiTheme="minorAscii" w:eastAsiaTheme="minorAscii" w:cstheme="minorAscii"/>
          <w:sz w:val="22"/>
          <w:szCs w:val="22"/>
        </w:rPr>
        <w:t xml:space="preserve"> meaningfully in decisions. Without these adjustments, care risks becoming provider-led rather than genuinely person-centred.</w:t>
      </w:r>
    </w:p>
    <w:p w:rsidR="6D12336A" w:rsidP="6D12336A" w:rsidRDefault="6D12336A" w14:paraId="70F950C8" w14:textId="6E10E4F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BEE00A5" w:rsidP="6D12336A" w:rsidRDefault="6BEE00A5" w14:paraId="4AB6D8B7" w14:textId="6D0C882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Partnership Working</w:t>
      </w:r>
    </w:p>
    <w:p w:rsidR="6BEE00A5" w:rsidP="6D12336A" w:rsidRDefault="6BEE00A5" w14:paraId="1FFC5A2D" w14:textId="1929FDE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Partnership working involves different professionals and organisations working together to meet the needs of individuals. In the UK, health and social care systems are complex, and many individuals </w:t>
      </w:r>
      <w:r w:rsidRPr="6D12336A" w:rsidR="6BEE00A5">
        <w:rPr>
          <w:rFonts w:ascii="Arial" w:hAnsi="Arial" w:eastAsia="Arial" w:cs="Arial" w:asciiTheme="minorAscii" w:hAnsiTheme="minorAscii" w:eastAsiaTheme="minorAscii" w:cstheme="minorAscii"/>
          <w:sz w:val="22"/>
          <w:szCs w:val="22"/>
        </w:rPr>
        <w:t>require</w:t>
      </w:r>
      <w:r w:rsidRPr="6D12336A" w:rsidR="6BEE00A5">
        <w:rPr>
          <w:rFonts w:ascii="Arial" w:hAnsi="Arial" w:eastAsia="Arial" w:cs="Arial" w:asciiTheme="minorAscii" w:hAnsiTheme="minorAscii" w:eastAsiaTheme="minorAscii" w:cstheme="minorAscii"/>
          <w:sz w:val="22"/>
          <w:szCs w:val="22"/>
        </w:rPr>
        <w:t xml:space="preserve"> support from multiple services. Effective partnership working improves communication, reduces </w:t>
      </w:r>
      <w:r w:rsidRPr="6D12336A" w:rsidR="6BEE00A5">
        <w:rPr>
          <w:rFonts w:ascii="Arial" w:hAnsi="Arial" w:eastAsia="Arial" w:cs="Arial" w:asciiTheme="minorAscii" w:hAnsiTheme="minorAscii" w:eastAsiaTheme="minorAscii" w:cstheme="minorAscii"/>
          <w:sz w:val="22"/>
          <w:szCs w:val="22"/>
        </w:rPr>
        <w:t>duplication</w:t>
      </w:r>
      <w:r w:rsidRPr="6D12336A" w:rsidR="6BEE00A5">
        <w:rPr>
          <w:rFonts w:ascii="Arial" w:hAnsi="Arial" w:eastAsia="Arial" w:cs="Arial" w:asciiTheme="minorAscii" w:hAnsiTheme="minorAscii" w:eastAsiaTheme="minorAscii" w:cstheme="minorAscii"/>
          <w:sz w:val="22"/>
          <w:szCs w:val="22"/>
        </w:rPr>
        <w:t xml:space="preserve"> and supports continuity of care.</w:t>
      </w:r>
    </w:p>
    <w:p w:rsidR="6BEE00A5" w:rsidP="6D12336A" w:rsidRDefault="6BEE00A5" w14:paraId="02617AE6" w14:textId="6C8EA0C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The Health and Care Act (2022) strengthened partnership working through Integrated Care Systems (ICSs), aiming to improve collaboration between the NHS, local </w:t>
      </w:r>
      <w:r w:rsidRPr="6D12336A" w:rsidR="6BEE00A5">
        <w:rPr>
          <w:rFonts w:ascii="Arial" w:hAnsi="Arial" w:eastAsia="Arial" w:cs="Arial" w:asciiTheme="minorAscii" w:hAnsiTheme="minorAscii" w:eastAsiaTheme="minorAscii" w:cstheme="minorAscii"/>
          <w:sz w:val="22"/>
          <w:szCs w:val="22"/>
        </w:rPr>
        <w:t>authorities</w:t>
      </w:r>
      <w:r w:rsidRPr="6D12336A" w:rsidR="6BEE00A5">
        <w:rPr>
          <w:rFonts w:ascii="Arial" w:hAnsi="Arial" w:eastAsia="Arial" w:cs="Arial" w:asciiTheme="minorAscii" w:hAnsiTheme="minorAscii" w:eastAsiaTheme="minorAscii" w:cstheme="minorAscii"/>
          <w:sz w:val="22"/>
          <w:szCs w:val="22"/>
        </w:rPr>
        <w:t xml:space="preserve"> and voluntary organisations. The CQC (2024) highlights that poor partnership working can lead to unmet needs, delayed </w:t>
      </w:r>
      <w:r w:rsidRPr="6D12336A" w:rsidR="6BEE00A5">
        <w:rPr>
          <w:rFonts w:ascii="Arial" w:hAnsi="Arial" w:eastAsia="Arial" w:cs="Arial" w:asciiTheme="minorAscii" w:hAnsiTheme="minorAscii" w:eastAsiaTheme="minorAscii" w:cstheme="minorAscii"/>
          <w:sz w:val="22"/>
          <w:szCs w:val="22"/>
        </w:rPr>
        <w:t>care</w:t>
      </w:r>
      <w:r w:rsidRPr="6D12336A" w:rsidR="6BEE00A5">
        <w:rPr>
          <w:rFonts w:ascii="Arial" w:hAnsi="Arial" w:eastAsia="Arial" w:cs="Arial" w:asciiTheme="minorAscii" w:hAnsiTheme="minorAscii" w:eastAsiaTheme="minorAscii" w:cstheme="minorAscii"/>
          <w:sz w:val="22"/>
          <w:szCs w:val="22"/>
        </w:rPr>
        <w:t xml:space="preserve"> and safeguarding concerns. Bronfenbrenner’s Ecological Model supports partnership working by recognising that individuals are influenced by interconnected systems, including family, </w:t>
      </w:r>
      <w:r w:rsidRPr="6D12336A" w:rsidR="6BEE00A5">
        <w:rPr>
          <w:rFonts w:ascii="Arial" w:hAnsi="Arial" w:eastAsia="Arial" w:cs="Arial" w:asciiTheme="minorAscii" w:hAnsiTheme="minorAscii" w:eastAsiaTheme="minorAscii" w:cstheme="minorAscii"/>
          <w:sz w:val="22"/>
          <w:szCs w:val="22"/>
        </w:rPr>
        <w:t>community</w:t>
      </w:r>
      <w:r w:rsidRPr="6D12336A" w:rsidR="6BEE00A5">
        <w:rPr>
          <w:rFonts w:ascii="Arial" w:hAnsi="Arial" w:eastAsia="Arial" w:cs="Arial" w:asciiTheme="minorAscii" w:hAnsiTheme="minorAscii" w:eastAsiaTheme="minorAscii" w:cstheme="minorAscii"/>
          <w:sz w:val="22"/>
          <w:szCs w:val="22"/>
        </w:rPr>
        <w:t xml:space="preserve"> and wider social factors.</w:t>
      </w:r>
    </w:p>
    <w:p w:rsidR="6BEE00A5" w:rsidP="6D12336A" w:rsidRDefault="6BEE00A5" w14:paraId="32B23EE0" w14:textId="467A94F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However, partnership working can be challenging. Unclear roles, information-sharing </w:t>
      </w:r>
      <w:r w:rsidRPr="6D12336A" w:rsidR="6BEE00A5">
        <w:rPr>
          <w:rFonts w:ascii="Arial" w:hAnsi="Arial" w:eastAsia="Arial" w:cs="Arial" w:asciiTheme="minorAscii" w:hAnsiTheme="minorAscii" w:eastAsiaTheme="minorAscii" w:cstheme="minorAscii"/>
          <w:sz w:val="22"/>
          <w:szCs w:val="22"/>
        </w:rPr>
        <w:t>issues</w:t>
      </w:r>
      <w:r w:rsidRPr="6D12336A" w:rsidR="6BEE00A5">
        <w:rPr>
          <w:rFonts w:ascii="Arial" w:hAnsi="Arial" w:eastAsia="Arial" w:cs="Arial" w:asciiTheme="minorAscii" w:hAnsiTheme="minorAscii" w:eastAsiaTheme="minorAscii" w:cstheme="minorAscii"/>
          <w:sz w:val="22"/>
          <w:szCs w:val="22"/>
        </w:rPr>
        <w:t xml:space="preserve"> and different organisational priorities can lead to people falling through gaps in care. This shows why partnership working is not just a policy aim but a critical safety issue that requires clear accountability and shared planning.</w:t>
      </w:r>
    </w:p>
    <w:p w:rsidR="6D12336A" w:rsidP="6D12336A" w:rsidRDefault="6D12336A" w14:paraId="3A3C59F2" w14:textId="4FB2DE6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BEE00A5" w:rsidP="6D12336A" w:rsidRDefault="6BEE00A5" w14:paraId="66F504BA" w14:textId="4A76822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Ethics in Health and Social Care</w:t>
      </w:r>
    </w:p>
    <w:p w:rsidR="6BEE00A5" w:rsidP="6D12336A" w:rsidRDefault="6BEE00A5" w14:paraId="4AC4299F" w14:textId="0D0F370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Ethical practice underpins all aspects of health and social care. Ethics refers to the moral principles that guide professional behaviour and decision-making. Beauchamp and Childress’ four principles of biomedical ethics — autonomy, beneficence, non-</w:t>
      </w:r>
      <w:r w:rsidRPr="6D12336A" w:rsidR="6BEE00A5">
        <w:rPr>
          <w:rFonts w:ascii="Arial" w:hAnsi="Arial" w:eastAsia="Arial" w:cs="Arial" w:asciiTheme="minorAscii" w:hAnsiTheme="minorAscii" w:eastAsiaTheme="minorAscii" w:cstheme="minorAscii"/>
          <w:sz w:val="22"/>
          <w:szCs w:val="22"/>
        </w:rPr>
        <w:t>maleficence</w:t>
      </w:r>
      <w:r w:rsidRPr="6D12336A" w:rsidR="6BEE00A5">
        <w:rPr>
          <w:rFonts w:ascii="Arial" w:hAnsi="Arial" w:eastAsia="Arial" w:cs="Arial" w:asciiTheme="minorAscii" w:hAnsiTheme="minorAscii" w:eastAsiaTheme="minorAscii" w:cstheme="minorAscii"/>
          <w:sz w:val="22"/>
          <w:szCs w:val="22"/>
        </w:rPr>
        <w:t xml:space="preserve"> and justice — are commonly used to support ethical decisions in practice.</w:t>
      </w:r>
    </w:p>
    <w:p w:rsidR="6BEE00A5" w:rsidP="6D12336A" w:rsidRDefault="6BEE00A5" w14:paraId="1F9953C8" w14:textId="5525260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Professional guidance, such as the Health and Care Professions Council (HCPC) Standards of Conduct, Performance and Ethics (2024), ensures ethical principles are embedded in daily practice. Ethical decision-making is particularly important when balancing confidentiality with safeguarding responsibilities. Applying ethical principles helps protect service users, supports accountability and </w:t>
      </w:r>
      <w:r w:rsidRPr="6D12336A" w:rsidR="6BEE00A5">
        <w:rPr>
          <w:rFonts w:ascii="Arial" w:hAnsi="Arial" w:eastAsia="Arial" w:cs="Arial" w:asciiTheme="minorAscii" w:hAnsiTheme="minorAscii" w:eastAsiaTheme="minorAscii" w:cstheme="minorAscii"/>
          <w:sz w:val="22"/>
          <w:szCs w:val="22"/>
        </w:rPr>
        <w:t>maintains</w:t>
      </w:r>
      <w:r w:rsidRPr="6D12336A" w:rsidR="6BEE00A5">
        <w:rPr>
          <w:rFonts w:ascii="Arial" w:hAnsi="Arial" w:eastAsia="Arial" w:cs="Arial" w:asciiTheme="minorAscii" w:hAnsiTheme="minorAscii" w:eastAsiaTheme="minorAscii" w:cstheme="minorAscii"/>
          <w:sz w:val="22"/>
          <w:szCs w:val="22"/>
        </w:rPr>
        <w:t xml:space="preserve"> public trust.</w:t>
      </w:r>
    </w:p>
    <w:p w:rsidR="6D12336A" w:rsidP="6D12336A" w:rsidRDefault="6D12336A" w14:paraId="23C612C0" w14:textId="2970CFB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0D71B4E3" w:rsidP="6D12336A" w:rsidRDefault="0D71B4E3" w14:paraId="1892FFF3" w14:textId="3D5F4FA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 xml:space="preserve">Task 2: Practical Examples of Concepts in Practice </w:t>
      </w:r>
    </w:p>
    <w:p w:rsidR="0D71B4E3" w:rsidP="6D12336A" w:rsidRDefault="0D71B4E3" w14:paraId="0BC34217" w14:textId="2EA6733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An example of person-centred care, partnership working and ethics in practice can be seen in the care of an older adult living with advanced dementia in a UK residential care setting.</w:t>
      </w:r>
    </w:p>
    <w:p w:rsidR="0D71B4E3" w:rsidP="6D12336A" w:rsidRDefault="0D71B4E3" w14:paraId="63995F8E" w14:textId="33AEA05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 xml:space="preserve">Person-centred care involves understanding the individual’s life history, </w:t>
      </w:r>
      <w:r w:rsidRPr="6D12336A" w:rsidR="0D71B4E3">
        <w:rPr>
          <w:rFonts w:ascii="Arial" w:hAnsi="Arial" w:eastAsia="Arial" w:cs="Arial" w:asciiTheme="minorAscii" w:hAnsiTheme="minorAscii" w:eastAsiaTheme="minorAscii" w:cstheme="minorAscii"/>
          <w:sz w:val="22"/>
          <w:szCs w:val="22"/>
        </w:rPr>
        <w:t>routines</w:t>
      </w:r>
      <w:r w:rsidRPr="6D12336A" w:rsidR="0D71B4E3">
        <w:rPr>
          <w:rFonts w:ascii="Arial" w:hAnsi="Arial" w:eastAsia="Arial" w:cs="Arial" w:asciiTheme="minorAscii" w:hAnsiTheme="minorAscii" w:eastAsiaTheme="minorAscii" w:cstheme="minorAscii"/>
          <w:sz w:val="22"/>
          <w:szCs w:val="22"/>
        </w:rPr>
        <w:t xml:space="preserve"> and preferences. Care plans are developed around what matters to the individual, helping to </w:t>
      </w:r>
      <w:r w:rsidRPr="6D12336A" w:rsidR="0D71B4E3">
        <w:rPr>
          <w:rFonts w:ascii="Arial" w:hAnsi="Arial" w:eastAsia="Arial" w:cs="Arial" w:asciiTheme="minorAscii" w:hAnsiTheme="minorAscii" w:eastAsiaTheme="minorAscii" w:cstheme="minorAscii"/>
          <w:sz w:val="22"/>
          <w:szCs w:val="22"/>
        </w:rPr>
        <w:t>maintain</w:t>
      </w:r>
      <w:r w:rsidRPr="6D12336A" w:rsidR="0D71B4E3">
        <w:rPr>
          <w:rFonts w:ascii="Arial" w:hAnsi="Arial" w:eastAsia="Arial" w:cs="Arial" w:asciiTheme="minorAscii" w:hAnsiTheme="minorAscii" w:eastAsiaTheme="minorAscii" w:cstheme="minorAscii"/>
          <w:sz w:val="22"/>
          <w:szCs w:val="22"/>
        </w:rPr>
        <w:t xml:space="preserve"> dignity and reduce distress. This approach aligns with the Care Act (2014), which requires care to focus on wellbeing rather than solely medical needs.</w:t>
      </w:r>
    </w:p>
    <w:p w:rsidR="0D71B4E3" w:rsidP="6D12336A" w:rsidRDefault="0D71B4E3" w14:paraId="135E2235" w14:textId="2337BDC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 xml:space="preserve">Partnership working is particularly important when responding to the complex and changing needs associated with dementia. Collaboration between care staff, general practitioners, community nurses, social </w:t>
      </w:r>
      <w:r w:rsidRPr="6D12336A" w:rsidR="0D71B4E3">
        <w:rPr>
          <w:rFonts w:ascii="Arial" w:hAnsi="Arial" w:eastAsia="Arial" w:cs="Arial" w:asciiTheme="minorAscii" w:hAnsiTheme="minorAscii" w:eastAsiaTheme="minorAscii" w:cstheme="minorAscii"/>
          <w:sz w:val="22"/>
          <w:szCs w:val="22"/>
        </w:rPr>
        <w:t>workers</w:t>
      </w:r>
      <w:r w:rsidRPr="6D12336A" w:rsidR="0D71B4E3">
        <w:rPr>
          <w:rFonts w:ascii="Arial" w:hAnsi="Arial" w:eastAsia="Arial" w:cs="Arial" w:asciiTheme="minorAscii" w:hAnsiTheme="minorAscii" w:eastAsiaTheme="minorAscii" w:cstheme="minorAscii"/>
          <w:sz w:val="22"/>
          <w:szCs w:val="22"/>
        </w:rPr>
        <w:t xml:space="preserve"> and family members helps to ensure continuity of care and effective safeguarding. Clear communication between professionals supports shared decision-making and reduces the risk of gaps in care. The Care Quality Commission (CQC, 2024) highlights that strong partnership working can reduce the risk of neglect and improve overall care quality.</w:t>
      </w:r>
    </w:p>
    <w:p w:rsidR="0D71B4E3" w:rsidP="6D12336A" w:rsidRDefault="0D71B4E3" w14:paraId="7F5E309D" w14:textId="66221EF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Ethical practice is especially important throughout this process, particularly in relation to consent and capacity. The Mental Capacity Act (2005) provides a legal framework for assessing capacity and making decisions in a person’s best interests when they are unable to decide for themselves. NICE (2022) guidance also promotes proactive and integrated approaches to supporting people with long-term conditions, helping to prevent crises and reduce avoidable hospital admissions. Ethical principles such as autonomy and non-maleficence guide professionals in balancing respect for individual rights with the need to protect individuals from harm.</w:t>
      </w:r>
    </w:p>
    <w:p w:rsidR="0D71B4E3" w:rsidP="6D12336A" w:rsidRDefault="0D71B4E3" w14:paraId="3B6682D5" w14:textId="75280EB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 xml:space="preserve">In practice, person-centred care within dementia services also requires flexibility and regular review. As dementia is a progressive condition, an individual’s needs and abilities can change over time. Regular reviews of care plans help ensure that care remains </w:t>
      </w:r>
      <w:r w:rsidRPr="6D12336A" w:rsidR="0D71B4E3">
        <w:rPr>
          <w:rFonts w:ascii="Arial" w:hAnsi="Arial" w:eastAsia="Arial" w:cs="Arial" w:asciiTheme="minorAscii" w:hAnsiTheme="minorAscii" w:eastAsiaTheme="minorAscii" w:cstheme="minorAscii"/>
          <w:sz w:val="22"/>
          <w:szCs w:val="22"/>
        </w:rPr>
        <w:t>appropriate</w:t>
      </w:r>
      <w:r w:rsidRPr="6D12336A" w:rsidR="0D71B4E3">
        <w:rPr>
          <w:rFonts w:ascii="Arial" w:hAnsi="Arial" w:eastAsia="Arial" w:cs="Arial" w:asciiTheme="minorAscii" w:hAnsiTheme="minorAscii" w:eastAsiaTheme="minorAscii" w:cstheme="minorAscii"/>
          <w:sz w:val="22"/>
          <w:szCs w:val="22"/>
        </w:rPr>
        <w:t xml:space="preserve"> and responsive. Involving family members, where </w:t>
      </w:r>
      <w:r w:rsidRPr="6D12336A" w:rsidR="0D71B4E3">
        <w:rPr>
          <w:rFonts w:ascii="Arial" w:hAnsi="Arial" w:eastAsia="Arial" w:cs="Arial" w:asciiTheme="minorAscii" w:hAnsiTheme="minorAscii" w:eastAsiaTheme="minorAscii" w:cstheme="minorAscii"/>
          <w:sz w:val="22"/>
          <w:szCs w:val="22"/>
        </w:rPr>
        <w:t>appropriate</w:t>
      </w:r>
      <w:r w:rsidRPr="6D12336A" w:rsidR="0D71B4E3">
        <w:rPr>
          <w:rFonts w:ascii="Arial" w:hAnsi="Arial" w:eastAsia="Arial" w:cs="Arial" w:asciiTheme="minorAscii" w:hAnsiTheme="minorAscii" w:eastAsiaTheme="minorAscii" w:cstheme="minorAscii"/>
          <w:sz w:val="22"/>
          <w:szCs w:val="22"/>
        </w:rPr>
        <w:t xml:space="preserve">, can </w:t>
      </w:r>
      <w:r w:rsidRPr="6D12336A" w:rsidR="0D71B4E3">
        <w:rPr>
          <w:rFonts w:ascii="Arial" w:hAnsi="Arial" w:eastAsia="Arial" w:cs="Arial" w:asciiTheme="minorAscii" w:hAnsiTheme="minorAscii" w:eastAsiaTheme="minorAscii" w:cstheme="minorAscii"/>
          <w:sz w:val="22"/>
          <w:szCs w:val="22"/>
        </w:rPr>
        <w:t>provide</w:t>
      </w:r>
      <w:r w:rsidRPr="6D12336A" w:rsidR="0D71B4E3">
        <w:rPr>
          <w:rFonts w:ascii="Arial" w:hAnsi="Arial" w:eastAsia="Arial" w:cs="Arial" w:asciiTheme="minorAscii" w:hAnsiTheme="minorAscii" w:eastAsiaTheme="minorAscii" w:cstheme="minorAscii"/>
          <w:sz w:val="22"/>
          <w:szCs w:val="22"/>
        </w:rPr>
        <w:t xml:space="preserve"> valuable insight into changes in behaviour and preferences.</w:t>
      </w:r>
    </w:p>
    <w:p w:rsidR="0D71B4E3" w:rsidP="6D12336A" w:rsidRDefault="0D71B4E3" w14:paraId="0242D627" w14:textId="19C82AE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0D71B4E3">
        <w:rPr>
          <w:rFonts w:ascii="Arial" w:hAnsi="Arial" w:eastAsia="Arial" w:cs="Arial" w:asciiTheme="minorAscii" w:hAnsiTheme="minorAscii" w:eastAsiaTheme="minorAscii" w:cstheme="minorAscii"/>
          <w:sz w:val="22"/>
          <w:szCs w:val="22"/>
        </w:rPr>
        <w:t xml:space="preserve">Despite the benefits of these approaches, challenges </w:t>
      </w:r>
      <w:r w:rsidRPr="6D12336A" w:rsidR="0D71B4E3">
        <w:rPr>
          <w:rFonts w:ascii="Arial" w:hAnsi="Arial" w:eastAsia="Arial" w:cs="Arial" w:asciiTheme="minorAscii" w:hAnsiTheme="minorAscii" w:eastAsiaTheme="minorAscii" w:cstheme="minorAscii"/>
          <w:sz w:val="22"/>
          <w:szCs w:val="22"/>
        </w:rPr>
        <w:t>remain</w:t>
      </w:r>
      <w:r w:rsidRPr="6D12336A" w:rsidR="0D71B4E3">
        <w:rPr>
          <w:rFonts w:ascii="Arial" w:hAnsi="Arial" w:eastAsia="Arial" w:cs="Arial" w:asciiTheme="minorAscii" w:hAnsiTheme="minorAscii" w:eastAsiaTheme="minorAscii" w:cstheme="minorAscii"/>
          <w:sz w:val="22"/>
          <w:szCs w:val="22"/>
        </w:rPr>
        <w:t xml:space="preserve">. Staffing shortages, high </w:t>
      </w:r>
      <w:r w:rsidRPr="6D12336A" w:rsidR="0D71B4E3">
        <w:rPr>
          <w:rFonts w:ascii="Arial" w:hAnsi="Arial" w:eastAsia="Arial" w:cs="Arial" w:asciiTheme="minorAscii" w:hAnsiTheme="minorAscii" w:eastAsiaTheme="minorAscii" w:cstheme="minorAscii"/>
          <w:sz w:val="22"/>
          <w:szCs w:val="22"/>
        </w:rPr>
        <w:t>workloads</w:t>
      </w:r>
      <w:r w:rsidRPr="6D12336A" w:rsidR="0D71B4E3">
        <w:rPr>
          <w:rFonts w:ascii="Arial" w:hAnsi="Arial" w:eastAsia="Arial" w:cs="Arial" w:asciiTheme="minorAscii" w:hAnsiTheme="minorAscii" w:eastAsiaTheme="minorAscii" w:cstheme="minorAscii"/>
          <w:sz w:val="22"/>
          <w:szCs w:val="22"/>
        </w:rPr>
        <w:t xml:space="preserve"> and time pressures can limit opportunities for meaningful engagement with service users and families. In practice, addressing these challenges often depends on having enough trained staff, clear communication between services and supportive leadership. Strengthening integrated care pathways and ongoing training can help improve outcomes for individuals living with dementia and those who care for them.</w:t>
      </w:r>
    </w:p>
    <w:p w:rsidR="6D12336A" w:rsidP="6D12336A" w:rsidRDefault="6D12336A" w14:paraId="5EEE0CAD" w14:textId="23B69ED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3DDCEC0B" w:rsidP="6D12336A" w:rsidRDefault="3DDCEC0B" w14:paraId="3D1B2E06" w14:textId="3CA538E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3DDCEC0B">
        <w:rPr>
          <w:rFonts w:ascii="Arial" w:hAnsi="Arial" w:eastAsia="Arial" w:cs="Arial" w:asciiTheme="minorAscii" w:hAnsiTheme="minorAscii" w:eastAsiaTheme="minorAscii" w:cstheme="minorAscii"/>
          <w:sz w:val="22"/>
          <w:szCs w:val="22"/>
        </w:rPr>
        <w:t xml:space="preserve">Task 3: </w:t>
      </w:r>
      <w:r w:rsidRPr="6D12336A" w:rsidR="74458E89">
        <w:rPr>
          <w:rFonts w:ascii="Arial" w:hAnsi="Arial" w:eastAsia="Arial" w:cs="Arial" w:asciiTheme="minorAscii" w:hAnsiTheme="minorAscii" w:eastAsiaTheme="minorAscii" w:cstheme="minorAscii"/>
          <w:sz w:val="22"/>
          <w:szCs w:val="22"/>
        </w:rPr>
        <w:t>Reflection on the Principles in My Practice</w:t>
      </w:r>
    </w:p>
    <w:p w:rsidR="74458E89" w:rsidP="6D12336A" w:rsidRDefault="74458E89" w14:paraId="3FCF3E91" w14:textId="4E32E70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In my current and future role as a health and social care professional, I recognise that person-centred care is essential to providing respectful and effective support. Applying this principle means listening carefully to individuals, respecting their </w:t>
      </w:r>
      <w:r w:rsidRPr="6D12336A" w:rsidR="74458E89">
        <w:rPr>
          <w:rFonts w:ascii="Arial" w:hAnsi="Arial" w:eastAsia="Arial" w:cs="Arial" w:asciiTheme="minorAscii" w:hAnsiTheme="minorAscii" w:eastAsiaTheme="minorAscii" w:cstheme="minorAscii"/>
          <w:sz w:val="22"/>
          <w:szCs w:val="22"/>
        </w:rPr>
        <w:t>choices</w:t>
      </w:r>
      <w:r w:rsidRPr="6D12336A" w:rsidR="74458E89">
        <w:rPr>
          <w:rFonts w:ascii="Arial" w:hAnsi="Arial" w:eastAsia="Arial" w:cs="Arial" w:asciiTheme="minorAscii" w:hAnsiTheme="minorAscii" w:eastAsiaTheme="minorAscii" w:cstheme="minorAscii"/>
          <w:sz w:val="22"/>
          <w:szCs w:val="22"/>
        </w:rPr>
        <w:t xml:space="preserve"> and adapting care to meet their needs. Involving people in decisions about their care supports dignity and autonomy and reflects the values outlined in the Care Act (2014).</w:t>
      </w:r>
    </w:p>
    <w:p w:rsidR="74458E89" w:rsidP="6D12336A" w:rsidRDefault="74458E89" w14:paraId="0EA14D81" w14:textId="4455D93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Partnership working has a significant impact on my practice. Working alongside colleagues and professionals from other services allows for shared responsibility and improved outcomes for service users. I have learned that clear communication and mutual respect are essential for effective teamwork. Reflecting on Bronfenbrenner’s Ecological Model has helped me understand how wider systems influence individual wellbeing, highlighting the importance of coordinated care.</w:t>
      </w:r>
    </w:p>
    <w:p w:rsidR="74458E89" w:rsidP="6D12336A" w:rsidRDefault="74458E89" w14:paraId="59F95881" w14:textId="6308C76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Ethics guide my day-to-day decision-making, particularly when dealing with confidentiality, </w:t>
      </w:r>
      <w:r w:rsidRPr="6D12336A" w:rsidR="74458E89">
        <w:rPr>
          <w:rFonts w:ascii="Arial" w:hAnsi="Arial" w:eastAsia="Arial" w:cs="Arial" w:asciiTheme="minorAscii" w:hAnsiTheme="minorAscii" w:eastAsiaTheme="minorAscii" w:cstheme="minorAscii"/>
          <w:sz w:val="22"/>
          <w:szCs w:val="22"/>
        </w:rPr>
        <w:t>consent</w:t>
      </w:r>
      <w:r w:rsidRPr="6D12336A" w:rsidR="74458E89">
        <w:rPr>
          <w:rFonts w:ascii="Arial" w:hAnsi="Arial" w:eastAsia="Arial" w:cs="Arial" w:asciiTheme="minorAscii" w:hAnsiTheme="minorAscii" w:eastAsiaTheme="minorAscii" w:cstheme="minorAscii"/>
          <w:sz w:val="22"/>
          <w:szCs w:val="22"/>
        </w:rPr>
        <w:t xml:space="preserve"> and safeguarding. Using the four principles of biomedical ethics helps me balance individual rights with the need to prevent harm. Ethical practice supports accountability and aligns with the Health and Care Professions Council (HCPC) Standards of Conduct, Performance and Ethics (2024).</w:t>
      </w:r>
    </w:p>
    <w:p w:rsidR="6D12336A" w:rsidP="6D12336A" w:rsidRDefault="6D12336A" w14:paraId="7833B83D" w14:textId="3B137A2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74458E89" w:rsidP="6D12336A" w:rsidRDefault="74458E89" w14:paraId="0FFE1D33" w14:textId="2ED50E3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Skills and Strengths</w:t>
      </w:r>
    </w:p>
    <w:p w:rsidR="74458E89" w:rsidP="6D12336A" w:rsidRDefault="74458E89" w14:paraId="2D449F7E" w14:textId="435A707A">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One of my strengths is communication, particularly when adapting my approach to meet </w:t>
      </w:r>
      <w:r w:rsidRPr="6D12336A" w:rsidR="74458E89">
        <w:rPr>
          <w:rFonts w:ascii="Arial" w:hAnsi="Arial" w:eastAsia="Arial" w:cs="Arial" w:asciiTheme="minorAscii" w:hAnsiTheme="minorAscii" w:eastAsiaTheme="minorAscii" w:cstheme="minorAscii"/>
          <w:sz w:val="22"/>
          <w:szCs w:val="22"/>
        </w:rPr>
        <w:t>different needs</w:t>
      </w:r>
      <w:r w:rsidRPr="6D12336A" w:rsidR="74458E89">
        <w:rPr>
          <w:rFonts w:ascii="Arial" w:hAnsi="Arial" w:eastAsia="Arial" w:cs="Arial" w:asciiTheme="minorAscii" w:hAnsiTheme="minorAscii" w:eastAsiaTheme="minorAscii" w:cstheme="minorAscii"/>
          <w:sz w:val="22"/>
          <w:szCs w:val="22"/>
        </w:rPr>
        <w:t xml:space="preserve">. I work well as part of a team and value the perspectives of other professionals. I also </w:t>
      </w:r>
      <w:r w:rsidRPr="6D12336A" w:rsidR="74458E89">
        <w:rPr>
          <w:rFonts w:ascii="Arial" w:hAnsi="Arial" w:eastAsia="Arial" w:cs="Arial" w:asciiTheme="minorAscii" w:hAnsiTheme="minorAscii" w:eastAsiaTheme="minorAscii" w:cstheme="minorAscii"/>
          <w:sz w:val="22"/>
          <w:szCs w:val="22"/>
        </w:rPr>
        <w:t>demonstrate</w:t>
      </w:r>
      <w:r w:rsidRPr="6D12336A" w:rsidR="74458E89">
        <w:rPr>
          <w:rFonts w:ascii="Arial" w:hAnsi="Arial" w:eastAsia="Arial" w:cs="Arial" w:asciiTheme="minorAscii" w:hAnsiTheme="minorAscii" w:eastAsiaTheme="minorAscii" w:cstheme="minorAscii"/>
          <w:sz w:val="22"/>
          <w:szCs w:val="22"/>
        </w:rPr>
        <w:t xml:space="preserve"> ethical awareness by recognising safeguarding concerns and following </w:t>
      </w:r>
      <w:r w:rsidRPr="6D12336A" w:rsidR="74458E89">
        <w:rPr>
          <w:rFonts w:ascii="Arial" w:hAnsi="Arial" w:eastAsia="Arial" w:cs="Arial" w:asciiTheme="minorAscii" w:hAnsiTheme="minorAscii" w:eastAsiaTheme="minorAscii" w:cstheme="minorAscii"/>
          <w:sz w:val="22"/>
          <w:szCs w:val="22"/>
        </w:rPr>
        <w:t>appropriate procedures</w:t>
      </w:r>
      <w:r w:rsidRPr="6D12336A" w:rsidR="74458E89">
        <w:rPr>
          <w:rFonts w:ascii="Arial" w:hAnsi="Arial" w:eastAsia="Arial" w:cs="Arial" w:asciiTheme="minorAscii" w:hAnsiTheme="minorAscii" w:eastAsiaTheme="minorAscii" w:cstheme="minorAscii"/>
          <w:sz w:val="22"/>
          <w:szCs w:val="22"/>
        </w:rPr>
        <w:t xml:space="preserve">. These skills support safe, </w:t>
      </w:r>
      <w:r w:rsidRPr="6D12336A" w:rsidR="74458E89">
        <w:rPr>
          <w:rFonts w:ascii="Arial" w:hAnsi="Arial" w:eastAsia="Arial" w:cs="Arial" w:asciiTheme="minorAscii" w:hAnsiTheme="minorAscii" w:eastAsiaTheme="minorAscii" w:cstheme="minorAscii"/>
          <w:sz w:val="22"/>
          <w:szCs w:val="22"/>
        </w:rPr>
        <w:t>person-centred</w:t>
      </w:r>
      <w:r w:rsidRPr="6D12336A" w:rsidR="74458E89">
        <w:rPr>
          <w:rFonts w:ascii="Arial" w:hAnsi="Arial" w:eastAsia="Arial" w:cs="Arial" w:asciiTheme="minorAscii" w:hAnsiTheme="minorAscii" w:eastAsiaTheme="minorAscii" w:cstheme="minorAscii"/>
          <w:sz w:val="22"/>
          <w:szCs w:val="22"/>
        </w:rPr>
        <w:t xml:space="preserve"> and collaborative practice.</w:t>
      </w:r>
    </w:p>
    <w:p w:rsidR="6D12336A" w:rsidP="6D12336A" w:rsidRDefault="6D12336A" w14:paraId="2B885DFA" w14:textId="36D7029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624EDFBD" w14:textId="76A281D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2616CC65" w14:textId="08755F4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74458E89" w:rsidP="6D12336A" w:rsidRDefault="74458E89" w14:paraId="4C7AAF4A" w14:textId="36980FD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Areas for Improvement</w:t>
      </w:r>
    </w:p>
    <w:p w:rsidR="74458E89" w:rsidP="6D12336A" w:rsidRDefault="74458E89" w14:paraId="3DE1BC99" w14:textId="3225853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Despite these strengths, I recognise areas where I need to develop further. Managing complex ethical dilemmas can be challenging, especially when there are differing views between professionals or family members. I would also </w:t>
      </w:r>
      <w:r w:rsidRPr="6D12336A" w:rsidR="74458E89">
        <w:rPr>
          <w:rFonts w:ascii="Arial" w:hAnsi="Arial" w:eastAsia="Arial" w:cs="Arial" w:asciiTheme="minorAscii" w:hAnsiTheme="minorAscii" w:eastAsiaTheme="minorAscii" w:cstheme="minorAscii"/>
          <w:sz w:val="22"/>
          <w:szCs w:val="22"/>
        </w:rPr>
        <w:t>benefit</w:t>
      </w:r>
      <w:r w:rsidRPr="6D12336A" w:rsidR="74458E89">
        <w:rPr>
          <w:rFonts w:ascii="Arial" w:hAnsi="Arial" w:eastAsia="Arial" w:cs="Arial" w:asciiTheme="minorAscii" w:hAnsiTheme="minorAscii" w:eastAsiaTheme="minorAscii" w:cstheme="minorAscii"/>
          <w:sz w:val="22"/>
          <w:szCs w:val="22"/>
        </w:rPr>
        <w:t xml:space="preserve"> from developing a stronger understanding of how partnership working </w:t>
      </w:r>
      <w:r w:rsidRPr="6D12336A" w:rsidR="74458E89">
        <w:rPr>
          <w:rFonts w:ascii="Arial" w:hAnsi="Arial" w:eastAsia="Arial" w:cs="Arial" w:asciiTheme="minorAscii" w:hAnsiTheme="minorAscii" w:eastAsiaTheme="minorAscii" w:cstheme="minorAscii"/>
          <w:sz w:val="22"/>
          <w:szCs w:val="22"/>
        </w:rPr>
        <w:t>operates</w:t>
      </w:r>
      <w:r w:rsidRPr="6D12336A" w:rsidR="74458E89">
        <w:rPr>
          <w:rFonts w:ascii="Arial" w:hAnsi="Arial" w:eastAsia="Arial" w:cs="Arial" w:asciiTheme="minorAscii" w:hAnsiTheme="minorAscii" w:eastAsiaTheme="minorAscii" w:cstheme="minorAscii"/>
          <w:sz w:val="22"/>
          <w:szCs w:val="22"/>
        </w:rPr>
        <w:t xml:space="preserve"> at an organisational level. Reflecting using the self-reflection toolkit has highlighted the importance of seeking supervision and professional support to build confidence and improve decision-making.</w:t>
      </w:r>
    </w:p>
    <w:p w:rsidR="6D12336A" w:rsidP="6D12336A" w:rsidRDefault="6D12336A" w14:paraId="37431603" w14:textId="56AE17E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74458E89" w:rsidP="6D12336A" w:rsidRDefault="74458E89" w14:paraId="00243573" w14:textId="274BB5B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Managing Challenges and Professional Development</w:t>
      </w:r>
    </w:p>
    <w:p w:rsidR="74458E89" w:rsidP="6D12336A" w:rsidRDefault="74458E89" w14:paraId="434552F0" w14:textId="051AF97A">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Applying person-centred care, partnership working and ethics in practice is not always straightforward. Time pressures, staffing shortages and increasing workloads can make it difficult to consistently prioritise individual needs. In these situations, there is a risk that care becomes task-focused rather than centred on the person. Recognising this risk is important, as it encourages me to reflect on my practice and make conscious efforts to </w:t>
      </w:r>
      <w:r w:rsidRPr="6D12336A" w:rsidR="74458E89">
        <w:rPr>
          <w:rFonts w:ascii="Arial" w:hAnsi="Arial" w:eastAsia="Arial" w:cs="Arial" w:asciiTheme="minorAscii" w:hAnsiTheme="minorAscii" w:eastAsiaTheme="minorAscii" w:cstheme="minorAscii"/>
          <w:sz w:val="22"/>
          <w:szCs w:val="22"/>
        </w:rPr>
        <w:t>maintain</w:t>
      </w:r>
      <w:r w:rsidRPr="6D12336A" w:rsidR="74458E89">
        <w:rPr>
          <w:rFonts w:ascii="Arial" w:hAnsi="Arial" w:eastAsia="Arial" w:cs="Arial" w:asciiTheme="minorAscii" w:hAnsiTheme="minorAscii" w:eastAsiaTheme="minorAscii" w:cstheme="minorAscii"/>
          <w:sz w:val="22"/>
          <w:szCs w:val="22"/>
        </w:rPr>
        <w:t xml:space="preserve"> person-centred approaches, even in pressured environments.</w:t>
      </w:r>
    </w:p>
    <w:p w:rsidR="74458E89" w:rsidP="6D12336A" w:rsidRDefault="74458E89" w14:paraId="4C485B63" w14:textId="3F67D23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Partnership working can also present challenges, particularly when communication between services is unclear or roles and responsibilities are not well defined. Differences in organisational priorities and systems can lead to delays in care or misunderstandings between professionals. Developing confidence in communicating across services and understanding professional boundaries will be essential in supporting effective multi-agency working.</w:t>
      </w:r>
    </w:p>
    <w:p w:rsidR="74458E89" w:rsidP="6D12336A" w:rsidRDefault="74458E89" w14:paraId="07422331" w14:textId="2979A4D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Reflecting further on my professional development, I recognise that ethical and partnership challenges can have a significant emotional and professional impact. Situations involving safeguarding concerns, conflicting professional opinions, or balancing risk with individual choice can be stressful and require careful judgement. In these situations, I may feel uncertain about the best course of action, particularly where decisions need to be made quickly. Recognising these feelings is important, as unmanaged stress can affect communication, decision-making and professional confidence.</w:t>
      </w:r>
    </w:p>
    <w:p w:rsidR="74458E89" w:rsidP="6D12336A" w:rsidRDefault="74458E89" w14:paraId="04B6884A" w14:textId="517EB84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To manage these challenges effectively, I need to make consistent use of supervision and reflective practice. Supervision provides a safe space to discuss concerns, explore ethical dilemmas and receive guidance from more experienced professionals. It also supports accountability and helps ensure that decisions are lawful, ethical and in line with professional standards (HCPC, 2024). Reflective practice allows me to learn from challenging situations by </w:t>
      </w:r>
      <w:r w:rsidRPr="6D12336A" w:rsidR="74458E89">
        <w:rPr>
          <w:rFonts w:ascii="Arial" w:hAnsi="Arial" w:eastAsia="Arial" w:cs="Arial" w:asciiTheme="minorAscii" w:hAnsiTheme="minorAscii" w:eastAsiaTheme="minorAscii" w:cstheme="minorAscii"/>
          <w:sz w:val="22"/>
          <w:szCs w:val="22"/>
        </w:rPr>
        <w:t>identifying</w:t>
      </w:r>
      <w:r w:rsidRPr="6D12336A" w:rsidR="74458E89">
        <w:rPr>
          <w:rFonts w:ascii="Arial" w:hAnsi="Arial" w:eastAsia="Arial" w:cs="Arial" w:asciiTheme="minorAscii" w:hAnsiTheme="minorAscii" w:eastAsiaTheme="minorAscii" w:cstheme="minorAscii"/>
          <w:sz w:val="22"/>
          <w:szCs w:val="22"/>
        </w:rPr>
        <w:t xml:space="preserve"> what went well and what could be improved.</w:t>
      </w:r>
    </w:p>
    <w:p w:rsidR="74458E89" w:rsidP="6D12336A" w:rsidRDefault="74458E89" w14:paraId="6250CBE9" w14:textId="64A6F12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A practical way I can strengthen my person-centred practice is by improving how I set goals with service users. Rather than assuming what positive outcomes look like, I need to ask clearer questions about what matters most to individuals and ensure this is documented accurately in care planning. I also aim to develop confidence in having difficult conversations, particularly where a person’s choices may increase risk. In these situations, clear communication, shared </w:t>
      </w:r>
      <w:r w:rsidRPr="6D12336A" w:rsidR="74458E89">
        <w:rPr>
          <w:rFonts w:ascii="Arial" w:hAnsi="Arial" w:eastAsia="Arial" w:cs="Arial" w:asciiTheme="minorAscii" w:hAnsiTheme="minorAscii" w:eastAsiaTheme="minorAscii" w:cstheme="minorAscii"/>
          <w:sz w:val="22"/>
          <w:szCs w:val="22"/>
        </w:rPr>
        <w:t>decision-making</w:t>
      </w:r>
      <w:r w:rsidRPr="6D12336A" w:rsidR="74458E89">
        <w:rPr>
          <w:rFonts w:ascii="Arial" w:hAnsi="Arial" w:eastAsia="Arial" w:cs="Arial" w:asciiTheme="minorAscii" w:hAnsiTheme="minorAscii" w:eastAsiaTheme="minorAscii" w:cstheme="minorAscii"/>
          <w:sz w:val="22"/>
          <w:szCs w:val="22"/>
        </w:rPr>
        <w:t xml:space="preserve"> and </w:t>
      </w:r>
      <w:r w:rsidRPr="6D12336A" w:rsidR="74458E89">
        <w:rPr>
          <w:rFonts w:ascii="Arial" w:hAnsi="Arial" w:eastAsia="Arial" w:cs="Arial" w:asciiTheme="minorAscii" w:hAnsiTheme="minorAscii" w:eastAsiaTheme="minorAscii" w:cstheme="minorAscii"/>
          <w:sz w:val="22"/>
          <w:szCs w:val="22"/>
        </w:rPr>
        <w:t>accurate</w:t>
      </w:r>
      <w:r w:rsidRPr="6D12336A" w:rsidR="74458E89">
        <w:rPr>
          <w:rFonts w:ascii="Arial" w:hAnsi="Arial" w:eastAsia="Arial" w:cs="Arial" w:asciiTheme="minorAscii" w:hAnsiTheme="minorAscii" w:eastAsiaTheme="minorAscii" w:cstheme="minorAscii"/>
          <w:sz w:val="22"/>
          <w:szCs w:val="22"/>
        </w:rPr>
        <w:t xml:space="preserve"> record-keeping are essential.</w:t>
      </w:r>
    </w:p>
    <w:p w:rsidR="74458E89" w:rsidP="6D12336A" w:rsidRDefault="74458E89" w14:paraId="577048A8" w14:textId="6CD6748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74458E89">
        <w:rPr>
          <w:rFonts w:ascii="Arial" w:hAnsi="Arial" w:eastAsia="Arial" w:cs="Arial" w:asciiTheme="minorAscii" w:hAnsiTheme="minorAscii" w:eastAsiaTheme="minorAscii" w:cstheme="minorAscii"/>
          <w:sz w:val="22"/>
          <w:szCs w:val="22"/>
        </w:rPr>
        <w:t xml:space="preserve">To improve partnership working, I plan to increase my understanding of how local services connect, including referral pathways between general practice, social work, community </w:t>
      </w:r>
      <w:r w:rsidRPr="6D12336A" w:rsidR="74458E89">
        <w:rPr>
          <w:rFonts w:ascii="Arial" w:hAnsi="Arial" w:eastAsia="Arial" w:cs="Arial" w:asciiTheme="minorAscii" w:hAnsiTheme="minorAscii" w:eastAsiaTheme="minorAscii" w:cstheme="minorAscii"/>
          <w:sz w:val="22"/>
          <w:szCs w:val="22"/>
        </w:rPr>
        <w:t>nursing</w:t>
      </w:r>
      <w:r w:rsidRPr="6D12336A" w:rsidR="74458E89">
        <w:rPr>
          <w:rFonts w:ascii="Arial" w:hAnsi="Arial" w:eastAsia="Arial" w:cs="Arial" w:asciiTheme="minorAscii" w:hAnsiTheme="minorAscii" w:eastAsiaTheme="minorAscii" w:cstheme="minorAscii"/>
          <w:sz w:val="22"/>
          <w:szCs w:val="22"/>
        </w:rPr>
        <w:t xml:space="preserve"> and voluntary sector organisations. Using supervision to reflect on communication challenges and learning how to summarise key information clearly will support more effective collaboration. Ongoing training, continuous professional development and keeping up to date with legislation such as the Health and Care Act (2022) will support my development as a competent, </w:t>
      </w:r>
      <w:r w:rsidRPr="6D12336A" w:rsidR="74458E89">
        <w:rPr>
          <w:rFonts w:ascii="Arial" w:hAnsi="Arial" w:eastAsia="Arial" w:cs="Arial" w:asciiTheme="minorAscii" w:hAnsiTheme="minorAscii" w:eastAsiaTheme="minorAscii" w:cstheme="minorAscii"/>
          <w:sz w:val="22"/>
          <w:szCs w:val="22"/>
        </w:rPr>
        <w:t>ethical</w:t>
      </w:r>
      <w:r w:rsidRPr="6D12336A" w:rsidR="74458E89">
        <w:rPr>
          <w:rFonts w:ascii="Arial" w:hAnsi="Arial" w:eastAsia="Arial" w:cs="Arial" w:asciiTheme="minorAscii" w:hAnsiTheme="minorAscii" w:eastAsiaTheme="minorAscii" w:cstheme="minorAscii"/>
          <w:sz w:val="22"/>
          <w:szCs w:val="22"/>
        </w:rPr>
        <w:t xml:space="preserve"> and reflective health and social care professional.</w:t>
      </w:r>
    </w:p>
    <w:p w:rsidR="67412F14" w:rsidP="6D12336A" w:rsidRDefault="67412F14" w14:paraId="23046AC9" w14:textId="324723A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7412F14">
        <w:rPr>
          <w:rFonts w:ascii="Arial" w:hAnsi="Arial" w:eastAsia="Arial" w:cs="Arial" w:asciiTheme="minorAscii" w:hAnsiTheme="minorAscii" w:eastAsiaTheme="minorAscii" w:cstheme="minorAscii"/>
          <w:sz w:val="22"/>
          <w:szCs w:val="22"/>
        </w:rPr>
        <w:t xml:space="preserve">Reflecting on my future practice, I also recognise the importance of accountability and professional responsibility in upholding these principles. As a health and social care professional, I will be expected to justify my decisions, </w:t>
      </w:r>
      <w:r w:rsidRPr="6D12336A" w:rsidR="67412F14">
        <w:rPr>
          <w:rFonts w:ascii="Arial" w:hAnsi="Arial" w:eastAsia="Arial" w:cs="Arial" w:asciiTheme="minorAscii" w:hAnsiTheme="minorAscii" w:eastAsiaTheme="minorAscii" w:cstheme="minorAscii"/>
          <w:sz w:val="22"/>
          <w:szCs w:val="22"/>
        </w:rPr>
        <w:t>maintain</w:t>
      </w:r>
      <w:r w:rsidRPr="6D12336A" w:rsidR="67412F14">
        <w:rPr>
          <w:rFonts w:ascii="Arial" w:hAnsi="Arial" w:eastAsia="Arial" w:cs="Arial" w:asciiTheme="minorAscii" w:hAnsiTheme="minorAscii" w:eastAsiaTheme="minorAscii" w:cstheme="minorAscii"/>
          <w:sz w:val="22"/>
          <w:szCs w:val="22"/>
        </w:rPr>
        <w:t xml:space="preserve"> </w:t>
      </w:r>
      <w:r w:rsidRPr="6D12336A" w:rsidR="67412F14">
        <w:rPr>
          <w:rFonts w:ascii="Arial" w:hAnsi="Arial" w:eastAsia="Arial" w:cs="Arial" w:asciiTheme="minorAscii" w:hAnsiTheme="minorAscii" w:eastAsiaTheme="minorAscii" w:cstheme="minorAscii"/>
          <w:sz w:val="22"/>
          <w:szCs w:val="22"/>
        </w:rPr>
        <w:t>accurate</w:t>
      </w:r>
      <w:r w:rsidRPr="6D12336A" w:rsidR="67412F14">
        <w:rPr>
          <w:rFonts w:ascii="Arial" w:hAnsi="Arial" w:eastAsia="Arial" w:cs="Arial" w:asciiTheme="minorAscii" w:hAnsiTheme="minorAscii" w:eastAsiaTheme="minorAscii" w:cstheme="minorAscii"/>
          <w:sz w:val="22"/>
          <w:szCs w:val="22"/>
        </w:rPr>
        <w:t xml:space="preserve"> records and act transparently, particularly when things do not go as planned. The HCPC Standards of Conduct, Performance and Ethics (2024) emphasise the importance of honesty, record keeping and raising concerns where safety may be compromised. This reinforces the need for me to take responsibility for my actions and to recognise the limits of my competence.</w:t>
      </w:r>
    </w:p>
    <w:p w:rsidR="67412F14" w:rsidP="6D12336A" w:rsidRDefault="67412F14" w14:paraId="10EA5C85" w14:textId="0EF4DD9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7412F14">
        <w:rPr>
          <w:rFonts w:ascii="Arial" w:hAnsi="Arial" w:eastAsia="Arial" w:cs="Arial" w:asciiTheme="minorAscii" w:hAnsiTheme="minorAscii" w:eastAsiaTheme="minorAscii" w:cstheme="minorAscii"/>
          <w:sz w:val="22"/>
          <w:szCs w:val="22"/>
        </w:rPr>
        <w:t xml:space="preserve">I also recognise that </w:t>
      </w:r>
      <w:r w:rsidRPr="6D12336A" w:rsidR="67412F14">
        <w:rPr>
          <w:rFonts w:ascii="Arial" w:hAnsi="Arial" w:eastAsia="Arial" w:cs="Arial" w:asciiTheme="minorAscii" w:hAnsiTheme="minorAscii" w:eastAsiaTheme="minorAscii" w:cstheme="minorAscii"/>
          <w:sz w:val="22"/>
          <w:szCs w:val="22"/>
        </w:rPr>
        <w:t>maintaining</w:t>
      </w:r>
      <w:r w:rsidRPr="6D12336A" w:rsidR="67412F14">
        <w:rPr>
          <w:rFonts w:ascii="Arial" w:hAnsi="Arial" w:eastAsia="Arial" w:cs="Arial" w:asciiTheme="minorAscii" w:hAnsiTheme="minorAscii" w:eastAsiaTheme="minorAscii" w:cstheme="minorAscii"/>
          <w:sz w:val="22"/>
          <w:szCs w:val="22"/>
        </w:rPr>
        <w:t xml:space="preserve"> professional resilience will be essential in sustaining ethical and person-centred practice. Exposure to complex situations, such as safeguarding cases or high-risk decision-making, can lead to emotional fatigue if not managed appropriately. Developing self-awareness and recognising when I need support will help prevent burnout and </w:t>
      </w:r>
      <w:r w:rsidRPr="6D12336A" w:rsidR="67412F14">
        <w:rPr>
          <w:rFonts w:ascii="Arial" w:hAnsi="Arial" w:eastAsia="Arial" w:cs="Arial" w:asciiTheme="minorAscii" w:hAnsiTheme="minorAscii" w:eastAsiaTheme="minorAscii" w:cstheme="minorAscii"/>
          <w:sz w:val="22"/>
          <w:szCs w:val="22"/>
        </w:rPr>
        <w:t>maintain</w:t>
      </w:r>
      <w:r w:rsidRPr="6D12336A" w:rsidR="67412F14">
        <w:rPr>
          <w:rFonts w:ascii="Arial" w:hAnsi="Arial" w:eastAsia="Arial" w:cs="Arial" w:asciiTheme="minorAscii" w:hAnsiTheme="minorAscii" w:eastAsiaTheme="minorAscii" w:cstheme="minorAscii"/>
          <w:sz w:val="22"/>
          <w:szCs w:val="22"/>
        </w:rPr>
        <w:t xml:space="preserve"> professional effectiveness. This includes using supervision, peer </w:t>
      </w:r>
      <w:r w:rsidRPr="6D12336A" w:rsidR="67412F14">
        <w:rPr>
          <w:rFonts w:ascii="Arial" w:hAnsi="Arial" w:eastAsia="Arial" w:cs="Arial" w:asciiTheme="minorAscii" w:hAnsiTheme="minorAscii" w:eastAsiaTheme="minorAscii" w:cstheme="minorAscii"/>
          <w:sz w:val="22"/>
          <w:szCs w:val="22"/>
        </w:rPr>
        <w:t>support</w:t>
      </w:r>
      <w:r w:rsidRPr="6D12336A" w:rsidR="67412F14">
        <w:rPr>
          <w:rFonts w:ascii="Arial" w:hAnsi="Arial" w:eastAsia="Arial" w:cs="Arial" w:asciiTheme="minorAscii" w:hAnsiTheme="minorAscii" w:eastAsiaTheme="minorAscii" w:cstheme="minorAscii"/>
          <w:sz w:val="22"/>
          <w:szCs w:val="22"/>
        </w:rPr>
        <w:t xml:space="preserve"> and reflective tools to process challenging experiences in a constructive way.</w:t>
      </w:r>
    </w:p>
    <w:p w:rsidR="67412F14" w:rsidP="6D12336A" w:rsidRDefault="67412F14" w14:paraId="7E31D1D1" w14:textId="70B8725C">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7412F14">
        <w:rPr>
          <w:rFonts w:ascii="Arial" w:hAnsi="Arial" w:eastAsia="Arial" w:cs="Arial" w:asciiTheme="minorAscii" w:hAnsiTheme="minorAscii" w:eastAsiaTheme="minorAscii" w:cstheme="minorAscii"/>
          <w:sz w:val="22"/>
          <w:szCs w:val="22"/>
        </w:rPr>
        <w:t xml:space="preserve">By continuing to reflect on my practice and actively engaging with learning opportunities, I can strengthen my confidence and professional judgement. This will support my ability to apply person-centred care, partnership working and ethical principles consistently, even in challenging circumstances. </w:t>
      </w:r>
      <w:r w:rsidRPr="6D12336A" w:rsidR="67412F14">
        <w:rPr>
          <w:rFonts w:ascii="Arial" w:hAnsi="Arial" w:eastAsia="Arial" w:cs="Arial" w:asciiTheme="minorAscii" w:hAnsiTheme="minorAscii" w:eastAsiaTheme="minorAscii" w:cstheme="minorAscii"/>
          <w:sz w:val="22"/>
          <w:szCs w:val="22"/>
        </w:rPr>
        <w:t>Ultimately, this</w:t>
      </w:r>
      <w:r w:rsidRPr="6D12336A" w:rsidR="67412F14">
        <w:rPr>
          <w:rFonts w:ascii="Arial" w:hAnsi="Arial" w:eastAsia="Arial" w:cs="Arial" w:asciiTheme="minorAscii" w:hAnsiTheme="minorAscii" w:eastAsiaTheme="minorAscii" w:cstheme="minorAscii"/>
          <w:sz w:val="22"/>
          <w:szCs w:val="22"/>
        </w:rPr>
        <w:t xml:space="preserve"> reflective approach will help me provide safer, more </w:t>
      </w:r>
      <w:r w:rsidRPr="6D12336A" w:rsidR="67412F14">
        <w:rPr>
          <w:rFonts w:ascii="Arial" w:hAnsi="Arial" w:eastAsia="Arial" w:cs="Arial" w:asciiTheme="minorAscii" w:hAnsiTheme="minorAscii" w:eastAsiaTheme="minorAscii" w:cstheme="minorAscii"/>
          <w:sz w:val="22"/>
          <w:szCs w:val="22"/>
        </w:rPr>
        <w:t>compassionate</w:t>
      </w:r>
      <w:r w:rsidRPr="6D12336A" w:rsidR="67412F14">
        <w:rPr>
          <w:rFonts w:ascii="Arial" w:hAnsi="Arial" w:eastAsia="Arial" w:cs="Arial" w:asciiTheme="minorAscii" w:hAnsiTheme="minorAscii" w:eastAsiaTheme="minorAscii" w:cstheme="minorAscii"/>
          <w:sz w:val="22"/>
          <w:szCs w:val="22"/>
        </w:rPr>
        <w:t xml:space="preserve"> and higher-quality care while continuing to develop as a responsible and accountable health and social care professional.</w:t>
      </w:r>
    </w:p>
    <w:p w:rsidR="6D12336A" w:rsidP="6D12336A" w:rsidRDefault="6D12336A" w14:paraId="1839F553" w14:textId="6DFD0FD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61CBD2C0" w14:textId="66D4A80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D12336A" w:rsidP="6D12336A" w:rsidRDefault="6D12336A" w14:paraId="7B40692A" w14:textId="448BF66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p>
    <w:p w:rsidR="6BEE00A5" w:rsidP="6D12336A" w:rsidRDefault="6BEE00A5" w14:paraId="0B0C99E6" w14:textId="2029FFBA">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Conclusion</w:t>
      </w:r>
    </w:p>
    <w:p w:rsidR="6BEE00A5" w:rsidP="6D12336A" w:rsidRDefault="6BEE00A5" w14:paraId="2D931C5F" w14:textId="72F1C7A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2"/>
          <w:szCs w:val="22"/>
        </w:rPr>
      </w:pPr>
      <w:r w:rsidRPr="6D12336A" w:rsidR="6BEE00A5">
        <w:rPr>
          <w:rFonts w:ascii="Arial" w:hAnsi="Arial" w:eastAsia="Arial" w:cs="Arial" w:asciiTheme="minorAscii" w:hAnsiTheme="minorAscii" w:eastAsiaTheme="minorAscii" w:cstheme="minorAscii"/>
          <w:sz w:val="22"/>
          <w:szCs w:val="22"/>
        </w:rPr>
        <w:t xml:space="preserve">This report has explored the importance of person-centred care, partnership working and ethics in UK health and social care practice. These principles support quality care, protect service </w:t>
      </w:r>
      <w:r w:rsidRPr="6D12336A" w:rsidR="6BEE00A5">
        <w:rPr>
          <w:rFonts w:ascii="Arial" w:hAnsi="Arial" w:eastAsia="Arial" w:cs="Arial" w:asciiTheme="minorAscii" w:hAnsiTheme="minorAscii" w:eastAsiaTheme="minorAscii" w:cstheme="minorAscii"/>
          <w:sz w:val="22"/>
          <w:szCs w:val="22"/>
        </w:rPr>
        <w:t>users</w:t>
      </w:r>
      <w:r w:rsidRPr="6D12336A" w:rsidR="6BEE00A5">
        <w:rPr>
          <w:rFonts w:ascii="Arial" w:hAnsi="Arial" w:eastAsia="Arial" w:cs="Arial" w:asciiTheme="minorAscii" w:hAnsiTheme="minorAscii" w:eastAsiaTheme="minorAscii" w:cstheme="minorAscii"/>
          <w:sz w:val="22"/>
          <w:szCs w:val="22"/>
        </w:rPr>
        <w:t xml:space="preserve"> and guide professional behaviour. Through theory, legislation and practical examples, the report </w:t>
      </w:r>
      <w:r w:rsidRPr="6D12336A" w:rsidR="6BEE00A5">
        <w:rPr>
          <w:rFonts w:ascii="Arial" w:hAnsi="Arial" w:eastAsia="Arial" w:cs="Arial" w:asciiTheme="minorAscii" w:hAnsiTheme="minorAscii" w:eastAsiaTheme="minorAscii" w:cstheme="minorAscii"/>
          <w:sz w:val="22"/>
          <w:szCs w:val="22"/>
        </w:rPr>
        <w:t>demonstrates</w:t>
      </w:r>
      <w:r w:rsidRPr="6D12336A" w:rsidR="6BEE00A5">
        <w:rPr>
          <w:rFonts w:ascii="Arial" w:hAnsi="Arial" w:eastAsia="Arial" w:cs="Arial" w:asciiTheme="minorAscii" w:hAnsiTheme="minorAscii" w:eastAsiaTheme="minorAscii" w:cstheme="minorAscii"/>
          <w:sz w:val="22"/>
          <w:szCs w:val="22"/>
        </w:rPr>
        <w:t xml:space="preserve"> how these principles improve outcomes and address challenges. Continued reflection, </w:t>
      </w:r>
      <w:r w:rsidRPr="6D12336A" w:rsidR="6BEE00A5">
        <w:rPr>
          <w:rFonts w:ascii="Arial" w:hAnsi="Arial" w:eastAsia="Arial" w:cs="Arial" w:asciiTheme="minorAscii" w:hAnsiTheme="minorAscii" w:eastAsiaTheme="minorAscii" w:cstheme="minorAscii"/>
          <w:sz w:val="22"/>
          <w:szCs w:val="22"/>
        </w:rPr>
        <w:t>collaboration</w:t>
      </w:r>
      <w:r w:rsidRPr="6D12336A" w:rsidR="6BEE00A5">
        <w:rPr>
          <w:rFonts w:ascii="Arial" w:hAnsi="Arial" w:eastAsia="Arial" w:cs="Arial" w:asciiTheme="minorAscii" w:hAnsiTheme="minorAscii" w:eastAsiaTheme="minorAscii" w:cstheme="minorAscii"/>
          <w:sz w:val="22"/>
          <w:szCs w:val="22"/>
        </w:rPr>
        <w:t xml:space="preserve"> and ethical awareness are essential for effective professional practice.</w:t>
      </w:r>
    </w:p>
    <w:p w:rsidR="6D12336A" w:rsidP="6D12336A" w:rsidRDefault="6D12336A" w14:paraId="796B3C7D" w14:textId="54C3CA67">
      <w:pPr>
        <w:pStyle w:val="Normal"/>
        <w:suppressLineNumbers w:val="0"/>
        <w:bidi w:val="0"/>
        <w:spacing w:before="0" w:beforeAutospacing="off" w:after="160" w:afterAutospacing="off" w:line="279" w:lineRule="auto"/>
        <w:ind w:left="0" w:right="0"/>
        <w:jc w:val="left"/>
        <w:rPr>
          <w:sz w:val="22"/>
          <w:szCs w:val="22"/>
        </w:rPr>
      </w:pPr>
    </w:p>
    <w:p w:rsidR="6D12336A" w:rsidP="6D12336A" w:rsidRDefault="6D12336A" w14:paraId="5579B9B7" w14:textId="74E39077">
      <w:pPr>
        <w:pStyle w:val="Normal"/>
        <w:suppressLineNumbers w:val="0"/>
        <w:bidi w:val="0"/>
        <w:spacing w:before="0" w:beforeAutospacing="off" w:after="160" w:afterAutospacing="off" w:line="279" w:lineRule="auto"/>
        <w:ind w:left="0" w:right="0"/>
        <w:jc w:val="left"/>
      </w:pPr>
    </w:p>
    <w:p w:rsidR="6D12336A" w:rsidP="6D12336A" w:rsidRDefault="6D12336A" w14:paraId="47E9D358" w14:textId="26446260">
      <w:pPr>
        <w:pStyle w:val="Normal"/>
        <w:suppressLineNumbers w:val="0"/>
        <w:bidi w:val="0"/>
        <w:spacing w:before="0" w:beforeAutospacing="off" w:after="160" w:afterAutospacing="off" w:line="279" w:lineRule="auto"/>
        <w:ind w:left="0" w:right="0"/>
        <w:jc w:val="left"/>
      </w:pPr>
    </w:p>
    <w:p w:rsidR="6D12336A" w:rsidP="6D12336A" w:rsidRDefault="6D12336A" w14:paraId="795CDFBA" w14:textId="32FBFA88">
      <w:pPr>
        <w:pStyle w:val="Normal"/>
        <w:suppressLineNumbers w:val="0"/>
        <w:bidi w:val="0"/>
        <w:spacing w:before="0" w:beforeAutospacing="off" w:after="160" w:afterAutospacing="off" w:line="279" w:lineRule="auto"/>
        <w:ind w:left="0" w:right="0"/>
        <w:jc w:val="left"/>
      </w:pPr>
    </w:p>
    <w:p w:rsidR="6D12336A" w:rsidP="6D12336A" w:rsidRDefault="6D12336A" w14:paraId="495FC85D" w14:textId="04156CB5">
      <w:pPr>
        <w:pStyle w:val="Normal"/>
        <w:suppressLineNumbers w:val="0"/>
        <w:bidi w:val="0"/>
        <w:spacing w:before="0" w:beforeAutospacing="off" w:after="160" w:afterAutospacing="off" w:line="279" w:lineRule="auto"/>
        <w:ind w:left="0" w:right="0"/>
        <w:jc w:val="left"/>
      </w:pPr>
    </w:p>
    <w:p w:rsidR="6D12336A" w:rsidP="6D12336A" w:rsidRDefault="6D12336A" w14:paraId="4355558E" w14:textId="04345CF1">
      <w:pPr>
        <w:pStyle w:val="Normal"/>
        <w:suppressLineNumbers w:val="0"/>
        <w:bidi w:val="0"/>
        <w:spacing w:before="0" w:beforeAutospacing="off" w:after="160" w:afterAutospacing="off" w:line="279" w:lineRule="auto"/>
        <w:ind w:left="0" w:right="0"/>
        <w:jc w:val="left"/>
      </w:pPr>
    </w:p>
    <w:p w:rsidR="6D12336A" w:rsidP="6D12336A" w:rsidRDefault="6D12336A" w14:paraId="7D4ECD61" w14:textId="76599309">
      <w:pPr>
        <w:pStyle w:val="Normal"/>
        <w:suppressLineNumbers w:val="0"/>
        <w:bidi w:val="0"/>
        <w:spacing w:before="0" w:beforeAutospacing="off" w:after="160" w:afterAutospacing="off" w:line="279" w:lineRule="auto"/>
        <w:ind w:left="0" w:right="0"/>
        <w:jc w:val="left"/>
      </w:pPr>
    </w:p>
    <w:p w:rsidR="6D12336A" w:rsidP="6D12336A" w:rsidRDefault="6D12336A" w14:paraId="07943528" w14:textId="3890494F">
      <w:pPr>
        <w:pStyle w:val="Normal"/>
        <w:suppressLineNumbers w:val="0"/>
        <w:bidi w:val="0"/>
        <w:spacing w:before="0" w:beforeAutospacing="off" w:after="160" w:afterAutospacing="off" w:line="279" w:lineRule="auto"/>
        <w:ind w:left="0" w:right="0"/>
        <w:jc w:val="left"/>
      </w:pPr>
    </w:p>
    <w:p w:rsidR="6D12336A" w:rsidP="6D12336A" w:rsidRDefault="6D12336A" w14:paraId="04E59347" w14:textId="78283956">
      <w:pPr>
        <w:pStyle w:val="Normal"/>
        <w:suppressLineNumbers w:val="0"/>
        <w:bidi w:val="0"/>
        <w:spacing w:before="0" w:beforeAutospacing="off" w:after="160" w:afterAutospacing="off" w:line="279" w:lineRule="auto"/>
        <w:ind w:left="0" w:right="0"/>
        <w:jc w:val="left"/>
      </w:pPr>
    </w:p>
    <w:p w:rsidR="6D12336A" w:rsidP="6D12336A" w:rsidRDefault="6D12336A" w14:paraId="62B220A9" w14:textId="49ACCC99">
      <w:pPr>
        <w:pStyle w:val="Normal"/>
        <w:suppressLineNumbers w:val="0"/>
        <w:bidi w:val="0"/>
        <w:spacing w:before="0" w:beforeAutospacing="off" w:after="160" w:afterAutospacing="off" w:line="279" w:lineRule="auto"/>
        <w:ind w:left="0" w:right="0"/>
        <w:jc w:val="left"/>
      </w:pPr>
    </w:p>
    <w:p w:rsidR="6D12336A" w:rsidP="6D12336A" w:rsidRDefault="6D12336A" w14:paraId="1AE7B4A0" w14:textId="1D50A682">
      <w:pPr>
        <w:pStyle w:val="Normal"/>
        <w:suppressLineNumbers w:val="0"/>
        <w:bidi w:val="0"/>
        <w:spacing w:before="0" w:beforeAutospacing="off" w:after="160" w:afterAutospacing="off" w:line="279" w:lineRule="auto"/>
        <w:ind w:left="0" w:right="0"/>
        <w:jc w:val="left"/>
      </w:pPr>
    </w:p>
    <w:p w:rsidR="6D12336A" w:rsidP="6D12336A" w:rsidRDefault="6D12336A" w14:paraId="40BA1192" w14:textId="27EFBDC2">
      <w:pPr>
        <w:pStyle w:val="Normal"/>
        <w:suppressLineNumbers w:val="0"/>
        <w:bidi w:val="0"/>
        <w:spacing w:before="0" w:beforeAutospacing="off" w:after="160" w:afterAutospacing="off" w:line="279" w:lineRule="auto"/>
        <w:ind w:left="0" w:right="0"/>
        <w:jc w:val="left"/>
      </w:pPr>
    </w:p>
    <w:p w:rsidR="6D12336A" w:rsidP="6D12336A" w:rsidRDefault="6D12336A" w14:paraId="284900AB" w14:textId="08587A1B">
      <w:pPr>
        <w:pStyle w:val="Normal"/>
        <w:suppressLineNumbers w:val="0"/>
        <w:bidi w:val="0"/>
        <w:spacing w:before="0" w:beforeAutospacing="off" w:after="160" w:afterAutospacing="off" w:line="279" w:lineRule="auto"/>
        <w:ind w:left="0" w:right="0"/>
        <w:jc w:val="left"/>
      </w:pPr>
    </w:p>
    <w:p w:rsidR="6D12336A" w:rsidP="6D12336A" w:rsidRDefault="6D12336A" w14:paraId="35150B5A" w14:textId="0D9AF5EB">
      <w:pPr>
        <w:pStyle w:val="Normal"/>
        <w:suppressLineNumbers w:val="0"/>
        <w:bidi w:val="0"/>
        <w:spacing w:before="0" w:beforeAutospacing="off" w:after="160" w:afterAutospacing="off" w:line="279" w:lineRule="auto"/>
        <w:ind w:left="0" w:right="0"/>
        <w:jc w:val="left"/>
      </w:pPr>
    </w:p>
    <w:p w:rsidR="6D12336A" w:rsidP="6D12336A" w:rsidRDefault="6D12336A" w14:paraId="12144752" w14:textId="331BEBCC">
      <w:pPr>
        <w:pStyle w:val="Normal"/>
        <w:suppressLineNumbers w:val="0"/>
        <w:bidi w:val="0"/>
        <w:spacing w:before="0" w:beforeAutospacing="off" w:after="160" w:afterAutospacing="off" w:line="279" w:lineRule="auto"/>
        <w:ind w:left="0" w:right="0"/>
        <w:jc w:val="left"/>
      </w:pPr>
    </w:p>
    <w:p w:rsidR="6D12336A" w:rsidP="6D12336A" w:rsidRDefault="6D12336A" w14:paraId="03217082" w14:textId="4F23D7BA">
      <w:pPr>
        <w:pStyle w:val="Normal"/>
        <w:suppressLineNumbers w:val="0"/>
        <w:bidi w:val="0"/>
        <w:spacing w:before="0" w:beforeAutospacing="off" w:after="160" w:afterAutospacing="off" w:line="279" w:lineRule="auto"/>
        <w:ind w:left="0" w:right="0"/>
        <w:jc w:val="left"/>
      </w:pPr>
    </w:p>
    <w:p w:rsidR="6D12336A" w:rsidP="6D12336A" w:rsidRDefault="6D12336A" w14:paraId="16D0DBBF" w14:textId="1E1D0D9F">
      <w:pPr>
        <w:pStyle w:val="Normal"/>
        <w:suppressLineNumbers w:val="0"/>
        <w:bidi w:val="0"/>
        <w:spacing w:before="0" w:beforeAutospacing="off" w:after="160" w:afterAutospacing="off" w:line="279" w:lineRule="auto"/>
        <w:ind w:left="0" w:right="0"/>
        <w:jc w:val="left"/>
      </w:pPr>
    </w:p>
    <w:p w:rsidR="6D12336A" w:rsidP="6D12336A" w:rsidRDefault="6D12336A" w14:paraId="1D0A78AB" w14:textId="6D036FC2">
      <w:pPr>
        <w:pStyle w:val="Normal"/>
        <w:suppressLineNumbers w:val="0"/>
        <w:bidi w:val="0"/>
        <w:spacing w:before="0" w:beforeAutospacing="off" w:after="160" w:afterAutospacing="off" w:line="279" w:lineRule="auto"/>
        <w:ind w:left="0" w:right="0"/>
        <w:jc w:val="left"/>
      </w:pPr>
    </w:p>
    <w:p w:rsidR="6D12336A" w:rsidP="6D12336A" w:rsidRDefault="6D12336A" w14:paraId="77B41443" w14:textId="544613B6">
      <w:pPr>
        <w:pStyle w:val="Normal"/>
        <w:suppressLineNumbers w:val="0"/>
        <w:bidi w:val="0"/>
        <w:spacing w:before="0" w:beforeAutospacing="off" w:after="160" w:afterAutospacing="off" w:line="279" w:lineRule="auto"/>
        <w:ind w:left="0" w:right="0"/>
        <w:jc w:val="left"/>
      </w:pPr>
    </w:p>
    <w:p w:rsidR="6D12336A" w:rsidP="6D12336A" w:rsidRDefault="6D12336A" w14:paraId="6492A45C" w14:textId="31CE4AEC">
      <w:pPr>
        <w:pStyle w:val="Normal"/>
        <w:suppressLineNumbers w:val="0"/>
        <w:bidi w:val="0"/>
        <w:spacing w:before="0" w:beforeAutospacing="off" w:after="160" w:afterAutospacing="off" w:line="279" w:lineRule="auto"/>
        <w:ind w:left="0" w:right="0"/>
        <w:jc w:val="left"/>
      </w:pPr>
    </w:p>
    <w:p w:rsidR="6D12336A" w:rsidP="6D12336A" w:rsidRDefault="6D12336A" w14:paraId="28BDC6C8" w14:textId="469C2240">
      <w:pPr>
        <w:pStyle w:val="Normal"/>
        <w:suppressLineNumbers w:val="0"/>
        <w:bidi w:val="0"/>
        <w:spacing w:before="0" w:beforeAutospacing="off" w:after="160" w:afterAutospacing="off" w:line="279" w:lineRule="auto"/>
        <w:ind w:left="0" w:right="0"/>
        <w:jc w:val="left"/>
      </w:pPr>
    </w:p>
    <w:p w:rsidR="6D12336A" w:rsidP="6D12336A" w:rsidRDefault="6D12336A" w14:paraId="4424F925" w14:textId="188D2C47">
      <w:pPr>
        <w:pStyle w:val="Normal"/>
        <w:suppressLineNumbers w:val="0"/>
        <w:bidi w:val="0"/>
        <w:spacing w:before="0" w:beforeAutospacing="off" w:after="160" w:afterAutospacing="off" w:line="279" w:lineRule="auto"/>
        <w:ind w:left="0" w:right="0"/>
        <w:jc w:val="left"/>
      </w:pPr>
    </w:p>
    <w:p w:rsidR="6D12336A" w:rsidP="6D12336A" w:rsidRDefault="6D12336A" w14:paraId="2EC1806D" w14:textId="0971F9A9">
      <w:pPr>
        <w:pStyle w:val="Normal"/>
        <w:suppressLineNumbers w:val="0"/>
        <w:bidi w:val="0"/>
        <w:spacing w:before="0" w:beforeAutospacing="off" w:after="160" w:afterAutospacing="off" w:line="279" w:lineRule="auto"/>
        <w:ind w:left="0" w:right="0"/>
        <w:jc w:val="left"/>
      </w:pPr>
    </w:p>
    <w:p w:rsidR="6D12336A" w:rsidP="6D12336A" w:rsidRDefault="6D12336A" w14:paraId="4F5DB338" w14:textId="2758D41C">
      <w:pPr>
        <w:pStyle w:val="Normal"/>
        <w:suppressLineNumbers w:val="0"/>
        <w:bidi w:val="0"/>
        <w:spacing w:before="0" w:beforeAutospacing="off" w:after="160" w:afterAutospacing="off" w:line="279" w:lineRule="auto"/>
        <w:ind w:left="0" w:right="0"/>
        <w:jc w:val="left"/>
      </w:pPr>
    </w:p>
    <w:p w:rsidR="313B133C" w:rsidP="6D12336A" w:rsidRDefault="313B133C" w14:paraId="36460B43" w14:textId="4BDBD11B">
      <w:pPr>
        <w:pStyle w:val="Normal"/>
        <w:suppressLineNumbers w:val="0"/>
        <w:bidi w:val="0"/>
        <w:spacing w:before="0" w:beforeAutospacing="off" w:after="160" w:afterAutospacing="off" w:line="279" w:lineRule="auto"/>
        <w:ind w:left="0" w:right="0"/>
        <w:jc w:val="left"/>
      </w:pPr>
      <w:r w:rsidR="313B133C">
        <w:rPr/>
        <w:t>References</w:t>
      </w:r>
      <w:r w:rsidR="3D2E0C20">
        <w:rPr/>
        <w:t xml:space="preserve"> </w:t>
      </w:r>
    </w:p>
    <w:p w:rsidR="1EACF728" w:rsidP="6D12336A" w:rsidRDefault="1EACF728" w14:paraId="5D30DEA2" w14:textId="002C7826">
      <w:pPr>
        <w:pStyle w:val="Normal"/>
        <w:bidi w:val="0"/>
        <w:spacing w:before="0" w:beforeAutospacing="off" w:after="160" w:afterAutospacing="off" w:line="279" w:lineRule="auto"/>
        <w:ind w:left="0" w:right="0"/>
        <w:jc w:val="left"/>
      </w:pPr>
      <w:r w:rsidR="1EACF728">
        <w:rPr/>
        <w:t>Beauchamp, T.L. and Childress, J.F. (2019) Principles of biomedical ethics. 8th edn. Oxford: Oxford University Press.</w:t>
      </w:r>
    </w:p>
    <w:p w:rsidR="1EACF728" w:rsidP="6D12336A" w:rsidRDefault="1EACF728" w14:paraId="4A0EB0A0" w14:textId="2487DAF5">
      <w:pPr>
        <w:pStyle w:val="Normal"/>
        <w:bidi w:val="0"/>
        <w:spacing w:before="0" w:beforeAutospacing="off" w:after="160" w:afterAutospacing="off" w:line="279" w:lineRule="auto"/>
        <w:ind w:left="0" w:right="0"/>
        <w:jc w:val="left"/>
      </w:pPr>
      <w:r w:rsidR="1EACF728">
        <w:rPr/>
        <w:t>Health Foundation (2016) Person-centred care made simple. London: The Health Foundation.</w:t>
      </w:r>
    </w:p>
    <w:p w:rsidR="1EACF728" w:rsidP="6D12336A" w:rsidRDefault="1EACF728" w14:paraId="5C6C8B1B" w14:textId="585048AE">
      <w:pPr>
        <w:pStyle w:val="Normal"/>
        <w:bidi w:val="0"/>
        <w:spacing w:before="0" w:beforeAutospacing="off" w:after="160" w:afterAutospacing="off" w:line="279" w:lineRule="auto"/>
        <w:ind w:left="0" w:right="0"/>
        <w:jc w:val="left"/>
      </w:pPr>
      <w:r w:rsidR="1EACF728">
        <w:rPr/>
        <w:t>Maslow, A.H. (1943) ‘A theory of human motivation’, Psychological Review, 50(4), pp. 370–396.</w:t>
      </w:r>
    </w:p>
    <w:p w:rsidR="1EACF728" w:rsidP="6D12336A" w:rsidRDefault="1EACF728" w14:paraId="2AD15B54" w14:textId="03101C23">
      <w:pPr>
        <w:pStyle w:val="Normal"/>
        <w:bidi w:val="0"/>
        <w:spacing w:before="0" w:beforeAutospacing="off" w:after="160" w:afterAutospacing="off" w:line="279" w:lineRule="auto"/>
        <w:ind w:left="0" w:right="0"/>
        <w:jc w:val="left"/>
      </w:pPr>
      <w:r w:rsidR="1EACF728">
        <w:rPr/>
        <w:t>Care Act 2014 (2014) Care Act 2014. Available at: https://www.legislation.gov.uk/ukpga/2014/23/contents (Accessed: 31 January 2026).</w:t>
      </w:r>
    </w:p>
    <w:p w:rsidR="1EACF728" w:rsidP="6D12336A" w:rsidRDefault="1EACF728" w14:paraId="1CFF2424" w14:textId="14BAFCBD">
      <w:pPr>
        <w:pStyle w:val="Normal"/>
        <w:bidi w:val="0"/>
        <w:spacing w:before="0" w:beforeAutospacing="off" w:after="160" w:afterAutospacing="off" w:line="279" w:lineRule="auto"/>
        <w:ind w:left="0" w:right="0"/>
        <w:jc w:val="left"/>
      </w:pPr>
      <w:r w:rsidR="1EACF728">
        <w:rPr/>
        <w:t>Health and Care Act 2022 (2022) Health and Care Act 2022. Available at: https://www.legislation.gov.uk/ukpga/2022/31/contents (Accessed: 31 January 2026).</w:t>
      </w:r>
    </w:p>
    <w:p w:rsidR="1EACF728" w:rsidP="6D12336A" w:rsidRDefault="1EACF728" w14:paraId="4C6575A3" w14:textId="75F7FE69">
      <w:pPr>
        <w:pStyle w:val="Normal"/>
        <w:bidi w:val="0"/>
        <w:spacing w:before="0" w:beforeAutospacing="off" w:after="160" w:afterAutospacing="off" w:line="279" w:lineRule="auto"/>
        <w:ind w:left="0" w:right="0"/>
        <w:jc w:val="left"/>
      </w:pPr>
      <w:r w:rsidR="1EACF728">
        <w:rPr/>
        <w:t>Mental Capacity Act 2005 (2005) Mental Capacity Act 2005. Available at: https://www.legislation.gov.uk/ukpga/2005/9/contents (Accessed: 31 January 2026).</w:t>
      </w:r>
    </w:p>
    <w:p w:rsidR="1EACF728" w:rsidP="6D12336A" w:rsidRDefault="1EACF728" w14:paraId="0112E996" w14:textId="061E3FF4">
      <w:pPr>
        <w:pStyle w:val="Normal"/>
        <w:bidi w:val="0"/>
        <w:spacing w:before="0" w:beforeAutospacing="off" w:after="160" w:afterAutospacing="off" w:line="279" w:lineRule="auto"/>
        <w:ind w:left="0" w:right="0"/>
        <w:jc w:val="left"/>
      </w:pPr>
      <w:r w:rsidR="1EACF728">
        <w:rPr/>
        <w:t>Care Quality Commission (2024) The state of health care and adult social care in England 2024/25. Available at: https://www.cqc.org.uk/publications (Accessed: 31 January 2026).</w:t>
      </w:r>
    </w:p>
    <w:p w:rsidR="1EACF728" w:rsidP="6D12336A" w:rsidRDefault="1EACF728" w14:paraId="54A0113B" w14:textId="0563307F">
      <w:pPr>
        <w:pStyle w:val="Normal"/>
        <w:bidi w:val="0"/>
        <w:spacing w:before="0" w:beforeAutospacing="off" w:after="160" w:afterAutospacing="off" w:line="279" w:lineRule="auto"/>
        <w:ind w:left="0" w:right="0"/>
        <w:jc w:val="left"/>
      </w:pPr>
      <w:r w:rsidR="1EACF728">
        <w:rPr/>
        <w:t>Department of Health and Social Care (2021) Integration and innovation: working together to improve health and social care for all. Available at: https://www.gov.uk/government/publications (Accessed: 31 January 2026).</w:t>
      </w:r>
    </w:p>
    <w:p w:rsidR="1EACF728" w:rsidP="6D12336A" w:rsidRDefault="1EACF728" w14:paraId="4772A3AB" w14:textId="0A1DA319">
      <w:pPr>
        <w:pStyle w:val="Normal"/>
        <w:bidi w:val="0"/>
        <w:spacing w:before="0" w:beforeAutospacing="off" w:after="160" w:afterAutospacing="off" w:line="279" w:lineRule="auto"/>
        <w:ind w:left="0" w:right="0"/>
        <w:jc w:val="left"/>
      </w:pPr>
      <w:r w:rsidR="1EACF728">
        <w:rPr/>
        <w:t>Health and Care Professions Council (2024) Standards of conduct, performance and ethics. Available at: https://www.hcpc-uk.org/standards (Accessed: 31 January 2026).</w:t>
      </w:r>
    </w:p>
    <w:p w:rsidR="1EACF728" w:rsidP="6D12336A" w:rsidRDefault="1EACF728" w14:paraId="79BC5AE5" w14:textId="68690E27">
      <w:pPr>
        <w:pStyle w:val="Normal"/>
        <w:bidi w:val="0"/>
        <w:spacing w:before="0" w:beforeAutospacing="off" w:after="160" w:afterAutospacing="off" w:line="279" w:lineRule="auto"/>
        <w:ind w:left="0" w:right="0"/>
        <w:jc w:val="left"/>
      </w:pPr>
      <w:r w:rsidR="1EACF728">
        <w:rPr/>
        <w:t>National Institute for Health and Care Excellence (2022) Integrated health and social care. Available at: https://www.nice.org.uk (Accessed: 31 January 2026).</w:t>
      </w:r>
    </w:p>
    <w:p w:rsidR="1EACF728" w:rsidP="6D12336A" w:rsidRDefault="1EACF728" w14:paraId="35E6115D" w14:textId="46B73681">
      <w:pPr>
        <w:pStyle w:val="Normal"/>
        <w:bidi w:val="0"/>
        <w:spacing w:before="0" w:beforeAutospacing="off" w:after="160" w:afterAutospacing="off" w:line="279" w:lineRule="auto"/>
        <w:ind w:left="0" w:right="0"/>
        <w:jc w:val="left"/>
      </w:pPr>
      <w:r w:rsidR="1EACF728">
        <w:rPr/>
        <w:t>World Health Organization (2016) Framework on integrated, people-centred health services. Available at: https://www.who.int (Accessed: 31 January 2026).</w:t>
      </w:r>
    </w:p>
    <w:p w:rsidR="115F3DED" w:rsidP="6D12336A" w:rsidRDefault="115F3DED" w14:paraId="77B02155" w14:textId="746F41E8">
      <w:pPr>
        <w:pStyle w:val="Normal"/>
        <w:bidi w:val="0"/>
        <w:spacing w:before="0" w:beforeAutospacing="off" w:after="160" w:afterAutospacing="off" w:line="279" w:lineRule="auto"/>
        <w:ind w:left="0" w:right="0"/>
        <w:jc w:val="left"/>
      </w:pPr>
      <w:r w:rsidR="115F3DED">
        <w:rPr/>
        <w:t>Bronfenbrenner, U. (1979) The ecology of human development. Cambridge, MA: Harvard University Press.</w:t>
      </w:r>
    </w:p>
    <w:p w:rsidR="6D12336A" w:rsidP="6D12336A" w:rsidRDefault="6D12336A" w14:paraId="77027E1A" w14:textId="0F433963">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headerReference w:type="default" r:id="R205e666b1e2d41d8"/>
      <w:footerReference w:type="default" r:id="Refd5d4652d6e4e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12336A" w:rsidTr="6D12336A" w14:paraId="00E912DD">
      <w:trPr>
        <w:trHeight w:val="300"/>
      </w:trPr>
      <w:tc>
        <w:tcPr>
          <w:tcW w:w="3005" w:type="dxa"/>
          <w:tcMar/>
        </w:tcPr>
        <w:p w:rsidR="6D12336A" w:rsidP="6D12336A" w:rsidRDefault="6D12336A" w14:paraId="11D01782" w14:textId="0C054B3B">
          <w:pPr>
            <w:pStyle w:val="Header"/>
            <w:bidi w:val="0"/>
            <w:ind w:left="-115"/>
            <w:jc w:val="left"/>
          </w:pPr>
        </w:p>
      </w:tc>
      <w:tc>
        <w:tcPr>
          <w:tcW w:w="3005" w:type="dxa"/>
          <w:tcMar/>
        </w:tcPr>
        <w:p w:rsidR="6D12336A" w:rsidP="6D12336A" w:rsidRDefault="6D12336A" w14:paraId="4EB55F61" w14:textId="752CD293">
          <w:pPr>
            <w:pStyle w:val="Header"/>
            <w:bidi w:val="0"/>
            <w:jc w:val="center"/>
          </w:pPr>
        </w:p>
      </w:tc>
      <w:tc>
        <w:tcPr>
          <w:tcW w:w="3005" w:type="dxa"/>
          <w:tcMar/>
        </w:tcPr>
        <w:p w:rsidR="6D12336A" w:rsidP="6D12336A" w:rsidRDefault="6D12336A" w14:paraId="5E1E4E5A" w14:textId="7E08351B">
          <w:pPr>
            <w:pStyle w:val="Header"/>
            <w:bidi w:val="0"/>
            <w:ind w:right="-115"/>
            <w:jc w:val="right"/>
          </w:pPr>
          <w:r>
            <w:fldChar w:fldCharType="begin"/>
          </w:r>
          <w:r>
            <w:instrText xml:space="preserve">PAGE</w:instrText>
          </w:r>
          <w:r>
            <w:fldChar w:fldCharType="separate"/>
          </w:r>
          <w:r>
            <w:fldChar w:fldCharType="end"/>
          </w:r>
        </w:p>
      </w:tc>
    </w:tr>
  </w:tbl>
  <w:p w:rsidR="6D12336A" w:rsidP="6D12336A" w:rsidRDefault="6D12336A" w14:paraId="33B4E220" w14:textId="5B5936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12336A" w:rsidTr="6D12336A" w14:paraId="64AB14CC">
      <w:trPr>
        <w:trHeight w:val="300"/>
      </w:trPr>
      <w:tc>
        <w:tcPr>
          <w:tcW w:w="3005" w:type="dxa"/>
          <w:tcMar/>
        </w:tcPr>
        <w:p w:rsidR="6D12336A" w:rsidP="6D12336A" w:rsidRDefault="6D12336A" w14:paraId="5766F230" w14:textId="69E874B4">
          <w:pPr>
            <w:pStyle w:val="Header"/>
            <w:bidi w:val="0"/>
            <w:ind w:left="-115"/>
            <w:jc w:val="left"/>
          </w:pPr>
        </w:p>
      </w:tc>
      <w:tc>
        <w:tcPr>
          <w:tcW w:w="3005" w:type="dxa"/>
          <w:tcMar/>
        </w:tcPr>
        <w:p w:rsidR="6D12336A" w:rsidP="6D12336A" w:rsidRDefault="6D12336A" w14:paraId="0C6264B3" w14:textId="3A226116">
          <w:pPr>
            <w:pStyle w:val="Header"/>
            <w:bidi w:val="0"/>
            <w:jc w:val="center"/>
          </w:pPr>
        </w:p>
      </w:tc>
      <w:tc>
        <w:tcPr>
          <w:tcW w:w="3005" w:type="dxa"/>
          <w:tcMar/>
        </w:tcPr>
        <w:p w:rsidR="6D12336A" w:rsidP="6D12336A" w:rsidRDefault="6D12336A" w14:paraId="046EC598" w14:textId="4CE3F67A">
          <w:pPr>
            <w:pStyle w:val="Header"/>
            <w:bidi w:val="0"/>
            <w:ind w:right="-115"/>
            <w:jc w:val="right"/>
          </w:pPr>
        </w:p>
      </w:tc>
    </w:tr>
  </w:tbl>
  <w:p w:rsidR="6D12336A" w:rsidP="6D12336A" w:rsidRDefault="6D12336A" w14:paraId="44D9C13A" w14:textId="3F423D3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B8AFE"/>
    <w:rsid w:val="08524171"/>
    <w:rsid w:val="098ACD0B"/>
    <w:rsid w:val="09BE6B59"/>
    <w:rsid w:val="0D71B4E3"/>
    <w:rsid w:val="11080A43"/>
    <w:rsid w:val="115F3DED"/>
    <w:rsid w:val="1682712D"/>
    <w:rsid w:val="1AD6C6A9"/>
    <w:rsid w:val="1EA30555"/>
    <w:rsid w:val="1EACF728"/>
    <w:rsid w:val="2ABB8AFE"/>
    <w:rsid w:val="2BAC9F25"/>
    <w:rsid w:val="313B133C"/>
    <w:rsid w:val="3790B443"/>
    <w:rsid w:val="394F7E87"/>
    <w:rsid w:val="3D2E0C20"/>
    <w:rsid w:val="3DA4F84E"/>
    <w:rsid w:val="3DDCEC0B"/>
    <w:rsid w:val="3EDF22D4"/>
    <w:rsid w:val="409571C2"/>
    <w:rsid w:val="42E8E856"/>
    <w:rsid w:val="56914887"/>
    <w:rsid w:val="58F7AF25"/>
    <w:rsid w:val="5A19D331"/>
    <w:rsid w:val="5D11427B"/>
    <w:rsid w:val="61B6C896"/>
    <w:rsid w:val="62C1ABD6"/>
    <w:rsid w:val="66F53E2E"/>
    <w:rsid w:val="67412F14"/>
    <w:rsid w:val="6BEE00A5"/>
    <w:rsid w:val="6C5D89F9"/>
    <w:rsid w:val="6D12336A"/>
    <w:rsid w:val="74458E89"/>
    <w:rsid w:val="785D8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8AFE"/>
  <w15:chartTrackingRefBased/>
  <w15:docId w15:val="{C1EB8ED4-762B-421D-B722-0A0A9ACB46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D1233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D12336A"/>
    <w:rPr>
      <w:color w:val="467886"/>
      <w:u w:val="single"/>
    </w:rPr>
  </w:style>
  <w:style w:type="paragraph" w:styleId="Header">
    <w:uiPriority w:val="99"/>
    <w:name w:val="header"/>
    <w:basedOn w:val="Normal"/>
    <w:unhideWhenUsed/>
    <w:rsid w:val="6D12336A"/>
    <w:pPr>
      <w:tabs>
        <w:tab w:val="center" w:leader="none" w:pos="4680"/>
        <w:tab w:val="right" w:leader="none" w:pos="9360"/>
      </w:tabs>
      <w:spacing w:after="0" w:line="240" w:lineRule="auto"/>
    </w:pPr>
  </w:style>
  <w:style w:type="paragraph" w:styleId="Footer">
    <w:uiPriority w:val="99"/>
    <w:name w:val="footer"/>
    <w:basedOn w:val="Normal"/>
    <w:unhideWhenUsed/>
    <w:rsid w:val="6D12336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05e666b1e2d41d8" /><Relationship Type="http://schemas.openxmlformats.org/officeDocument/2006/relationships/footer" Target="/word/footer.xml" Id="Refd5d4652d6e4e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Mgid Glal</dc:creator>
  <keywords/>
  <dc:description/>
  <lastModifiedBy>Mgid Glal</lastModifiedBy>
  <revision>2</revision>
  <dcterms:created xsi:type="dcterms:W3CDTF">2026-01-28T21:19:24.4530669Z</dcterms:created>
  <dcterms:modified xsi:type="dcterms:W3CDTF">2026-02-01T01:39:19.9449571Z</dcterms:modified>
</coreProperties>
</file>