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3681D29A" w14:textId="77777777" w:rsidR="00305B65" w:rsidRPr="00736C69" w:rsidRDefault="00305B65" w:rsidP="00305B65">
            <w:pPr>
              <w:overflowPunct/>
              <w:autoSpaceDE/>
              <w:autoSpaceDN/>
              <w:adjustRightInd/>
              <w:ind w:right="-957"/>
              <w:textAlignment w:val="auto"/>
              <w:rPr>
                <w:rFonts w:ascii="Times New Roman" w:hAnsi="Times New Roman" w:cs="Times New Roman"/>
                <w:b/>
                <w:color w:val="auto"/>
                <w:sz w:val="44"/>
                <w:szCs w:val="44"/>
              </w:rPr>
            </w:pPr>
            <w:r w:rsidRPr="00736C69">
              <w:rPr>
                <w:rFonts w:ascii="Times New Roman" w:hAnsi="Times New Roman" w:cs="Times New Roman"/>
                <w:b/>
                <w:color w:val="auto"/>
                <w:sz w:val="44"/>
                <w:szCs w:val="44"/>
              </w:rPr>
              <w:t>Learner’s name: Miranda Ellis</w:t>
            </w:r>
          </w:p>
          <w:p w14:paraId="2D793683" w14:textId="77777777" w:rsidR="00305B65" w:rsidRPr="00736C69" w:rsidRDefault="00305B65" w:rsidP="00305B65">
            <w:pPr>
              <w:overflowPunct/>
              <w:autoSpaceDE/>
              <w:autoSpaceDN/>
              <w:adjustRightInd/>
              <w:ind w:right="-957"/>
              <w:textAlignment w:val="auto"/>
              <w:rPr>
                <w:rFonts w:ascii="Times New Roman" w:hAnsi="Times New Roman" w:cs="Times New Roman"/>
                <w:b/>
                <w:color w:val="auto"/>
                <w:sz w:val="44"/>
                <w:szCs w:val="44"/>
              </w:rPr>
            </w:pPr>
          </w:p>
          <w:p w14:paraId="1E2D0DE4" w14:textId="77777777" w:rsidR="00305B65" w:rsidRPr="00736C69" w:rsidRDefault="00305B65" w:rsidP="00305B65">
            <w:pPr>
              <w:overflowPunct/>
              <w:autoSpaceDE/>
              <w:autoSpaceDN/>
              <w:adjustRightInd/>
              <w:ind w:right="-957"/>
              <w:textAlignment w:val="auto"/>
              <w:rPr>
                <w:rFonts w:ascii="Times New Roman" w:hAnsi="Times New Roman" w:cs="Times New Roman"/>
                <w:b/>
                <w:color w:val="auto"/>
                <w:sz w:val="44"/>
                <w:szCs w:val="44"/>
              </w:rPr>
            </w:pPr>
            <w:r w:rsidRPr="00736C69">
              <w:rPr>
                <w:rFonts w:ascii="Times New Roman" w:hAnsi="Times New Roman" w:cs="Times New Roman"/>
                <w:b/>
                <w:color w:val="auto"/>
                <w:sz w:val="44"/>
                <w:szCs w:val="44"/>
              </w:rPr>
              <w:t>Email address:2420738@student.uwtsd.ac.uk</w:t>
            </w:r>
          </w:p>
          <w:p w14:paraId="417AB68D" w14:textId="77777777" w:rsidR="00305B65" w:rsidRPr="00736C69" w:rsidRDefault="00305B65" w:rsidP="00305B65">
            <w:pPr>
              <w:overflowPunct/>
              <w:autoSpaceDE/>
              <w:autoSpaceDN/>
              <w:adjustRightInd/>
              <w:ind w:right="-957"/>
              <w:textAlignment w:val="auto"/>
              <w:rPr>
                <w:rFonts w:ascii="Segoe UI" w:hAnsi="Segoe UI" w:cs="Segoe UI"/>
                <w:color w:val="1D1D1D"/>
                <w:sz w:val="44"/>
                <w:szCs w:val="44"/>
                <w:shd w:val="clear" w:color="auto" w:fill="FFFFFF"/>
              </w:rPr>
            </w:pPr>
            <w:r w:rsidRPr="00736C69">
              <w:rPr>
                <w:rFonts w:ascii="Segoe UI" w:hAnsi="Segoe UI" w:cs="Segoe UI"/>
                <w:color w:val="1D1D1D"/>
                <w:sz w:val="44"/>
                <w:szCs w:val="44"/>
                <w:shd w:val="clear" w:color="auto" w:fill="FFFFFF"/>
              </w:rPr>
              <w:t xml:space="preserve"> </w:t>
            </w:r>
          </w:p>
          <w:p w14:paraId="1BBA0715" w14:textId="77777777" w:rsidR="00305B65" w:rsidRPr="00736C69" w:rsidRDefault="00305B65" w:rsidP="00305B65">
            <w:pPr>
              <w:overflowPunct/>
              <w:autoSpaceDE/>
              <w:autoSpaceDN/>
              <w:adjustRightInd/>
              <w:ind w:right="-957"/>
              <w:textAlignment w:val="auto"/>
              <w:rPr>
                <w:rFonts w:ascii="Times New Roman" w:hAnsi="Times New Roman" w:cs="Times New Roman"/>
                <w:b/>
                <w:color w:val="auto"/>
                <w:sz w:val="44"/>
                <w:szCs w:val="44"/>
              </w:rPr>
            </w:pPr>
            <w:r w:rsidRPr="00736C69">
              <w:rPr>
                <w:rFonts w:ascii="Times New Roman" w:hAnsi="Times New Roman" w:cs="Times New Roman"/>
                <w:b/>
                <w:color w:val="auto"/>
                <w:sz w:val="44"/>
                <w:szCs w:val="44"/>
              </w:rPr>
              <w:t>Learner’s University Registration Number:2420738</w:t>
            </w:r>
          </w:p>
          <w:p w14:paraId="4AAE6B86" w14:textId="77777777" w:rsidR="00305B65" w:rsidRPr="00736C69" w:rsidRDefault="00305B65" w:rsidP="00305B65">
            <w:pPr>
              <w:overflowPunct/>
              <w:autoSpaceDE/>
              <w:autoSpaceDN/>
              <w:adjustRightInd/>
              <w:ind w:right="-957"/>
              <w:textAlignment w:val="auto"/>
              <w:rPr>
                <w:rFonts w:ascii="Times New Roman" w:hAnsi="Times New Roman" w:cs="Times New Roman"/>
                <w:b/>
                <w:color w:val="auto"/>
                <w:sz w:val="44"/>
                <w:szCs w:val="44"/>
              </w:rPr>
            </w:pPr>
          </w:p>
          <w:p w14:paraId="5F84129B" w14:textId="205FC4AE" w:rsidR="0085230E" w:rsidRPr="005D3F07" w:rsidRDefault="00305B65" w:rsidP="00305B65">
            <w:pPr>
              <w:overflowPunct/>
              <w:autoSpaceDE/>
              <w:autoSpaceDN/>
              <w:adjustRightInd/>
              <w:ind w:right="-957"/>
              <w:textAlignment w:val="auto"/>
              <w:rPr>
                <w:rFonts w:ascii="Times New Roman" w:hAnsi="Times New Roman" w:cs="Times New Roman"/>
                <w:b/>
                <w:color w:val="auto"/>
                <w:sz w:val="48"/>
              </w:rPr>
            </w:pPr>
            <w:r w:rsidRPr="00736C69">
              <w:rPr>
                <w:rFonts w:ascii="Times New Roman" w:hAnsi="Times New Roman" w:cs="Times New Roman"/>
                <w:b/>
                <w:color w:val="auto"/>
                <w:sz w:val="44"/>
                <w:szCs w:val="44"/>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66739542" w14:textId="77777777" w:rsidR="007A628F" w:rsidRDefault="007A628F" w:rsidP="00FF7EBB">
            <w:pPr>
              <w:jc w:val="both"/>
              <w:rPr>
                <w:b/>
                <w:sz w:val="24"/>
                <w:szCs w:val="24"/>
              </w:rPr>
            </w:pPr>
          </w:p>
          <w:p w14:paraId="7B31E5C8" w14:textId="4039A314" w:rsidR="003A5E90" w:rsidRPr="00683033" w:rsidRDefault="003A5E90" w:rsidP="003A5E90">
            <w:pPr>
              <w:spacing w:line="360" w:lineRule="auto"/>
              <w:jc w:val="both"/>
            </w:pPr>
            <w:r w:rsidRPr="00683033">
              <w:t xml:space="preserve">Within Wales, legislative frameworks have shifted from the Children’s Act (1989), integrating safeguarding procedures for children within part 7 of the Social Services and Wellbeing (Wales) Act (2014) (SSWBWA). While the overarching legislation is now within SSWBWA (2014), the duty to investigate and protect under S47 of the Children’s Act (1989) continues to be a core aspect of safeguarding procedures in Wales. This legislation plays </w:t>
            </w:r>
            <w:r w:rsidR="00034B65">
              <w:t xml:space="preserve">a </w:t>
            </w:r>
            <w:r w:rsidRPr="00721743">
              <w:t xml:space="preserve">vital role in child protection. It establishes the principle that the child’s welfare must be the primary consideration in all safeguarding decisions. The </w:t>
            </w:r>
            <w:r w:rsidR="00731631">
              <w:t>a</w:t>
            </w:r>
            <w:r w:rsidRPr="00721743">
              <w:t>ct provides the legal mechanisms for protective interventions, such as care and supervision orders, allowing local authorities to act when a child is in danger or experiencing significant harm.</w:t>
            </w:r>
          </w:p>
          <w:p w14:paraId="44493493" w14:textId="316FEB6C" w:rsidR="003A5E90" w:rsidRPr="00683033" w:rsidRDefault="003A5E90" w:rsidP="003A5E90">
            <w:pPr>
              <w:spacing w:line="360" w:lineRule="auto"/>
              <w:jc w:val="both"/>
            </w:pPr>
            <w:r w:rsidRPr="00683033">
              <w:t>The Wales Safeguarding Procedures (WSP) (2025) were developed to provide guidance upon safeguarding procedures in Wales. Within the WSP a child at risk is a person under the age of eighteen who is experiencing or at risk of abuse, neglect or harm, whom also has support needs. The definitions of harm encapsulate sexual, emotional and psychological abuse alongside neglect</w:t>
            </w:r>
            <w:r w:rsidR="00731631">
              <w:t>,</w:t>
            </w:r>
            <w:r w:rsidRPr="00683033">
              <w:t xml:space="preserve"> impairment of physical, mental, intellectual, social, emotional and behavioural health and development. In addition to such forms of harm, there are further risks in regard to criminal exploitation, sexual exploitation, female genital mutilation and modern slavery. </w:t>
            </w:r>
            <w:r>
              <w:t>This is not exhaustive and accumulative and intersecting factors must be assessed in formulating decisions</w:t>
            </w:r>
            <w:r w:rsidR="00107F54">
              <w:t>, such as</w:t>
            </w:r>
            <w:r w:rsidR="002A19FD">
              <w:t xml:space="preserve"> being withdrawn, injury, behaviour changes, </w:t>
            </w:r>
            <w:r w:rsidR="00A977C2">
              <w:t>unkempt appearance and environmental risk factors (WSP, 2025)</w:t>
            </w:r>
          </w:p>
          <w:p w14:paraId="4772BC40" w14:textId="77777777" w:rsidR="003A5E90" w:rsidRPr="00721743" w:rsidRDefault="003A5E90" w:rsidP="003A5E90">
            <w:pPr>
              <w:spacing w:after="160" w:line="360" w:lineRule="auto"/>
              <w:jc w:val="both"/>
            </w:pPr>
            <w:r w:rsidRPr="00721743">
              <w:t>Protecting children from harm is a core responsibility for professionals working across health, education, and social care in Wales. The legal framework</w:t>
            </w:r>
            <w:r w:rsidRPr="00683033">
              <w:t>s</w:t>
            </w:r>
            <w:r w:rsidRPr="00721743">
              <w:t xml:space="preserve"> that support safeguarding practice is designed to uphold children's rights, ensure their safety, and promote their well-being. Several key legislative instruments work together to guide practitioners in responding effectively to concerns and making decisions that prioritise the needs of the child.</w:t>
            </w:r>
          </w:p>
          <w:p w14:paraId="17ACBCB8" w14:textId="613C1201" w:rsidR="003A5E90" w:rsidRPr="00721743" w:rsidRDefault="003A5E90" w:rsidP="003A5E90">
            <w:pPr>
              <w:spacing w:after="160" w:line="360" w:lineRule="auto"/>
              <w:jc w:val="both"/>
            </w:pPr>
            <w:r w:rsidRPr="00721743">
              <w:lastRenderedPageBreak/>
              <w:t xml:space="preserve">The Social Services and Well-being (Wales) Act </w:t>
            </w:r>
            <w:r w:rsidRPr="00683033">
              <w:t>(</w:t>
            </w:r>
            <w:r w:rsidRPr="00721743">
              <w:t>2014</w:t>
            </w:r>
            <w:r w:rsidRPr="00683033">
              <w:t>)</w:t>
            </w:r>
            <w:r w:rsidRPr="00721743">
              <w:t xml:space="preserve"> serves as the foundation for safeguarding procedures in Wales. </w:t>
            </w:r>
            <w:r w:rsidRPr="00683033">
              <w:t>There is a clear focus upon early intervention and the identification of concerns. From this point, the duty to report, as within adult’s services is relevant which will then determine the most proportionate response. In some cases, S 47 enquiries are required, which may result in the need for immediate protection but can also highlight the need for care and support protection. When a report is received the LA has to decide upon the course of action with a focus on working with families in the least intrusive way to protect the child. Reports can result in no further action, identified care and support needs under part 3 of SSWB</w:t>
            </w:r>
            <w:r w:rsidR="00731631">
              <w:t>W</w:t>
            </w:r>
            <w:r w:rsidRPr="00683033">
              <w:t xml:space="preserve">A (2014), immediate and urgent protection or that the case needs to be taken forward to a strategy discussion; a multi-disciplinary process held under S47 of the Children’s Act (1989). Legal consultation is often required alongside multi agency input, particularly surrounding immediate protection cases and S47 enquiries. </w:t>
            </w:r>
          </w:p>
          <w:p w14:paraId="58D08DAC" w14:textId="77777777" w:rsidR="003A5E90" w:rsidRPr="00721743" w:rsidRDefault="003A5E90" w:rsidP="003A5E90">
            <w:pPr>
              <w:spacing w:after="160" w:line="360" w:lineRule="auto"/>
              <w:jc w:val="both"/>
            </w:pPr>
            <w:r w:rsidRPr="00721743">
              <w:t>Recent developments in Welsh law ha</w:t>
            </w:r>
            <w:r w:rsidRPr="00683033">
              <w:t>s</w:t>
            </w:r>
            <w:r w:rsidRPr="00721743">
              <w:t xml:space="preserve"> further strengthened children’s rights. The Children (Abolition of Defence of Reasonable Punishment) (Wales) Act </w:t>
            </w:r>
            <w:r>
              <w:t>(</w:t>
            </w:r>
            <w:r w:rsidRPr="00721743">
              <w:t>2020</w:t>
            </w:r>
            <w:r>
              <w:t>)</w:t>
            </w:r>
            <w:r w:rsidRPr="00721743">
              <w:t xml:space="preserve"> removed the legal defence for physical punishment, reinforcing the message that all forms of physical discipline are unacceptable. This change aligns with the values of the United Nations Convention on the Rights of the Child (UNCRC), which, although not legislation, is a key framework guiding policy and practice in Wales. </w:t>
            </w:r>
          </w:p>
          <w:p w14:paraId="03BD6D93" w14:textId="61AE3F95" w:rsidR="003A5E90" w:rsidRPr="008B28E7" w:rsidRDefault="00AF56A2" w:rsidP="00FF7EBB">
            <w:pPr>
              <w:jc w:val="both"/>
              <w:rPr>
                <w:b/>
                <w:sz w:val="24"/>
                <w:szCs w:val="24"/>
              </w:rPr>
            </w:pPr>
            <w:r>
              <w:rPr>
                <w:b/>
                <w:sz w:val="24"/>
                <w:szCs w:val="24"/>
              </w:rPr>
              <w:t>5</w:t>
            </w:r>
            <w:r w:rsidR="00A977C2">
              <w:rPr>
                <w:b/>
                <w:sz w:val="24"/>
                <w:szCs w:val="24"/>
              </w:rPr>
              <w:t>50</w:t>
            </w:r>
            <w:r>
              <w:rPr>
                <w:b/>
                <w:sz w:val="24"/>
                <w:szCs w:val="24"/>
              </w:rPr>
              <w:t xml:space="preserve"> Words</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B7B4827" w14:textId="77777777" w:rsidR="00FC0334" w:rsidRDefault="00FC0334" w:rsidP="00FC0334">
            <w:pPr>
              <w:jc w:val="both"/>
              <w:rPr>
                <w:sz w:val="24"/>
                <w:szCs w:val="24"/>
              </w:rPr>
            </w:pPr>
          </w:p>
          <w:p w14:paraId="08C1AE7F" w14:textId="77777777" w:rsidR="00C86F88" w:rsidRPr="00AE61E9" w:rsidRDefault="00C86F88" w:rsidP="00C86F88">
            <w:pPr>
              <w:spacing w:line="360" w:lineRule="auto"/>
              <w:jc w:val="both"/>
            </w:pPr>
            <w:r w:rsidRPr="00AE61E9">
              <w:t xml:space="preserve">Safeguarding in Wales is governed by distinct legal frameworks for adults and children, reflecting their differing needs, rights, and vulnerabilities. Despite these differences, both are underpinned by shared principles, particularly those outlined in the </w:t>
            </w:r>
            <w:r>
              <w:t>SSWBWA</w:t>
            </w:r>
            <w:r w:rsidRPr="00BA5548">
              <w:t>(</w:t>
            </w:r>
            <w:r w:rsidRPr="00AE61E9">
              <w:t>2014</w:t>
            </w:r>
            <w:r w:rsidRPr="00BA5548">
              <w:t>)</w:t>
            </w:r>
            <w:r w:rsidRPr="00AE61E9">
              <w:t>, which promotes a person-centred, rights-based approach to protection and well-being across all age groups.</w:t>
            </w:r>
          </w:p>
          <w:p w14:paraId="094FF763" w14:textId="12E33093" w:rsidR="00C86F88" w:rsidRPr="00AE61E9" w:rsidRDefault="00C86F88" w:rsidP="00C86F88">
            <w:pPr>
              <w:spacing w:line="360" w:lineRule="auto"/>
              <w:jc w:val="both"/>
            </w:pPr>
            <w:r>
              <w:t>The</w:t>
            </w:r>
            <w:r w:rsidRPr="00AE61E9">
              <w:t xml:space="preserve"> Children</w:t>
            </w:r>
            <w:r w:rsidRPr="00BA5548">
              <w:t>’s</w:t>
            </w:r>
            <w:r w:rsidRPr="00AE61E9">
              <w:t xml:space="preserve"> Act </w:t>
            </w:r>
            <w:r w:rsidRPr="00BA5548">
              <w:t>(</w:t>
            </w:r>
            <w:r w:rsidRPr="00AE61E9">
              <w:t>1989</w:t>
            </w:r>
            <w:r w:rsidRPr="00BA5548">
              <w:t>)</w:t>
            </w:r>
            <w:r w:rsidRPr="00AE61E9">
              <w:t xml:space="preserve"> remains a cornerstone of safeguarding legislation</w:t>
            </w:r>
            <w:r>
              <w:t xml:space="preserve">, </w:t>
            </w:r>
            <w:r w:rsidRPr="00AE61E9">
              <w:t>establish</w:t>
            </w:r>
            <w:r>
              <w:t>ing</w:t>
            </w:r>
            <w:r w:rsidRPr="00AE61E9">
              <w:t xml:space="preserve"> that a child’s welfare </w:t>
            </w:r>
            <w:r w:rsidR="00997D26">
              <w:t>is</w:t>
            </w:r>
            <w:r w:rsidRPr="00AE61E9">
              <w:t xml:space="preserve"> the paramount consideration in all decisions</w:t>
            </w:r>
            <w:r>
              <w:t xml:space="preserve">; ensuring </w:t>
            </w:r>
            <w:r w:rsidRPr="00AE61E9">
              <w:t>interventions prioritise safety, development, and best interests. Consent in children’s safeguarding is typically obtained from parents or guardians, but Gillick competency</w:t>
            </w:r>
            <w:r w:rsidRPr="00BA5548">
              <w:t xml:space="preserve"> (NSPCC 2022)</w:t>
            </w:r>
            <w:r w:rsidRPr="00AE61E9">
              <w:t xml:space="preserve"> allows children under 16 to make decisions about their care if they demonstrate sufficient maturity and understanding. This introduces complexity, requiring professionals to balance autonomy with protection.</w:t>
            </w:r>
          </w:p>
          <w:p w14:paraId="5BD23BBF" w14:textId="64BBDACD" w:rsidR="00C86F88" w:rsidRPr="00AE61E9" w:rsidRDefault="00C86F88" w:rsidP="00C86F88">
            <w:pPr>
              <w:spacing w:line="360" w:lineRule="auto"/>
              <w:jc w:val="both"/>
            </w:pPr>
            <w:r w:rsidRPr="00AE61E9">
              <w:t xml:space="preserve">In contrast, adult safeguarding is shaped by the </w:t>
            </w:r>
            <w:r>
              <w:t>MCA</w:t>
            </w:r>
            <w:r w:rsidRPr="00AE61E9">
              <w:t xml:space="preserve"> </w:t>
            </w:r>
            <w:r w:rsidRPr="00BA5548">
              <w:t>(</w:t>
            </w:r>
            <w:r w:rsidRPr="00AE61E9">
              <w:t>2005</w:t>
            </w:r>
            <w:r w:rsidRPr="00BA5548">
              <w:t>)</w:t>
            </w:r>
            <w:r w:rsidRPr="00AE61E9">
              <w:t>, which affirms the right of individuals to make their own decisions</w:t>
            </w:r>
            <w:r w:rsidRPr="00BA5548">
              <w:t xml:space="preserve">, </w:t>
            </w:r>
            <w:r w:rsidRPr="00AE61E9">
              <w:t>even if unwise</w:t>
            </w:r>
            <w:r w:rsidRPr="00BA5548">
              <w:t xml:space="preserve">, </w:t>
            </w:r>
            <w:r w:rsidRPr="00AE61E9">
              <w:t>provided they have capacity. Adults can refuse safeguarding interventions, and their capacity must be presumed unless proven otherwise. This legal framework places strong emphasis on autonomy, informed consent, and respect for individual choice.</w:t>
            </w:r>
            <w:r>
              <w:t xml:space="preserve"> Another difference within safeguarding processes </w:t>
            </w:r>
            <w:r>
              <w:lastRenderedPageBreak/>
              <w:t>is</w:t>
            </w:r>
            <w:r w:rsidR="00A101F6">
              <w:t xml:space="preserve"> that</w:t>
            </w:r>
            <w:r>
              <w:t xml:space="preserve"> alongside the requirement for care and support needs, the adult must be unable to protect themselves from harm, or the risk of, because of these needs (WG, 2014)</w:t>
            </w:r>
          </w:p>
          <w:p w14:paraId="2B4B03BA" w14:textId="26398FFA" w:rsidR="00C86F88" w:rsidRPr="00AE61E9" w:rsidRDefault="00C86F88" w:rsidP="00C86F88">
            <w:pPr>
              <w:spacing w:line="360" w:lineRule="auto"/>
              <w:jc w:val="both"/>
            </w:pPr>
            <w:r w:rsidRPr="00AE61E9">
              <w:t>Despite these legal distinctions, there are notable similarities in safeguarding practice. The Wales Safeguarding Procedures (2</w:t>
            </w:r>
            <w:r w:rsidRPr="00BA5548">
              <w:t>025</w:t>
            </w:r>
            <w:r w:rsidRPr="00AE61E9">
              <w:t xml:space="preserve">) stress the importance of gathering sufficient information, capturing the individual’s views and wishes, and ensuring decisions are evidence-based. Whether working with adults or children, practitioners are expected to focus on clear outcomes and multi-agency collaboration. The development of regional safeguarding boards </w:t>
            </w:r>
            <w:r w:rsidR="007E6AE5">
              <w:t xml:space="preserve">(** </w:t>
            </w:r>
            <w:r w:rsidR="003A09EF">
              <w:t>WSB, 2020)</w:t>
            </w:r>
            <w:r w:rsidR="00DE5E35">
              <w:t xml:space="preserve"> </w:t>
            </w:r>
            <w:r w:rsidRPr="00AE61E9">
              <w:t>and shared responsibilities across sectors has brought adult safeguarding more in line with children’s procedures.</w:t>
            </w:r>
          </w:p>
          <w:p w14:paraId="77DABB47" w14:textId="77777777" w:rsidR="00C86F88" w:rsidRPr="00AE61E9" w:rsidRDefault="00C86F88" w:rsidP="00C86F88">
            <w:pPr>
              <w:spacing w:line="360" w:lineRule="auto"/>
              <w:jc w:val="both"/>
            </w:pPr>
            <w:r w:rsidRPr="00AE61E9">
              <w:t>The Wales Safeguarding Procedures (202</w:t>
            </w:r>
            <w:r w:rsidRPr="00BA5548">
              <w:t>5</w:t>
            </w:r>
            <w:r w:rsidRPr="00AE61E9">
              <w:t>) define a child at risk as someone under 18 who is experiencing or at risk of abuse, neglect, or harm, and who has care and support needs. Categories of harm</w:t>
            </w:r>
            <w:r w:rsidRPr="00BA5548">
              <w:t xml:space="preserve"> </w:t>
            </w:r>
            <w:r w:rsidRPr="00AE61E9">
              <w:t>such as physical, emotional, sexual, financial, and neglect</w:t>
            </w:r>
            <w:r w:rsidRPr="00BA5548">
              <w:t xml:space="preserve"> </w:t>
            </w:r>
            <w:r w:rsidRPr="00AE61E9">
              <w:t>apply across both adult and child safeguarding. However, children’s procedures place additional emphasis on developmental impact, offering alternative routes for intervention.</w:t>
            </w:r>
            <w:r>
              <w:t xml:space="preserve"> Children’s procedures also highlight stricter timescales and enhanced LA power within legislation in comparison to adult’s services because of consent, capacity and self-determination within adult services. This raises interesting reflective points about maintaining core principles of children’s legislation whilst exercising such levels of power within legal frameworks.</w:t>
            </w:r>
          </w:p>
          <w:p w14:paraId="1D4F824A" w14:textId="77777777" w:rsidR="00C86F88" w:rsidRPr="00AE61E9" w:rsidRDefault="00C86F88" w:rsidP="00C86F88">
            <w:pPr>
              <w:spacing w:line="360" w:lineRule="auto"/>
              <w:jc w:val="both"/>
            </w:pPr>
            <w:r w:rsidRPr="00AE61E9">
              <w:t>While the legislation differs in its application, the overarching aim remains consistent: to protect individuals from harm while promoting their rights, dignity, and well-being. For social workers, understanding these complexities is essential to delivering effective and compassionate safeguarding support.</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24D57CE" w14:textId="77777777" w:rsidR="00AA2F87" w:rsidRDefault="00AA2F87" w:rsidP="00FC0334">
            <w:pPr>
              <w:jc w:val="both"/>
              <w:rPr>
                <w:i/>
                <w:sz w:val="24"/>
                <w:szCs w:val="24"/>
              </w:rPr>
            </w:pPr>
          </w:p>
          <w:p w14:paraId="4125D7E7" w14:textId="5A0668B8" w:rsidR="00AA2F87" w:rsidRPr="00AA2F87" w:rsidRDefault="00C86F88" w:rsidP="00FC0334">
            <w:pPr>
              <w:jc w:val="both"/>
              <w:rPr>
                <w:b/>
                <w:bCs/>
                <w:iCs/>
                <w:sz w:val="24"/>
                <w:szCs w:val="24"/>
              </w:rPr>
            </w:pPr>
            <w:r>
              <w:rPr>
                <w:b/>
                <w:bCs/>
                <w:iCs/>
                <w:sz w:val="24"/>
                <w:szCs w:val="24"/>
              </w:rPr>
              <w:t>4</w:t>
            </w:r>
            <w:r w:rsidR="00A101F6">
              <w:rPr>
                <w:b/>
                <w:bCs/>
                <w:iCs/>
                <w:sz w:val="24"/>
                <w:szCs w:val="24"/>
              </w:rPr>
              <w:t>39</w:t>
            </w:r>
            <w:r w:rsidR="00AA2F87">
              <w:rPr>
                <w:b/>
                <w:bCs/>
                <w:iCs/>
                <w:sz w:val="24"/>
                <w:szCs w:val="24"/>
              </w:rPr>
              <w:t xml:space="preserve"> words</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6DA91" w14:textId="77777777" w:rsidR="00465D9F" w:rsidRDefault="00465D9F">
      <w:r>
        <w:separator/>
      </w:r>
    </w:p>
  </w:endnote>
  <w:endnote w:type="continuationSeparator" w:id="0">
    <w:p w14:paraId="705CF69C" w14:textId="77777777" w:rsidR="00465D9F" w:rsidRDefault="00465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7CEE7FDC" w:rsidR="00A5656A" w:rsidRDefault="00A5656A">
    <w:pPr>
      <w:pStyle w:val="Footer"/>
      <w:jc w:val="right"/>
    </w:pPr>
    <w:r>
      <w:fldChar w:fldCharType="begin"/>
    </w:r>
    <w:r>
      <w:instrText xml:space="preserve"> PAGE   \* MERGEFORMAT </w:instrText>
    </w:r>
    <w:r>
      <w:fldChar w:fldCharType="separate"/>
    </w:r>
    <w:r w:rsidR="00E860C8">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78A0B" w14:textId="77777777" w:rsidR="00465D9F" w:rsidRDefault="00465D9F">
      <w:r>
        <w:separator/>
      </w:r>
    </w:p>
  </w:footnote>
  <w:footnote w:type="continuationSeparator" w:id="0">
    <w:p w14:paraId="77FF085B" w14:textId="77777777" w:rsidR="00465D9F" w:rsidRDefault="00465D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40981086">
    <w:abstractNumId w:val="1"/>
    <w:lvlOverride w:ilvl="0">
      <w:lvl w:ilvl="0">
        <w:start w:val="1"/>
        <w:numFmt w:val="bullet"/>
        <w:lvlText w:val=""/>
        <w:lvlJc w:val="left"/>
        <w:pPr>
          <w:ind w:left="720" w:hanging="360"/>
        </w:pPr>
        <w:rPr>
          <w:rFonts w:ascii="Symbol" w:hAnsi="Symbol" w:hint="default"/>
        </w:rPr>
      </w:lvl>
    </w:lvlOverride>
  </w:num>
  <w:num w:numId="2" w16cid:durableId="1172184409">
    <w:abstractNumId w:val="22"/>
  </w:num>
  <w:num w:numId="3" w16cid:durableId="1305504397">
    <w:abstractNumId w:val="45"/>
  </w:num>
  <w:num w:numId="4" w16cid:durableId="1032724656">
    <w:abstractNumId w:val="47"/>
  </w:num>
  <w:num w:numId="5" w16cid:durableId="991251904">
    <w:abstractNumId w:val="34"/>
  </w:num>
  <w:num w:numId="6" w16cid:durableId="1516260292">
    <w:abstractNumId w:val="32"/>
  </w:num>
  <w:num w:numId="7" w16cid:durableId="369963012">
    <w:abstractNumId w:val="29"/>
  </w:num>
  <w:num w:numId="8" w16cid:durableId="1797019401">
    <w:abstractNumId w:val="30"/>
  </w:num>
  <w:num w:numId="9" w16cid:durableId="1693995126">
    <w:abstractNumId w:val="10"/>
  </w:num>
  <w:num w:numId="10" w16cid:durableId="378937811">
    <w:abstractNumId w:val="33"/>
  </w:num>
  <w:num w:numId="11" w16cid:durableId="959261296">
    <w:abstractNumId w:val="17"/>
  </w:num>
  <w:num w:numId="12" w16cid:durableId="1917665357">
    <w:abstractNumId w:val="16"/>
  </w:num>
  <w:num w:numId="13" w16cid:durableId="1458642422">
    <w:abstractNumId w:val="27"/>
  </w:num>
  <w:num w:numId="14" w16cid:durableId="1239171217">
    <w:abstractNumId w:val="8"/>
  </w:num>
  <w:num w:numId="15" w16cid:durableId="819033536">
    <w:abstractNumId w:val="26"/>
  </w:num>
  <w:num w:numId="16" w16cid:durableId="1639726822">
    <w:abstractNumId w:val="15"/>
  </w:num>
  <w:num w:numId="17" w16cid:durableId="1256088057">
    <w:abstractNumId w:val="13"/>
  </w:num>
  <w:num w:numId="18" w16cid:durableId="2240712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749963188">
    <w:abstractNumId w:val="23"/>
  </w:num>
  <w:num w:numId="20" w16cid:durableId="1376731220">
    <w:abstractNumId w:val="18"/>
  </w:num>
  <w:num w:numId="21" w16cid:durableId="1760172357">
    <w:abstractNumId w:val="14"/>
  </w:num>
  <w:num w:numId="22" w16cid:durableId="41906856">
    <w:abstractNumId w:val="11"/>
  </w:num>
  <w:num w:numId="23" w16cid:durableId="443156935">
    <w:abstractNumId w:val="28"/>
  </w:num>
  <w:num w:numId="24" w16cid:durableId="823660821">
    <w:abstractNumId w:val="19"/>
  </w:num>
  <w:num w:numId="25" w16cid:durableId="186408724">
    <w:abstractNumId w:val="41"/>
  </w:num>
  <w:num w:numId="26" w16cid:durableId="2108109702">
    <w:abstractNumId w:val="35"/>
  </w:num>
  <w:num w:numId="27" w16cid:durableId="1935674048">
    <w:abstractNumId w:val="40"/>
  </w:num>
  <w:num w:numId="28" w16cid:durableId="1742678329">
    <w:abstractNumId w:val="20"/>
  </w:num>
  <w:num w:numId="29" w16cid:durableId="1339388812">
    <w:abstractNumId w:val="43"/>
  </w:num>
  <w:num w:numId="30" w16cid:durableId="1691487410">
    <w:abstractNumId w:val="31"/>
  </w:num>
  <w:num w:numId="31" w16cid:durableId="1607496890">
    <w:abstractNumId w:val="12"/>
  </w:num>
  <w:num w:numId="32" w16cid:durableId="838693115">
    <w:abstractNumId w:val="44"/>
  </w:num>
  <w:num w:numId="33" w16cid:durableId="31225610">
    <w:abstractNumId w:val="39"/>
  </w:num>
  <w:num w:numId="34" w16cid:durableId="978149320">
    <w:abstractNumId w:val="5"/>
  </w:num>
  <w:num w:numId="35" w16cid:durableId="1961497449">
    <w:abstractNumId w:val="46"/>
  </w:num>
  <w:num w:numId="36" w16cid:durableId="1127046322">
    <w:abstractNumId w:val="42"/>
  </w:num>
  <w:num w:numId="37" w16cid:durableId="720783437">
    <w:abstractNumId w:val="36"/>
  </w:num>
  <w:num w:numId="38" w16cid:durableId="1066993156">
    <w:abstractNumId w:val="37"/>
  </w:num>
  <w:num w:numId="39" w16cid:durableId="231281460">
    <w:abstractNumId w:val="4"/>
  </w:num>
  <w:num w:numId="40" w16cid:durableId="1284187805">
    <w:abstractNumId w:val="6"/>
  </w:num>
  <w:num w:numId="41" w16cid:durableId="1294603030">
    <w:abstractNumId w:val="25"/>
  </w:num>
  <w:num w:numId="42" w16cid:durableId="1258292232">
    <w:abstractNumId w:val="7"/>
  </w:num>
  <w:num w:numId="43" w16cid:durableId="471681185">
    <w:abstractNumId w:val="3"/>
  </w:num>
  <w:num w:numId="44" w16cid:durableId="1858233272">
    <w:abstractNumId w:val="38"/>
  </w:num>
  <w:num w:numId="45" w16cid:durableId="581451790">
    <w:abstractNumId w:val="0"/>
  </w:num>
  <w:num w:numId="46" w16cid:durableId="265577530">
    <w:abstractNumId w:val="14"/>
  </w:num>
  <w:num w:numId="47" w16cid:durableId="1503004647">
    <w:abstractNumId w:val="48"/>
  </w:num>
  <w:num w:numId="48" w16cid:durableId="149422100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357127695">
    <w:abstractNumId w:val="11"/>
  </w:num>
  <w:num w:numId="50" w16cid:durableId="1768648014">
    <w:abstractNumId w:val="28"/>
  </w:num>
  <w:num w:numId="51" w16cid:durableId="1681004443">
    <w:abstractNumId w:val="24"/>
  </w:num>
  <w:num w:numId="52" w16cid:durableId="1560171583">
    <w:abstractNumId w:val="21"/>
  </w:num>
  <w:num w:numId="53" w16cid:durableId="1433552709">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4B65"/>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F54"/>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9FD"/>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5B65"/>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9EF"/>
    <w:rsid w:val="003A0C37"/>
    <w:rsid w:val="003A1B6B"/>
    <w:rsid w:val="003A46C0"/>
    <w:rsid w:val="003A5E9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5D9F"/>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1631"/>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AE5"/>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7D26"/>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1F6"/>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77C2"/>
    <w:rsid w:val="00AA252C"/>
    <w:rsid w:val="00AA2F87"/>
    <w:rsid w:val="00AA666E"/>
    <w:rsid w:val="00AA7960"/>
    <w:rsid w:val="00AB492F"/>
    <w:rsid w:val="00AB5518"/>
    <w:rsid w:val="00AC3A0E"/>
    <w:rsid w:val="00AC4A04"/>
    <w:rsid w:val="00AC5679"/>
    <w:rsid w:val="00AD336F"/>
    <w:rsid w:val="00AE134C"/>
    <w:rsid w:val="00AE1868"/>
    <w:rsid w:val="00AE2564"/>
    <w:rsid w:val="00AE301F"/>
    <w:rsid w:val="00AE3302"/>
    <w:rsid w:val="00AE5BA6"/>
    <w:rsid w:val="00AE6231"/>
    <w:rsid w:val="00AE7077"/>
    <w:rsid w:val="00AF56A2"/>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239E"/>
    <w:rsid w:val="00C75883"/>
    <w:rsid w:val="00C77FA5"/>
    <w:rsid w:val="00C8089F"/>
    <w:rsid w:val="00C835FE"/>
    <w:rsid w:val="00C836CC"/>
    <w:rsid w:val="00C852D6"/>
    <w:rsid w:val="00C86F88"/>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5E35"/>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0C8"/>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9DF87309C859C4DB782E0C220875A91" ma:contentTypeVersion="8" ma:contentTypeDescription="Create a new document." ma:contentTypeScope="" ma:versionID="7d896699a6d27ea5e1389db9f1968f1b">
  <xsd:schema xmlns:xsd="http://www.w3.org/2001/XMLSchema" xmlns:xs="http://www.w3.org/2001/XMLSchema" xmlns:p="http://schemas.microsoft.com/office/2006/metadata/properties" xmlns:ns3="7fd91fcb-c03c-498a-8823-27608d1eb59b" targetNamespace="http://schemas.microsoft.com/office/2006/metadata/properties" ma:root="true" ma:fieldsID="381051f43b22412a35795f24320522e0" ns3:_="">
    <xsd:import namespace="7fd91fcb-c03c-498a-8823-27608d1eb5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d91fcb-c03c-498a-8823-27608d1eb5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90C28F7-A39F-4020-B0B0-023BB6F5C836}">
  <ds:schemaRefs>
    <ds:schemaRef ds:uri="http://schemas.openxmlformats.org/officeDocument/2006/bibliography"/>
  </ds:schemaRefs>
</ds:datastoreItem>
</file>

<file path=customXml/itemProps2.xml><?xml version="1.0" encoding="utf-8"?>
<ds:datastoreItem xmlns:ds="http://schemas.openxmlformats.org/officeDocument/2006/customXml" ds:itemID="{95E5B436-B53F-4F86-A6C4-B9F5213F65B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0DF2623-3FC6-41FF-B93E-E663FFB1DD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d91fcb-c03c-498a-8823-27608d1eb5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4</Pages>
  <Words>1233</Words>
  <Characters>7029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Miranda Ellis</cp:lastModifiedBy>
  <cp:revision>20</cp:revision>
  <cp:lastPrinted>2020-02-11T19:20:00Z</cp:lastPrinted>
  <dcterms:created xsi:type="dcterms:W3CDTF">2025-01-22T14:32:00Z</dcterms:created>
  <dcterms:modified xsi:type="dcterms:W3CDTF">2025-09-26T11:19:00Z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0x01010099DF87309C859C4DB782E0C220875A91</vt:lpwstr>
  </property>
</Properties>
</file>