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80F7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076F9C1" wp14:editId="5F582D2A">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51BCD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C77D56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076F9C1"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51BCD29"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C77D56B"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4C98C1C" wp14:editId="5310DE92">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F1B85A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DE39E0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4C98C1C"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F1B85A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DE39E0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F675BDE"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9375D0E" wp14:editId="6BF9D00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10857A0" w14:textId="77777777" w:rsidR="00530E16" w:rsidRDefault="004468F8">
                            <w:pPr>
                              <w:spacing w:after="0" w:line="240" w:lineRule="auto"/>
                              <w:textDirection w:val="btLr"/>
                            </w:pPr>
                            <w:r>
                              <w:rPr>
                                <w:rFonts w:ascii="Play" w:eastAsia="Play" w:hAnsi="Play" w:cs="Play"/>
                                <w:color w:val="262626"/>
                                <w:sz w:val="72"/>
                              </w:rPr>
                              <w:t>Individual Report</w:t>
                            </w:r>
                          </w:p>
                          <w:p w14:paraId="781668BE" w14:textId="77777777" w:rsidR="00530E16" w:rsidRDefault="004468F8">
                            <w:pPr>
                              <w:spacing w:before="120" w:line="277" w:lineRule="auto"/>
                              <w:textDirection w:val="btLr"/>
                            </w:pPr>
                            <w:r>
                              <w:rPr>
                                <w:color w:val="404040"/>
                                <w:sz w:val="36"/>
                              </w:rPr>
                              <w:t>Module Name: Digital Skills and Research Methods</w:t>
                            </w:r>
                          </w:p>
                          <w:p w14:paraId="0EBD3624" w14:textId="77777777" w:rsidR="00530E16" w:rsidRDefault="004468F8">
                            <w:pPr>
                              <w:spacing w:before="120" w:line="277" w:lineRule="auto"/>
                              <w:textDirection w:val="btLr"/>
                            </w:pPr>
                            <w:r>
                              <w:rPr>
                                <w:color w:val="404040"/>
                                <w:sz w:val="36"/>
                              </w:rPr>
                              <w:t>Module Code: LCHS 4007</w:t>
                            </w:r>
                          </w:p>
                          <w:p w14:paraId="0BD2B2F6" w14:textId="6D06F5E4" w:rsidR="00530E16" w:rsidRDefault="004468F8">
                            <w:pPr>
                              <w:spacing w:before="120" w:line="277" w:lineRule="auto"/>
                              <w:textDirection w:val="btLr"/>
                            </w:pPr>
                            <w:r>
                              <w:rPr>
                                <w:color w:val="404040"/>
                                <w:sz w:val="36"/>
                              </w:rPr>
                              <w:t xml:space="preserve">Student name: </w:t>
                            </w:r>
                            <w:r w:rsidR="008867B0">
                              <w:rPr>
                                <w:color w:val="404040"/>
                                <w:sz w:val="36"/>
                              </w:rPr>
                              <w:t>Ejiroghene Barbara Onyeme Campbell</w:t>
                            </w:r>
                          </w:p>
                          <w:p w14:paraId="2D283D78" w14:textId="261F5D8F" w:rsidR="00530E16" w:rsidRDefault="004468F8">
                            <w:pPr>
                              <w:spacing w:before="120" w:line="277" w:lineRule="auto"/>
                              <w:textDirection w:val="btLr"/>
                            </w:pPr>
                            <w:r>
                              <w:rPr>
                                <w:color w:val="404040"/>
                                <w:sz w:val="36"/>
                              </w:rPr>
                              <w:t>Student ID:</w:t>
                            </w:r>
                            <w:r w:rsidR="008867B0">
                              <w:rPr>
                                <w:color w:val="404040"/>
                                <w:sz w:val="36"/>
                              </w:rPr>
                              <w:t xml:space="preserve"> 20516659</w:t>
                            </w:r>
                          </w:p>
                          <w:p w14:paraId="7BCADD9C" w14:textId="2ECF0AB7" w:rsidR="00530E16" w:rsidRDefault="004468F8">
                            <w:pPr>
                              <w:spacing w:before="120" w:line="277" w:lineRule="auto"/>
                              <w:textDirection w:val="btLr"/>
                            </w:pPr>
                            <w:r>
                              <w:rPr>
                                <w:color w:val="404040"/>
                                <w:sz w:val="36"/>
                              </w:rPr>
                              <w:t xml:space="preserve">Lecturer’s Name: </w:t>
                            </w:r>
                            <w:r w:rsidR="008867B0">
                              <w:rPr>
                                <w:color w:val="404040"/>
                                <w:sz w:val="36"/>
                              </w:rPr>
                              <w:t>Dr Kwame Assa-Agyei</w:t>
                            </w:r>
                          </w:p>
                        </w:txbxContent>
                      </wps:txbx>
                      <wps:bodyPr spcFirstLastPara="1" wrap="square" lIns="0" tIns="0" rIns="0" bIns="0" anchor="t" anchorCtr="0">
                        <a:noAutofit/>
                      </wps:bodyPr>
                    </wps:wsp>
                  </a:graphicData>
                </a:graphic>
              </wp:anchor>
            </w:drawing>
          </mc:Choice>
          <mc:Fallback>
            <w:pict>
              <v:rect w14:anchorId="49375D0E"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10857A0" w14:textId="77777777" w:rsidR="00530E16" w:rsidRDefault="004468F8">
                      <w:pPr>
                        <w:spacing w:after="0" w:line="240" w:lineRule="auto"/>
                        <w:textDirection w:val="btLr"/>
                      </w:pPr>
                      <w:r>
                        <w:rPr>
                          <w:rFonts w:ascii="Play" w:eastAsia="Play" w:hAnsi="Play" w:cs="Play"/>
                          <w:color w:val="262626"/>
                          <w:sz w:val="72"/>
                        </w:rPr>
                        <w:t>Individual Report</w:t>
                      </w:r>
                    </w:p>
                    <w:p w14:paraId="781668BE" w14:textId="77777777" w:rsidR="00530E16" w:rsidRDefault="004468F8">
                      <w:pPr>
                        <w:spacing w:before="120" w:line="277" w:lineRule="auto"/>
                        <w:textDirection w:val="btLr"/>
                      </w:pPr>
                      <w:r>
                        <w:rPr>
                          <w:color w:val="404040"/>
                          <w:sz w:val="36"/>
                        </w:rPr>
                        <w:t>Module Name: Digital Skills and Research Methods</w:t>
                      </w:r>
                    </w:p>
                    <w:p w14:paraId="0EBD3624" w14:textId="77777777" w:rsidR="00530E16" w:rsidRDefault="004468F8">
                      <w:pPr>
                        <w:spacing w:before="120" w:line="277" w:lineRule="auto"/>
                        <w:textDirection w:val="btLr"/>
                      </w:pPr>
                      <w:r>
                        <w:rPr>
                          <w:color w:val="404040"/>
                          <w:sz w:val="36"/>
                        </w:rPr>
                        <w:t>Module Code: LCHS 4007</w:t>
                      </w:r>
                    </w:p>
                    <w:p w14:paraId="0BD2B2F6" w14:textId="6D06F5E4" w:rsidR="00530E16" w:rsidRDefault="004468F8">
                      <w:pPr>
                        <w:spacing w:before="120" w:line="277" w:lineRule="auto"/>
                        <w:textDirection w:val="btLr"/>
                      </w:pPr>
                      <w:r>
                        <w:rPr>
                          <w:color w:val="404040"/>
                          <w:sz w:val="36"/>
                        </w:rPr>
                        <w:t xml:space="preserve">Student name: </w:t>
                      </w:r>
                      <w:r w:rsidR="008867B0">
                        <w:rPr>
                          <w:color w:val="404040"/>
                          <w:sz w:val="36"/>
                        </w:rPr>
                        <w:t>Ejiroghene Barbara Onyeme Campbell</w:t>
                      </w:r>
                    </w:p>
                    <w:p w14:paraId="2D283D78" w14:textId="261F5D8F" w:rsidR="00530E16" w:rsidRDefault="004468F8">
                      <w:pPr>
                        <w:spacing w:before="120" w:line="277" w:lineRule="auto"/>
                        <w:textDirection w:val="btLr"/>
                      </w:pPr>
                      <w:r>
                        <w:rPr>
                          <w:color w:val="404040"/>
                          <w:sz w:val="36"/>
                        </w:rPr>
                        <w:t>Student ID:</w:t>
                      </w:r>
                      <w:r w:rsidR="008867B0">
                        <w:rPr>
                          <w:color w:val="404040"/>
                          <w:sz w:val="36"/>
                        </w:rPr>
                        <w:t xml:space="preserve"> 20516659</w:t>
                      </w:r>
                    </w:p>
                    <w:p w14:paraId="7BCADD9C" w14:textId="2ECF0AB7" w:rsidR="00530E16" w:rsidRDefault="004468F8">
                      <w:pPr>
                        <w:spacing w:before="120" w:line="277" w:lineRule="auto"/>
                        <w:textDirection w:val="btLr"/>
                      </w:pPr>
                      <w:r>
                        <w:rPr>
                          <w:color w:val="404040"/>
                          <w:sz w:val="36"/>
                        </w:rPr>
                        <w:t xml:space="preserve">Lecturer’s Name: </w:t>
                      </w:r>
                      <w:r w:rsidR="008867B0">
                        <w:rPr>
                          <w:color w:val="404040"/>
                          <w:sz w:val="36"/>
                        </w:rPr>
                        <w:t>Dr Kwame Assa-Agyei</w:t>
                      </w:r>
                    </w:p>
                  </w:txbxContent>
                </v:textbox>
                <w10:wrap anchorx="page" anchory="page"/>
              </v:rect>
            </w:pict>
          </mc:Fallback>
        </mc:AlternateContent>
      </w:r>
      <w:r>
        <w:br w:type="page"/>
      </w:r>
    </w:p>
    <w:p w14:paraId="4B3C4098" w14:textId="77777777" w:rsidR="00530E16" w:rsidRDefault="00530E16">
      <w:pPr>
        <w:rPr>
          <w:rFonts w:ascii="Arial" w:eastAsia="Arial" w:hAnsi="Arial" w:cs="Arial"/>
        </w:rPr>
      </w:pPr>
    </w:p>
    <w:p w14:paraId="6186E51A" w14:textId="77777777" w:rsidR="00530E16" w:rsidRPr="00BB3C30" w:rsidRDefault="004468F8">
      <w:pPr>
        <w:keepNext/>
        <w:keepLines/>
        <w:pBdr>
          <w:top w:val="nil"/>
          <w:left w:val="nil"/>
          <w:bottom w:val="nil"/>
          <w:right w:val="nil"/>
          <w:between w:val="nil"/>
        </w:pBdr>
        <w:spacing w:before="240" w:after="0" w:line="259" w:lineRule="auto"/>
        <w:rPr>
          <w:rFonts w:asciiTheme="minorHAnsi" w:eastAsia="Play" w:hAnsiTheme="minorHAnsi" w:cs="Play"/>
          <w:color w:val="0F4761"/>
          <w:sz w:val="36"/>
          <w:szCs w:val="36"/>
        </w:rPr>
      </w:pPr>
      <w:r w:rsidRPr="00BB3C30">
        <w:rPr>
          <w:rFonts w:asciiTheme="minorHAnsi" w:eastAsia="Play" w:hAnsiTheme="minorHAnsi" w:cs="Play"/>
          <w:color w:val="0F4761"/>
          <w:sz w:val="36"/>
          <w:szCs w:val="36"/>
        </w:rPr>
        <w:t>Table of Contents</w:t>
      </w:r>
    </w:p>
    <w:sdt>
      <w:sdtPr>
        <w:rPr>
          <w:rFonts w:asciiTheme="minorHAnsi" w:hAnsiTheme="minorHAnsi"/>
          <w:sz w:val="28"/>
          <w:szCs w:val="28"/>
        </w:rPr>
        <w:id w:val="-2066176513"/>
        <w:docPartObj>
          <w:docPartGallery w:val="Table of Contents"/>
          <w:docPartUnique/>
        </w:docPartObj>
      </w:sdtPr>
      <w:sdtEndPr/>
      <w:sdtContent>
        <w:p w14:paraId="0F100724" w14:textId="77777777" w:rsidR="00DB181C" w:rsidRPr="00BB3C30" w:rsidRDefault="004468F8">
          <w:pPr>
            <w:pStyle w:val="TOC1"/>
            <w:tabs>
              <w:tab w:val="right" w:leader="dot" w:pos="9016"/>
            </w:tabs>
            <w:rPr>
              <w:rFonts w:asciiTheme="minorHAnsi" w:eastAsiaTheme="minorEastAsia" w:hAnsiTheme="minorHAnsi" w:cstheme="minorBidi"/>
              <w:noProof/>
              <w:sz w:val="28"/>
              <w:szCs w:val="28"/>
            </w:rPr>
          </w:pPr>
          <w:r w:rsidRPr="00BB3C30">
            <w:rPr>
              <w:rFonts w:asciiTheme="minorHAnsi" w:hAnsiTheme="minorHAnsi"/>
              <w:sz w:val="28"/>
              <w:szCs w:val="28"/>
            </w:rPr>
            <w:fldChar w:fldCharType="begin"/>
          </w:r>
          <w:r w:rsidRPr="00BB3C30">
            <w:rPr>
              <w:rFonts w:asciiTheme="minorHAnsi" w:hAnsiTheme="minorHAnsi"/>
              <w:sz w:val="28"/>
              <w:szCs w:val="28"/>
            </w:rPr>
            <w:instrText xml:space="preserve"> TOC \h \u \z \t "Heading 1,1,Heading 2,2,Heading 3,3,"</w:instrText>
          </w:r>
          <w:r w:rsidRPr="00BB3C30">
            <w:rPr>
              <w:rFonts w:asciiTheme="minorHAnsi" w:hAnsiTheme="minorHAnsi"/>
              <w:sz w:val="28"/>
              <w:szCs w:val="28"/>
            </w:rPr>
            <w:fldChar w:fldCharType="separate"/>
          </w:r>
          <w:hyperlink w:anchor="_Toc213674530" w:history="1">
            <w:r w:rsidR="00DB181C" w:rsidRPr="00BB3C30">
              <w:rPr>
                <w:rStyle w:val="Hyperlink"/>
                <w:rFonts w:asciiTheme="minorHAnsi" w:hAnsiTheme="minorHAnsi"/>
                <w:noProof/>
                <w:sz w:val="28"/>
                <w:szCs w:val="28"/>
              </w:rPr>
              <w:t>Research Topic: &lt;Insert Research Topic Here&gt;</w:t>
            </w:r>
            <w:r w:rsidR="00DB181C" w:rsidRPr="00BB3C30">
              <w:rPr>
                <w:rFonts w:asciiTheme="minorHAnsi" w:hAnsiTheme="minorHAnsi"/>
                <w:noProof/>
                <w:webHidden/>
                <w:sz w:val="28"/>
                <w:szCs w:val="28"/>
              </w:rPr>
              <w:tab/>
            </w:r>
            <w:r w:rsidR="00DB181C" w:rsidRPr="00BB3C30">
              <w:rPr>
                <w:rFonts w:asciiTheme="minorHAnsi" w:hAnsiTheme="minorHAnsi"/>
                <w:noProof/>
                <w:webHidden/>
                <w:sz w:val="28"/>
                <w:szCs w:val="28"/>
              </w:rPr>
              <w:fldChar w:fldCharType="begin"/>
            </w:r>
            <w:r w:rsidR="00DB181C" w:rsidRPr="00BB3C30">
              <w:rPr>
                <w:rFonts w:asciiTheme="minorHAnsi" w:hAnsiTheme="minorHAnsi"/>
                <w:noProof/>
                <w:webHidden/>
                <w:sz w:val="28"/>
                <w:szCs w:val="28"/>
              </w:rPr>
              <w:instrText xml:space="preserve"> PAGEREF _Toc213674530 \h </w:instrText>
            </w:r>
            <w:r w:rsidR="00DB181C" w:rsidRPr="00BB3C30">
              <w:rPr>
                <w:rFonts w:asciiTheme="minorHAnsi" w:hAnsiTheme="minorHAnsi"/>
                <w:noProof/>
                <w:webHidden/>
                <w:sz w:val="28"/>
                <w:szCs w:val="28"/>
              </w:rPr>
            </w:r>
            <w:r w:rsidR="00DB181C" w:rsidRPr="00BB3C30">
              <w:rPr>
                <w:rFonts w:asciiTheme="minorHAnsi" w:hAnsiTheme="minorHAnsi"/>
                <w:noProof/>
                <w:webHidden/>
                <w:sz w:val="28"/>
                <w:szCs w:val="28"/>
              </w:rPr>
              <w:fldChar w:fldCharType="separate"/>
            </w:r>
            <w:r w:rsidR="00DB181C" w:rsidRPr="00BB3C30">
              <w:rPr>
                <w:rFonts w:asciiTheme="minorHAnsi" w:hAnsiTheme="minorHAnsi"/>
                <w:noProof/>
                <w:webHidden/>
                <w:sz w:val="28"/>
                <w:szCs w:val="28"/>
              </w:rPr>
              <w:t>2</w:t>
            </w:r>
            <w:r w:rsidR="00DB181C" w:rsidRPr="00BB3C30">
              <w:rPr>
                <w:rFonts w:asciiTheme="minorHAnsi" w:hAnsiTheme="minorHAnsi"/>
                <w:noProof/>
                <w:webHidden/>
                <w:sz w:val="28"/>
                <w:szCs w:val="28"/>
              </w:rPr>
              <w:fldChar w:fldCharType="end"/>
            </w:r>
          </w:hyperlink>
        </w:p>
        <w:p w14:paraId="74EEAABE" w14:textId="77777777" w:rsidR="00DB181C" w:rsidRPr="00BB3C30" w:rsidRDefault="00DB181C">
          <w:pPr>
            <w:pStyle w:val="TOC1"/>
            <w:tabs>
              <w:tab w:val="right" w:leader="dot" w:pos="9016"/>
            </w:tabs>
            <w:rPr>
              <w:rFonts w:asciiTheme="minorHAnsi" w:eastAsiaTheme="minorEastAsia" w:hAnsiTheme="minorHAnsi" w:cstheme="minorBidi"/>
              <w:noProof/>
              <w:sz w:val="28"/>
              <w:szCs w:val="28"/>
            </w:rPr>
          </w:pPr>
          <w:hyperlink w:anchor="_Toc213674531" w:history="1">
            <w:r w:rsidRPr="00BB3C30">
              <w:rPr>
                <w:rStyle w:val="Hyperlink"/>
                <w:rFonts w:asciiTheme="minorHAnsi" w:hAnsiTheme="minorHAnsi"/>
                <w:noProof/>
                <w:sz w:val="28"/>
                <w:szCs w:val="28"/>
              </w:rPr>
              <w:t>Introduction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_Toc213674531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031943D9"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2" w:history="1">
            <w:r w:rsidRPr="00BB3C30">
              <w:rPr>
                <w:rStyle w:val="Hyperlink"/>
                <w:rFonts w:asciiTheme="minorHAnsi" w:hAnsiTheme="minorHAnsi"/>
                <w:noProof/>
                <w:sz w:val="28"/>
                <w:szCs w:val="28"/>
              </w:rPr>
              <w:t>Problem Statement</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_Toc213674532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7B4C8304"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3" w:history="1">
            <w:r w:rsidRPr="00BB3C30">
              <w:rPr>
                <w:rStyle w:val="Hyperlink"/>
                <w:rFonts w:asciiTheme="minorHAnsi" w:hAnsiTheme="minorHAnsi"/>
                <w:noProof/>
                <w:sz w:val="28"/>
                <w:szCs w:val="28"/>
              </w:rPr>
              <w:t>Justification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_Toc213674533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414B3095"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4" w:history="1">
            <w:r w:rsidRPr="00BB3C30">
              <w:rPr>
                <w:rStyle w:val="Hyperlink"/>
                <w:rFonts w:asciiTheme="minorHAnsi" w:hAnsiTheme="minorHAnsi"/>
                <w:noProof/>
                <w:sz w:val="28"/>
                <w:szCs w:val="28"/>
              </w:rPr>
              <w:t>Information Sources and Justification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_Toc213674534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7C93A5E8" w14:textId="77777777" w:rsidR="00DB181C" w:rsidRPr="00BB3C30" w:rsidRDefault="00DB181C">
          <w:pPr>
            <w:pStyle w:val="TOC1"/>
            <w:tabs>
              <w:tab w:val="right" w:leader="dot" w:pos="9016"/>
            </w:tabs>
            <w:rPr>
              <w:rFonts w:asciiTheme="minorHAnsi" w:eastAsiaTheme="minorEastAsia" w:hAnsiTheme="minorHAnsi" w:cstheme="minorBidi"/>
              <w:noProof/>
              <w:sz w:val="28"/>
              <w:szCs w:val="28"/>
            </w:rPr>
          </w:pPr>
          <w:hyperlink w:anchor="_Toc213674535" w:history="1">
            <w:r w:rsidRPr="00BB3C30">
              <w:rPr>
                <w:rStyle w:val="Hyperlink"/>
                <w:rFonts w:asciiTheme="minorHAnsi" w:hAnsiTheme="minorHAnsi"/>
                <w:noProof/>
                <w:sz w:val="28"/>
                <w:szCs w:val="28"/>
              </w:rPr>
              <w:t xml:space="preserve">Task 2: </w:t>
            </w:r>
            <w:r w:rsidRPr="00BB3C30">
              <w:rPr>
                <w:rStyle w:val="Hyperlink"/>
                <w:rFonts w:asciiTheme="minorHAnsi" w:hAnsiTheme="minorHAnsi" w:cs="Arial"/>
                <w:bCs/>
                <w:noProof/>
                <w:kern w:val="2"/>
                <w:sz w:val="28"/>
                <w:szCs w:val="28"/>
                <w:lang w:eastAsia="en-US"/>
                <w14:ligatures w14:val="standardContextual"/>
              </w:rPr>
              <w:t>Research Methodologies</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_Toc213674535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4750B70F"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6" w:history="1">
            <w:r w:rsidRPr="00BB3C30">
              <w:rPr>
                <w:rStyle w:val="Hyperlink"/>
                <w:rFonts w:asciiTheme="minorHAnsi" w:hAnsiTheme="minorHAnsi" w:cs="Arial"/>
                <w:noProof/>
                <w:kern w:val="2"/>
                <w:sz w:val="28"/>
                <w:szCs w:val="28"/>
                <w:lang w:eastAsia="en-US"/>
                <w14:ligatures w14:val="standardContextual"/>
              </w:rPr>
              <w:t>Give a brief overview of quantitative and qualitative research.</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_Toc213674536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7E8B8500"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7" w:history="1">
            <w:r w:rsidRPr="00BB3C30">
              <w:rPr>
                <w:rStyle w:val="Hyperlink"/>
                <w:rFonts w:asciiTheme="minorHAnsi" w:hAnsiTheme="minorHAnsi"/>
                <w:noProof/>
                <w:sz w:val="28"/>
                <w:szCs w:val="28"/>
                <w:lang w:eastAsia="en-US"/>
              </w:rPr>
              <w:t>What type of research methodology will you use for your research and why?</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_Toc213674537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497A46F0" w14:textId="77777777" w:rsidR="00DB181C" w:rsidRPr="00BB3C30" w:rsidRDefault="00DB181C">
          <w:pPr>
            <w:pStyle w:val="TOC1"/>
            <w:tabs>
              <w:tab w:val="right" w:leader="dot" w:pos="9016"/>
            </w:tabs>
            <w:rPr>
              <w:rFonts w:asciiTheme="minorHAnsi" w:eastAsiaTheme="minorEastAsia" w:hAnsiTheme="minorHAnsi" w:cstheme="minorBidi"/>
              <w:noProof/>
              <w:sz w:val="28"/>
              <w:szCs w:val="28"/>
            </w:rPr>
          </w:pPr>
          <w:hyperlink w:anchor="_Toc213674538" w:history="1">
            <w:r w:rsidRPr="00BB3C30">
              <w:rPr>
                <w:rStyle w:val="Hyperlink"/>
                <w:rFonts w:asciiTheme="minorHAnsi" w:hAnsiTheme="minorHAnsi"/>
                <w:noProof/>
                <w:sz w:val="28"/>
                <w:szCs w:val="28"/>
              </w:rPr>
              <w:t>Task 3: Data Collection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_Toc213674538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73003B6D"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9" w:history="1">
            <w:r w:rsidRPr="00BB3C30">
              <w:rPr>
                <w:rStyle w:val="Hyperlink"/>
                <w:rFonts w:asciiTheme="minorHAnsi" w:hAnsiTheme="minorHAnsi"/>
                <w:noProof/>
                <w:sz w:val="28"/>
                <w:szCs w:val="28"/>
                <w:lang w:eastAsia="en-US"/>
              </w:rPr>
              <w:t>Overview of primary and secondary data collection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_Toc213674539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6AF4C76C"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40" w:history="1">
            <w:r w:rsidRPr="00BB3C30">
              <w:rPr>
                <w:rStyle w:val="Hyperlink"/>
                <w:rFonts w:asciiTheme="minorHAnsi" w:hAnsiTheme="minorHAnsi"/>
                <w:noProof/>
                <w:sz w:val="28"/>
                <w:szCs w:val="28"/>
                <w:lang w:eastAsia="en-US"/>
              </w:rPr>
              <w:t>What form of data will be used to address your research problem, and why?</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_Toc213674540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4B9359C4" w14:textId="77777777" w:rsidR="00DB181C" w:rsidRPr="00BB3C30" w:rsidRDefault="00DB181C">
          <w:pPr>
            <w:pStyle w:val="TOC1"/>
            <w:tabs>
              <w:tab w:val="right" w:leader="dot" w:pos="9016"/>
            </w:tabs>
            <w:rPr>
              <w:rFonts w:asciiTheme="minorHAnsi" w:eastAsiaTheme="minorEastAsia" w:hAnsiTheme="minorHAnsi" w:cstheme="minorBidi"/>
              <w:noProof/>
              <w:sz w:val="28"/>
              <w:szCs w:val="28"/>
            </w:rPr>
          </w:pPr>
          <w:hyperlink w:anchor="_Toc213674541" w:history="1">
            <w:r w:rsidRPr="00BB3C30">
              <w:rPr>
                <w:rStyle w:val="Hyperlink"/>
                <w:rFonts w:asciiTheme="minorHAnsi" w:hAnsiTheme="minorHAnsi"/>
                <w:noProof/>
                <w:sz w:val="28"/>
                <w:szCs w:val="28"/>
              </w:rPr>
              <w:t>Conclusion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_Toc213674541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6EE7A4D1" w14:textId="77777777" w:rsidR="00DB181C" w:rsidRPr="00BB3C30" w:rsidRDefault="00DB181C">
          <w:pPr>
            <w:pStyle w:val="TOC1"/>
            <w:tabs>
              <w:tab w:val="right" w:leader="dot" w:pos="9016"/>
            </w:tabs>
            <w:rPr>
              <w:rFonts w:asciiTheme="minorHAnsi" w:eastAsiaTheme="minorEastAsia" w:hAnsiTheme="minorHAnsi" w:cstheme="minorBidi"/>
              <w:noProof/>
              <w:sz w:val="28"/>
              <w:szCs w:val="28"/>
            </w:rPr>
          </w:pPr>
          <w:hyperlink w:anchor="_Toc213674542" w:history="1">
            <w:r w:rsidRPr="00BB3C30">
              <w:rPr>
                <w:rStyle w:val="Hyperlink"/>
                <w:rFonts w:asciiTheme="minorHAnsi" w:hAnsiTheme="minorHAnsi"/>
                <w:noProof/>
                <w:sz w:val="28"/>
                <w:szCs w:val="28"/>
              </w:rPr>
              <w:t>References</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_Toc213674542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47AAE65A" w14:textId="77777777" w:rsidR="00530E16" w:rsidRPr="00BB3C30" w:rsidRDefault="004468F8">
          <w:pPr>
            <w:rPr>
              <w:rFonts w:asciiTheme="minorHAnsi" w:hAnsiTheme="minorHAnsi"/>
              <w:sz w:val="28"/>
              <w:szCs w:val="28"/>
            </w:rPr>
          </w:pPr>
          <w:r w:rsidRPr="00BB3C30">
            <w:rPr>
              <w:rFonts w:asciiTheme="minorHAnsi" w:hAnsiTheme="minorHAnsi"/>
              <w:sz w:val="28"/>
              <w:szCs w:val="28"/>
            </w:rPr>
            <w:fldChar w:fldCharType="end"/>
          </w:r>
        </w:p>
      </w:sdtContent>
    </w:sdt>
    <w:p w14:paraId="0253F16D" w14:textId="77777777" w:rsidR="00530E16" w:rsidRPr="00BB3C30" w:rsidRDefault="00530E16">
      <w:pPr>
        <w:rPr>
          <w:rFonts w:asciiTheme="minorHAnsi" w:eastAsia="Arial" w:hAnsiTheme="minorHAnsi" w:cs="Arial"/>
          <w:sz w:val="28"/>
          <w:szCs w:val="28"/>
        </w:rPr>
      </w:pPr>
    </w:p>
    <w:p w14:paraId="69619732" w14:textId="77777777" w:rsidR="00530E16" w:rsidRDefault="00530E16">
      <w:pPr>
        <w:rPr>
          <w:rFonts w:ascii="Arial" w:eastAsia="Arial" w:hAnsi="Arial" w:cs="Arial"/>
        </w:rPr>
      </w:pPr>
    </w:p>
    <w:p w14:paraId="5FF246A3" w14:textId="77777777" w:rsidR="00530E16" w:rsidRDefault="00530E16">
      <w:pPr>
        <w:rPr>
          <w:rFonts w:ascii="Arial" w:eastAsia="Arial" w:hAnsi="Arial" w:cs="Arial"/>
        </w:rPr>
      </w:pPr>
    </w:p>
    <w:p w14:paraId="6C8CB427" w14:textId="77777777" w:rsidR="00530E16" w:rsidRDefault="00530E16">
      <w:pPr>
        <w:rPr>
          <w:rFonts w:ascii="Arial" w:eastAsia="Arial" w:hAnsi="Arial" w:cs="Arial"/>
        </w:rPr>
      </w:pPr>
    </w:p>
    <w:p w14:paraId="6CE82D4F" w14:textId="77777777" w:rsidR="00530E16" w:rsidRDefault="00530E16">
      <w:pPr>
        <w:rPr>
          <w:rFonts w:ascii="Arial" w:eastAsia="Arial" w:hAnsi="Arial" w:cs="Arial"/>
        </w:rPr>
      </w:pPr>
    </w:p>
    <w:p w14:paraId="221F1454" w14:textId="77777777" w:rsidR="00530E16" w:rsidRDefault="00530E16">
      <w:pPr>
        <w:rPr>
          <w:rFonts w:ascii="Arial" w:eastAsia="Arial" w:hAnsi="Arial" w:cs="Arial"/>
        </w:rPr>
      </w:pPr>
    </w:p>
    <w:p w14:paraId="1D5BB242" w14:textId="77777777" w:rsidR="00530E16" w:rsidRDefault="00530E16">
      <w:pPr>
        <w:rPr>
          <w:rFonts w:ascii="Arial" w:eastAsia="Arial" w:hAnsi="Arial" w:cs="Arial"/>
        </w:rPr>
      </w:pPr>
    </w:p>
    <w:p w14:paraId="61D25C5A" w14:textId="77777777" w:rsidR="00530E16" w:rsidRDefault="00530E16">
      <w:pPr>
        <w:rPr>
          <w:rFonts w:ascii="Arial" w:eastAsia="Arial" w:hAnsi="Arial" w:cs="Arial"/>
        </w:rPr>
      </w:pPr>
    </w:p>
    <w:p w14:paraId="5E2DC262" w14:textId="77777777" w:rsidR="00530E16" w:rsidRDefault="00530E16">
      <w:pPr>
        <w:rPr>
          <w:rFonts w:ascii="Arial" w:eastAsia="Arial" w:hAnsi="Arial" w:cs="Arial"/>
        </w:rPr>
      </w:pPr>
    </w:p>
    <w:p w14:paraId="535DD751"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22CAEFBC" w14:textId="04AD4F41" w:rsidR="008867B0" w:rsidRPr="00BB3C30" w:rsidRDefault="004468F8">
      <w:pPr>
        <w:pStyle w:val="Heading1"/>
        <w:rPr>
          <w:rFonts w:asciiTheme="minorHAnsi" w:hAnsiTheme="minorHAnsi"/>
        </w:rPr>
      </w:pPr>
      <w:bookmarkStart w:id="0" w:name="_Toc213674530"/>
      <w:r w:rsidRPr="00BB3C30">
        <w:rPr>
          <w:rFonts w:asciiTheme="minorHAnsi" w:hAnsiTheme="minorHAnsi"/>
        </w:rPr>
        <w:lastRenderedPageBreak/>
        <w:t xml:space="preserve">Research Topic: </w:t>
      </w:r>
      <w:r w:rsidR="00F82B52" w:rsidRPr="00BB3C30">
        <w:rPr>
          <w:rFonts w:asciiTheme="minorHAnsi" w:hAnsiTheme="minorHAnsi"/>
        </w:rPr>
        <w:t>Staff Shortage and Burnout</w:t>
      </w:r>
      <w:r w:rsidR="00C94A14" w:rsidRPr="00BB3C30">
        <w:rPr>
          <w:rFonts w:asciiTheme="minorHAnsi" w:hAnsiTheme="minorHAnsi"/>
        </w:rPr>
        <w:t xml:space="preserve"> in health and social care</w:t>
      </w:r>
    </w:p>
    <w:p w14:paraId="51E3109E" w14:textId="77777777" w:rsidR="00530E16" w:rsidRPr="00BB3C30" w:rsidRDefault="00BA0043">
      <w:pPr>
        <w:pStyle w:val="Heading1"/>
        <w:rPr>
          <w:rFonts w:asciiTheme="minorHAnsi" w:hAnsiTheme="minorHAnsi"/>
          <w:sz w:val="32"/>
          <w:szCs w:val="32"/>
        </w:rPr>
      </w:pPr>
      <w:bookmarkStart w:id="1" w:name="_Toc213674531"/>
      <w:bookmarkEnd w:id="0"/>
      <w:r w:rsidRPr="00BB3C30">
        <w:rPr>
          <w:rFonts w:asciiTheme="minorHAnsi" w:hAnsiTheme="minorHAnsi"/>
          <w:sz w:val="32"/>
          <w:szCs w:val="32"/>
        </w:rPr>
        <w:t>Introduction</w:t>
      </w:r>
      <w:bookmarkEnd w:id="1"/>
    </w:p>
    <w:p w14:paraId="385CB4D0" w14:textId="77777777" w:rsidR="00190327" w:rsidRPr="00BB3C30" w:rsidRDefault="00190327" w:rsidP="00190327">
      <w:pPr>
        <w:pStyle w:val="paragraph"/>
        <w:spacing w:before="0" w:beforeAutospacing="0" w:after="0" w:afterAutospacing="0"/>
        <w:textAlignment w:val="baseline"/>
        <w:rPr>
          <w:rFonts w:asciiTheme="minorHAnsi" w:hAnsiTheme="minorHAnsi" w:cs="Segoe UI"/>
          <w:color w:val="000000"/>
        </w:rPr>
      </w:pPr>
      <w:r w:rsidRPr="00BB3C30">
        <w:rPr>
          <w:rStyle w:val="normaltextrun"/>
          <w:rFonts w:asciiTheme="minorHAnsi" w:eastAsiaTheme="majorEastAsia" w:hAnsiTheme="minorHAnsi" w:cs="Arial"/>
          <w:color w:val="000000"/>
        </w:rPr>
        <w:t>Health and social care services are essential for supporting public health and wellbeing. In the UK, these services are increasingly affected by staff shortages and burnout. Staff shortages occur when there are not enough qualified workers to meet service demands, while burnout is a psychological condition caused by long-term workplace stress. Burnout leads to emotional exhaustion, reduced motivation, and a decline in professional effectiveness (WHO, 2019).</w:t>
      </w:r>
      <w:r w:rsidRPr="00BB3C30">
        <w:rPr>
          <w:rStyle w:val="eop"/>
          <w:rFonts w:asciiTheme="minorHAnsi" w:eastAsiaTheme="majorEastAsia" w:hAnsiTheme="minorHAnsi" w:cs="Arial"/>
          <w:color w:val="000000"/>
        </w:rPr>
        <w:t> </w:t>
      </w:r>
    </w:p>
    <w:p w14:paraId="57916295" w14:textId="77777777" w:rsidR="00190327" w:rsidRPr="00BB3C30" w:rsidRDefault="00190327" w:rsidP="00190327">
      <w:pPr>
        <w:pStyle w:val="paragraph"/>
        <w:spacing w:before="0" w:beforeAutospacing="0" w:after="0" w:afterAutospacing="0"/>
        <w:textAlignment w:val="baseline"/>
        <w:rPr>
          <w:rFonts w:asciiTheme="minorHAnsi" w:hAnsiTheme="minorHAnsi" w:cs="Segoe UI"/>
          <w:color w:val="000000"/>
        </w:rPr>
      </w:pPr>
      <w:r w:rsidRPr="00BB3C30">
        <w:rPr>
          <w:rStyle w:val="eop"/>
          <w:rFonts w:asciiTheme="minorHAnsi" w:eastAsiaTheme="majorEastAsia" w:hAnsiTheme="minorHAnsi" w:cs="Arial"/>
          <w:color w:val="000000"/>
        </w:rPr>
        <w:t> </w:t>
      </w:r>
    </w:p>
    <w:p w14:paraId="7F7FD1DB" w14:textId="77777777" w:rsidR="00190327" w:rsidRPr="00BB3C30" w:rsidRDefault="00190327" w:rsidP="00190327">
      <w:pPr>
        <w:pStyle w:val="paragraph"/>
        <w:spacing w:before="0" w:beforeAutospacing="0" w:after="0" w:afterAutospacing="0"/>
        <w:textAlignment w:val="baseline"/>
        <w:rPr>
          <w:rFonts w:asciiTheme="minorHAnsi" w:hAnsiTheme="minorHAnsi" w:cs="Segoe UI"/>
          <w:color w:val="000000"/>
        </w:rPr>
      </w:pPr>
      <w:r w:rsidRPr="00BB3C30">
        <w:rPr>
          <w:rStyle w:val="normaltextrun"/>
          <w:rFonts w:asciiTheme="minorHAnsi" w:eastAsiaTheme="majorEastAsia" w:hAnsiTheme="minorHAnsi" w:cs="Arial"/>
          <w:color w:val="000000"/>
        </w:rPr>
        <w:t>These two challenges are closely linked. When staffing levels are low, the workload for remaining staff increases, leading to higher stress levels and a greater risk of burnout. In turn, burnout often results in staff leaving their roles, which further increases shortages (Buchan et al., 2019).</w:t>
      </w:r>
      <w:r w:rsidRPr="00BB3C30">
        <w:rPr>
          <w:rStyle w:val="eop"/>
          <w:rFonts w:asciiTheme="minorHAnsi" w:eastAsiaTheme="majorEastAsia" w:hAnsiTheme="minorHAnsi" w:cs="Arial"/>
          <w:color w:val="000000"/>
        </w:rPr>
        <w:t> </w:t>
      </w:r>
    </w:p>
    <w:p w14:paraId="65A2B5B1" w14:textId="77777777" w:rsidR="00190327" w:rsidRPr="00BB3C30" w:rsidRDefault="00190327" w:rsidP="00190327">
      <w:pPr>
        <w:pStyle w:val="paragraph"/>
        <w:spacing w:before="0" w:beforeAutospacing="0" w:after="0" w:afterAutospacing="0"/>
        <w:textAlignment w:val="baseline"/>
        <w:rPr>
          <w:rFonts w:asciiTheme="minorHAnsi" w:hAnsiTheme="minorHAnsi" w:cs="Segoe UI"/>
          <w:color w:val="000000"/>
        </w:rPr>
      </w:pPr>
      <w:r w:rsidRPr="00BB3C30">
        <w:rPr>
          <w:rStyle w:val="eop"/>
          <w:rFonts w:asciiTheme="minorHAnsi" w:eastAsiaTheme="majorEastAsia" w:hAnsiTheme="minorHAnsi" w:cs="Arial"/>
          <w:color w:val="000000"/>
        </w:rPr>
        <w:t> </w:t>
      </w:r>
    </w:p>
    <w:p w14:paraId="2E214050" w14:textId="77777777" w:rsidR="00190327" w:rsidRPr="00BB3C30" w:rsidRDefault="00190327" w:rsidP="00190327">
      <w:pPr>
        <w:pStyle w:val="paragraph"/>
        <w:spacing w:before="0" w:beforeAutospacing="0" w:after="0" w:afterAutospacing="0"/>
        <w:textAlignment w:val="baseline"/>
        <w:rPr>
          <w:rFonts w:asciiTheme="minorHAnsi" w:hAnsiTheme="minorHAnsi" w:cs="Segoe UI"/>
          <w:color w:val="000000"/>
        </w:rPr>
      </w:pPr>
      <w:r w:rsidRPr="00BB3C30">
        <w:rPr>
          <w:rStyle w:val="normaltextrun"/>
          <w:rFonts w:asciiTheme="minorHAnsi" w:eastAsiaTheme="majorEastAsia" w:hAnsiTheme="minorHAnsi" w:cs="Arial"/>
          <w:color w:val="000000"/>
        </w:rPr>
        <w:t>This research aims to explore the causes and impacts of staff shortages and burnout in UK health and social care, and to identify evidence-based solutions that can improve workforce sustainability and care quality.</w:t>
      </w:r>
      <w:r w:rsidRPr="00BB3C30">
        <w:rPr>
          <w:rStyle w:val="eop"/>
          <w:rFonts w:asciiTheme="minorHAnsi" w:eastAsiaTheme="majorEastAsia" w:hAnsiTheme="minorHAnsi" w:cs="Arial"/>
          <w:color w:val="000000"/>
        </w:rPr>
        <w:t> </w:t>
      </w:r>
    </w:p>
    <w:p w14:paraId="7F8FF808" w14:textId="77777777" w:rsidR="004468F8" w:rsidRPr="00BB3C30" w:rsidRDefault="004468F8" w:rsidP="004468F8">
      <w:pPr>
        <w:rPr>
          <w:rFonts w:asciiTheme="minorHAnsi" w:hAnsiTheme="minorHAnsi"/>
        </w:rPr>
      </w:pPr>
    </w:p>
    <w:p w14:paraId="512B4C28" w14:textId="77777777" w:rsidR="00530E16" w:rsidRPr="00BB3C30" w:rsidRDefault="004468F8">
      <w:pPr>
        <w:pStyle w:val="Heading2"/>
        <w:jc w:val="both"/>
        <w:rPr>
          <w:rFonts w:asciiTheme="minorHAnsi" w:hAnsiTheme="minorHAnsi"/>
        </w:rPr>
      </w:pPr>
      <w:bookmarkStart w:id="2" w:name="_Toc213674532"/>
      <w:r w:rsidRPr="00BB3C30">
        <w:rPr>
          <w:rFonts w:asciiTheme="minorHAnsi" w:hAnsiTheme="minorHAnsi"/>
        </w:rPr>
        <w:t>Problem Statement</w:t>
      </w:r>
      <w:bookmarkEnd w:id="2"/>
    </w:p>
    <w:p w14:paraId="09983A49"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Staff shortages and burnout are major issues across UK health and social care services. In 2023, adult social care reported 152,000 vacancies (9.9%), while NHS nursing roles had an 8.4% vacancy rate (Skills for Care, 2023; King’s Fund, 2022).</w:t>
      </w:r>
      <w:r w:rsidRPr="00BB3C30">
        <w:rPr>
          <w:rStyle w:val="eop"/>
          <w:rFonts w:asciiTheme="minorHAnsi" w:eastAsiaTheme="majorEastAsia" w:hAnsiTheme="minorHAnsi" w:cs="Arial"/>
          <w:color w:val="000000"/>
        </w:rPr>
        <w:t> </w:t>
      </w:r>
    </w:p>
    <w:p w14:paraId="3000AEBB"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color w:val="000000"/>
        </w:rPr>
        <w:t> </w:t>
      </w:r>
    </w:p>
    <w:p w14:paraId="253BF5DB"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b/>
          <w:bCs/>
          <w:color w:val="000000"/>
        </w:rPr>
        <w:t>These challenges affect key groups:</w:t>
      </w:r>
      <w:r w:rsidRPr="00BB3C30">
        <w:rPr>
          <w:rStyle w:val="eop"/>
          <w:rFonts w:asciiTheme="minorHAnsi" w:eastAsiaTheme="majorEastAsia" w:hAnsiTheme="minorHAnsi" w:cs="Segoe UI"/>
          <w:color w:val="000000"/>
        </w:rPr>
        <w:t> </w:t>
      </w:r>
    </w:p>
    <w:p w14:paraId="085395B3"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b/>
          <w:bCs/>
          <w:color w:val="000000"/>
        </w:rPr>
        <w:t>Patients</w:t>
      </w:r>
      <w:r w:rsidRPr="00BB3C30">
        <w:rPr>
          <w:rStyle w:val="eop"/>
          <w:rFonts w:asciiTheme="minorHAnsi" w:eastAsiaTheme="majorEastAsia" w:hAnsiTheme="minorHAnsi" w:cs="Segoe UI"/>
          <w:color w:val="000000"/>
        </w:rPr>
        <w:t> </w:t>
      </w:r>
    </w:p>
    <w:p w14:paraId="09A29DEA"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color w:val="000000"/>
        </w:rPr>
        <w:t>Longer waiting times</w:t>
      </w:r>
      <w:r w:rsidRPr="00BB3C30">
        <w:rPr>
          <w:rStyle w:val="eop"/>
          <w:rFonts w:asciiTheme="minorHAnsi" w:eastAsiaTheme="majorEastAsia" w:hAnsiTheme="minorHAnsi" w:cs="Segoe UI"/>
          <w:color w:val="000000"/>
        </w:rPr>
        <w:t> </w:t>
      </w:r>
    </w:p>
    <w:p w14:paraId="3E90E217"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color w:val="000000"/>
        </w:rPr>
        <w:t>Rushed or inconsistent care</w:t>
      </w:r>
      <w:r w:rsidRPr="00BB3C30">
        <w:rPr>
          <w:rStyle w:val="eop"/>
          <w:rFonts w:asciiTheme="minorHAnsi" w:eastAsiaTheme="majorEastAsia" w:hAnsiTheme="minorHAnsi" w:cs="Segoe UI"/>
          <w:color w:val="000000"/>
        </w:rPr>
        <w:t> </w:t>
      </w:r>
    </w:p>
    <w:p w14:paraId="573E5C27"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color w:val="000000"/>
        </w:rPr>
        <w:t>Lower overall quality of services (CQC, 2023)</w:t>
      </w:r>
      <w:r w:rsidRPr="00BB3C30">
        <w:rPr>
          <w:rStyle w:val="eop"/>
          <w:rFonts w:asciiTheme="minorHAnsi" w:eastAsiaTheme="majorEastAsia" w:hAnsiTheme="minorHAnsi" w:cs="Segoe UI"/>
          <w:color w:val="000000"/>
        </w:rPr>
        <w:t> </w:t>
      </w:r>
    </w:p>
    <w:p w14:paraId="0E622F2B"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color w:val="000000"/>
        </w:rPr>
        <w:t> </w:t>
      </w:r>
    </w:p>
    <w:p w14:paraId="67B846C8"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b/>
          <w:bCs/>
          <w:color w:val="000000"/>
        </w:rPr>
        <w:t>Staff</w:t>
      </w:r>
      <w:r w:rsidRPr="00BB3C30">
        <w:rPr>
          <w:rStyle w:val="eop"/>
          <w:rFonts w:asciiTheme="minorHAnsi" w:eastAsiaTheme="majorEastAsia" w:hAnsiTheme="minorHAnsi" w:cs="Segoe UI"/>
          <w:color w:val="000000"/>
        </w:rPr>
        <w:t> </w:t>
      </w:r>
    </w:p>
    <w:p w14:paraId="23804F68"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color w:val="000000"/>
        </w:rPr>
        <w:t>Heavy workloads</w:t>
      </w:r>
      <w:r w:rsidRPr="00BB3C30">
        <w:rPr>
          <w:rStyle w:val="eop"/>
          <w:rFonts w:asciiTheme="minorHAnsi" w:eastAsiaTheme="majorEastAsia" w:hAnsiTheme="minorHAnsi" w:cs="Segoe UI"/>
          <w:color w:val="000000"/>
        </w:rPr>
        <w:t> </w:t>
      </w:r>
    </w:p>
    <w:p w14:paraId="0C732014"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color w:val="000000"/>
        </w:rPr>
        <w:t>Increased emotional stress and exhaustion</w:t>
      </w:r>
      <w:r w:rsidRPr="00BB3C30">
        <w:rPr>
          <w:rStyle w:val="eop"/>
          <w:rFonts w:asciiTheme="minorHAnsi" w:eastAsiaTheme="majorEastAsia" w:hAnsiTheme="minorHAnsi" w:cs="Segoe UI"/>
          <w:color w:val="000000"/>
        </w:rPr>
        <w:t> </w:t>
      </w:r>
    </w:p>
    <w:p w14:paraId="37A243D5"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color w:val="000000"/>
        </w:rPr>
        <w:t>Higher likelihood of leaving their jobs (Mental Health Foundation, 2020)</w:t>
      </w:r>
      <w:r w:rsidRPr="00BB3C30">
        <w:rPr>
          <w:rStyle w:val="eop"/>
          <w:rFonts w:asciiTheme="minorHAnsi" w:eastAsiaTheme="majorEastAsia" w:hAnsiTheme="minorHAnsi" w:cs="Segoe UI"/>
          <w:color w:val="000000"/>
        </w:rPr>
        <w:t> </w:t>
      </w:r>
    </w:p>
    <w:p w14:paraId="67110E6E"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color w:val="000000"/>
        </w:rPr>
        <w:t> </w:t>
      </w:r>
    </w:p>
    <w:p w14:paraId="146379D1"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b/>
          <w:bCs/>
          <w:color w:val="000000"/>
        </w:rPr>
        <w:t>Organisations</w:t>
      </w:r>
      <w:r w:rsidRPr="00BB3C30">
        <w:rPr>
          <w:rStyle w:val="eop"/>
          <w:rFonts w:asciiTheme="minorHAnsi" w:eastAsiaTheme="majorEastAsia" w:hAnsiTheme="minorHAnsi" w:cs="Segoe UI"/>
          <w:color w:val="000000"/>
        </w:rPr>
        <w:t> </w:t>
      </w:r>
    </w:p>
    <w:p w14:paraId="4744F0F6"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color w:val="000000"/>
        </w:rPr>
        <w:t>Reliance on temporary or agency staff</w:t>
      </w:r>
      <w:r w:rsidRPr="00BB3C30">
        <w:rPr>
          <w:rStyle w:val="eop"/>
          <w:rFonts w:asciiTheme="minorHAnsi" w:eastAsiaTheme="majorEastAsia" w:hAnsiTheme="minorHAnsi" w:cs="Segoe UI"/>
          <w:color w:val="000000"/>
        </w:rPr>
        <w:t> </w:t>
      </w:r>
    </w:p>
    <w:p w14:paraId="3ADCE363"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color w:val="000000"/>
        </w:rPr>
        <w:t>Higher operational costs</w:t>
      </w:r>
      <w:r w:rsidRPr="00BB3C30">
        <w:rPr>
          <w:rStyle w:val="eop"/>
          <w:rFonts w:asciiTheme="minorHAnsi" w:eastAsiaTheme="majorEastAsia" w:hAnsiTheme="minorHAnsi" w:cs="Segoe UI"/>
          <w:color w:val="000000"/>
        </w:rPr>
        <w:t> </w:t>
      </w:r>
    </w:p>
    <w:p w14:paraId="470C1485"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color w:val="000000"/>
        </w:rPr>
        <w:t>Difficulty maintaining safe staffing levels (HEE, 2020)</w:t>
      </w:r>
      <w:r w:rsidRPr="00BB3C30">
        <w:rPr>
          <w:rStyle w:val="eop"/>
          <w:rFonts w:asciiTheme="minorHAnsi" w:eastAsiaTheme="majorEastAsia" w:hAnsiTheme="minorHAnsi" w:cs="Segoe UI"/>
          <w:color w:val="000000"/>
        </w:rPr>
        <w:t> </w:t>
      </w:r>
    </w:p>
    <w:p w14:paraId="357C1E10"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color w:val="000000"/>
        </w:rPr>
        <w:t> </w:t>
      </w:r>
    </w:p>
    <w:p w14:paraId="759A2D4B"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color w:val="000000"/>
        </w:rPr>
        <w:lastRenderedPageBreak/>
        <w:t>Evidence shows ongoing pressures across different areas of care. NHS nurses face high patient-to-staff ratios and rising administrative demands (RCN, 2022). Early-career doctors are also at high risk of burnout, with 24% reporting significant symptoms (GMC, 2024). Adult social care and mental health services continue to struggle with high vacancy and turnover rates, making it harder to deliver consistent support (CQC, 2023; AMHP, 2024).</w:t>
      </w:r>
      <w:r w:rsidRPr="00BB3C30">
        <w:rPr>
          <w:rStyle w:val="eop"/>
          <w:rFonts w:asciiTheme="minorHAnsi" w:eastAsiaTheme="majorEastAsia" w:hAnsiTheme="minorHAnsi" w:cs="Segoe UI"/>
          <w:color w:val="000000"/>
        </w:rPr>
        <w:t> </w:t>
      </w:r>
    </w:p>
    <w:p w14:paraId="36C87C26"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color w:val="000000"/>
        </w:rPr>
        <w:t> </w:t>
      </w:r>
    </w:p>
    <w:p w14:paraId="444F98D8"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color w:val="000000"/>
        </w:rPr>
        <w:t>These issues reduce staff wellbeing, threaten patient safety, and weaken organisational performance (DHSC, 2021; NHS England, 2023).</w:t>
      </w:r>
      <w:r w:rsidRPr="00BB3C30">
        <w:rPr>
          <w:rStyle w:val="eop"/>
          <w:rFonts w:asciiTheme="minorHAnsi" w:eastAsiaTheme="majorEastAsia" w:hAnsiTheme="minorHAnsi" w:cs="Segoe UI"/>
          <w:color w:val="000000"/>
        </w:rPr>
        <w:t> </w:t>
      </w:r>
    </w:p>
    <w:p w14:paraId="72D98DFC" w14:textId="77777777" w:rsidR="004468F8" w:rsidRPr="00BB3C30" w:rsidRDefault="004468F8" w:rsidP="004468F8">
      <w:pPr>
        <w:rPr>
          <w:rFonts w:asciiTheme="minorHAnsi" w:hAnsiTheme="minorHAnsi"/>
        </w:rPr>
      </w:pPr>
    </w:p>
    <w:p w14:paraId="1F28E30D" w14:textId="77777777" w:rsidR="00530E16" w:rsidRPr="00BB3C30" w:rsidRDefault="004468F8">
      <w:pPr>
        <w:pStyle w:val="Heading2"/>
        <w:jc w:val="both"/>
        <w:rPr>
          <w:rFonts w:asciiTheme="minorHAnsi" w:hAnsiTheme="minorHAnsi"/>
        </w:rPr>
      </w:pPr>
      <w:bookmarkStart w:id="3" w:name="_Toc213674533"/>
      <w:r w:rsidRPr="00BB3C30">
        <w:rPr>
          <w:rFonts w:asciiTheme="minorHAnsi" w:hAnsiTheme="minorHAnsi"/>
        </w:rPr>
        <w:t>Justification</w:t>
      </w:r>
      <w:bookmarkEnd w:id="3"/>
    </w:p>
    <w:p w14:paraId="327398DB"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normaltextrun"/>
          <w:rFonts w:asciiTheme="minorHAnsi" w:eastAsiaTheme="majorEastAsia" w:hAnsiTheme="minorHAnsi" w:cs="Arial"/>
          <w:color w:val="000000"/>
        </w:rPr>
        <w:t>Researching staff shortages and burnout is important because it affects several critical areas:</w:t>
      </w:r>
      <w:r w:rsidRPr="00BB3C30">
        <w:rPr>
          <w:rStyle w:val="eop"/>
          <w:rFonts w:asciiTheme="minorHAnsi" w:eastAsiaTheme="majorEastAsia" w:hAnsiTheme="minorHAnsi" w:cs="Arial"/>
          <w:color w:val="000000"/>
        </w:rPr>
        <w:t> </w:t>
      </w:r>
    </w:p>
    <w:p w14:paraId="17BBDB02"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eop"/>
          <w:rFonts w:asciiTheme="minorHAnsi" w:eastAsiaTheme="majorEastAsia" w:hAnsiTheme="minorHAnsi" w:cs="Arial"/>
          <w:color w:val="000000"/>
        </w:rPr>
        <w:t> </w:t>
      </w:r>
    </w:p>
    <w:p w14:paraId="1CCDA037" w14:textId="77777777" w:rsidR="007536F6" w:rsidRPr="00BB3C30" w:rsidRDefault="007536F6" w:rsidP="007536F6">
      <w:pPr>
        <w:pStyle w:val="paragraph"/>
        <w:spacing w:before="0" w:beforeAutospacing="0" w:after="0" w:afterAutospacing="0"/>
        <w:textAlignment w:val="baseline"/>
        <w:rPr>
          <w:rFonts w:asciiTheme="minorHAnsi" w:hAnsiTheme="minorHAnsi" w:cs="Arial"/>
          <w:b/>
          <w:bCs/>
          <w:color w:val="000000"/>
        </w:rPr>
      </w:pPr>
      <w:r w:rsidRPr="00BB3C30">
        <w:rPr>
          <w:rStyle w:val="normaltextrun"/>
          <w:rFonts w:asciiTheme="minorHAnsi" w:eastAsiaTheme="majorEastAsia" w:hAnsiTheme="minorHAnsi" w:cs="Arial"/>
          <w:b/>
          <w:bCs/>
          <w:color w:val="000000"/>
        </w:rPr>
        <w:t>Patient Safety</w:t>
      </w:r>
      <w:r w:rsidRPr="00BB3C30">
        <w:rPr>
          <w:rStyle w:val="eop"/>
          <w:rFonts w:asciiTheme="minorHAnsi" w:eastAsiaTheme="majorEastAsia" w:hAnsiTheme="minorHAnsi" w:cs="Arial"/>
          <w:b/>
          <w:bCs/>
          <w:color w:val="000000"/>
        </w:rPr>
        <w:t> </w:t>
      </w:r>
    </w:p>
    <w:p w14:paraId="17881235"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normaltextrun"/>
          <w:rFonts w:asciiTheme="minorHAnsi" w:eastAsiaTheme="majorEastAsia" w:hAnsiTheme="minorHAnsi" w:cs="Arial"/>
          <w:color w:val="000000"/>
        </w:rPr>
        <w:t>Shortages and burnout increase the risk of errors and reduce care quality (CQC, 2023).</w:t>
      </w:r>
      <w:r w:rsidRPr="00BB3C30">
        <w:rPr>
          <w:rStyle w:val="eop"/>
          <w:rFonts w:asciiTheme="minorHAnsi" w:eastAsiaTheme="majorEastAsia" w:hAnsiTheme="minorHAnsi" w:cs="Arial"/>
          <w:color w:val="000000"/>
        </w:rPr>
        <w:t> </w:t>
      </w:r>
    </w:p>
    <w:p w14:paraId="5A2F45E2"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eop"/>
          <w:rFonts w:asciiTheme="minorHAnsi" w:eastAsiaTheme="majorEastAsia" w:hAnsiTheme="minorHAnsi" w:cs="Arial"/>
          <w:color w:val="000000"/>
        </w:rPr>
        <w:t> </w:t>
      </w:r>
    </w:p>
    <w:p w14:paraId="6298C5A4"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eop"/>
          <w:rFonts w:asciiTheme="minorHAnsi" w:eastAsiaTheme="majorEastAsia" w:hAnsiTheme="minorHAnsi" w:cs="Arial"/>
          <w:color w:val="000000"/>
        </w:rPr>
        <w:t> </w:t>
      </w:r>
    </w:p>
    <w:p w14:paraId="19E31CEA" w14:textId="77777777" w:rsidR="007536F6" w:rsidRPr="00BB3C30" w:rsidRDefault="007536F6" w:rsidP="007536F6">
      <w:pPr>
        <w:pStyle w:val="paragraph"/>
        <w:spacing w:before="0" w:beforeAutospacing="0" w:after="0" w:afterAutospacing="0"/>
        <w:textAlignment w:val="baseline"/>
        <w:rPr>
          <w:rFonts w:asciiTheme="minorHAnsi" w:hAnsiTheme="minorHAnsi" w:cs="Arial"/>
          <w:b/>
          <w:bCs/>
          <w:color w:val="000000"/>
        </w:rPr>
      </w:pPr>
      <w:r w:rsidRPr="00BB3C30">
        <w:rPr>
          <w:rStyle w:val="normaltextrun"/>
          <w:rFonts w:asciiTheme="minorHAnsi" w:eastAsiaTheme="majorEastAsia" w:hAnsiTheme="minorHAnsi" w:cs="Arial"/>
          <w:b/>
          <w:bCs/>
          <w:color w:val="000000"/>
        </w:rPr>
        <w:t>Staff Wellbeing</w:t>
      </w:r>
      <w:r w:rsidRPr="00BB3C30">
        <w:rPr>
          <w:rStyle w:val="eop"/>
          <w:rFonts w:asciiTheme="minorHAnsi" w:eastAsiaTheme="majorEastAsia" w:hAnsiTheme="minorHAnsi" w:cs="Arial"/>
          <w:b/>
          <w:bCs/>
          <w:color w:val="000000"/>
        </w:rPr>
        <w:t> </w:t>
      </w:r>
    </w:p>
    <w:p w14:paraId="38D90BE8"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normaltextrun"/>
          <w:rFonts w:asciiTheme="minorHAnsi" w:eastAsiaTheme="majorEastAsia" w:hAnsiTheme="minorHAnsi" w:cs="Arial"/>
          <w:color w:val="000000"/>
        </w:rPr>
        <w:t>Ongoing stress and emotional exhaustion lower morale and increase the likelihood of staff leaving (GMC, 2024; RCN, 2022).</w:t>
      </w:r>
      <w:r w:rsidRPr="00BB3C30">
        <w:rPr>
          <w:rStyle w:val="eop"/>
          <w:rFonts w:asciiTheme="minorHAnsi" w:eastAsiaTheme="majorEastAsia" w:hAnsiTheme="minorHAnsi" w:cs="Arial"/>
          <w:color w:val="000000"/>
        </w:rPr>
        <w:t> </w:t>
      </w:r>
    </w:p>
    <w:p w14:paraId="79AAA762"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eop"/>
          <w:rFonts w:asciiTheme="minorHAnsi" w:eastAsiaTheme="majorEastAsia" w:hAnsiTheme="minorHAnsi" w:cs="Arial"/>
          <w:color w:val="000000"/>
        </w:rPr>
        <w:t> </w:t>
      </w:r>
    </w:p>
    <w:p w14:paraId="22E44E38"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eop"/>
          <w:rFonts w:asciiTheme="minorHAnsi" w:eastAsiaTheme="majorEastAsia" w:hAnsiTheme="minorHAnsi" w:cs="Arial"/>
          <w:color w:val="000000"/>
        </w:rPr>
        <w:t> </w:t>
      </w:r>
    </w:p>
    <w:p w14:paraId="2B997850" w14:textId="77777777" w:rsidR="007536F6" w:rsidRPr="00BB3C30" w:rsidRDefault="007536F6" w:rsidP="007536F6">
      <w:pPr>
        <w:pStyle w:val="paragraph"/>
        <w:spacing w:before="0" w:beforeAutospacing="0" w:after="0" w:afterAutospacing="0"/>
        <w:textAlignment w:val="baseline"/>
        <w:rPr>
          <w:rFonts w:asciiTheme="minorHAnsi" w:hAnsiTheme="minorHAnsi" w:cs="Arial"/>
          <w:b/>
          <w:bCs/>
          <w:color w:val="000000"/>
        </w:rPr>
      </w:pPr>
      <w:r w:rsidRPr="00BB3C30">
        <w:rPr>
          <w:rStyle w:val="normaltextrun"/>
          <w:rFonts w:asciiTheme="minorHAnsi" w:eastAsiaTheme="majorEastAsia" w:hAnsiTheme="minorHAnsi" w:cs="Arial"/>
          <w:b/>
          <w:bCs/>
          <w:color w:val="000000"/>
        </w:rPr>
        <w:t>Organisational Performance</w:t>
      </w:r>
      <w:r w:rsidRPr="00BB3C30">
        <w:rPr>
          <w:rStyle w:val="eop"/>
          <w:rFonts w:asciiTheme="minorHAnsi" w:eastAsiaTheme="majorEastAsia" w:hAnsiTheme="minorHAnsi" w:cs="Arial"/>
          <w:b/>
          <w:bCs/>
          <w:color w:val="000000"/>
        </w:rPr>
        <w:t> </w:t>
      </w:r>
    </w:p>
    <w:p w14:paraId="39A950DB"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normaltextrun"/>
          <w:rFonts w:asciiTheme="minorHAnsi" w:eastAsiaTheme="majorEastAsia" w:hAnsiTheme="minorHAnsi" w:cs="Arial"/>
          <w:color w:val="000000"/>
        </w:rPr>
        <w:t>High turnover and reliance on temporary staff raise costs and reduce continuity of care (Skills for Care, 2023).</w:t>
      </w:r>
      <w:r w:rsidRPr="00BB3C30">
        <w:rPr>
          <w:rStyle w:val="eop"/>
          <w:rFonts w:asciiTheme="minorHAnsi" w:eastAsiaTheme="majorEastAsia" w:hAnsiTheme="minorHAnsi" w:cs="Arial"/>
          <w:color w:val="000000"/>
        </w:rPr>
        <w:t> </w:t>
      </w:r>
    </w:p>
    <w:p w14:paraId="2F8FB973"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eop"/>
          <w:rFonts w:asciiTheme="minorHAnsi" w:eastAsiaTheme="majorEastAsia" w:hAnsiTheme="minorHAnsi" w:cs="Arial"/>
          <w:color w:val="000000"/>
        </w:rPr>
        <w:t> </w:t>
      </w:r>
    </w:p>
    <w:p w14:paraId="37CA4D17"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eop"/>
          <w:rFonts w:asciiTheme="minorHAnsi" w:eastAsiaTheme="majorEastAsia" w:hAnsiTheme="minorHAnsi" w:cs="Arial"/>
          <w:color w:val="000000"/>
        </w:rPr>
        <w:t> </w:t>
      </w:r>
    </w:p>
    <w:p w14:paraId="66FC3CCD" w14:textId="77777777" w:rsidR="007536F6" w:rsidRPr="00BB3C30" w:rsidRDefault="007536F6" w:rsidP="007536F6">
      <w:pPr>
        <w:pStyle w:val="paragraph"/>
        <w:spacing w:before="0" w:beforeAutospacing="0" w:after="0" w:afterAutospacing="0"/>
        <w:textAlignment w:val="baseline"/>
        <w:rPr>
          <w:rFonts w:asciiTheme="minorHAnsi" w:hAnsiTheme="minorHAnsi" w:cs="Arial"/>
          <w:b/>
          <w:bCs/>
          <w:color w:val="000000"/>
        </w:rPr>
      </w:pPr>
      <w:r w:rsidRPr="00BB3C30">
        <w:rPr>
          <w:rStyle w:val="normaltextrun"/>
          <w:rFonts w:asciiTheme="minorHAnsi" w:eastAsiaTheme="majorEastAsia" w:hAnsiTheme="minorHAnsi" w:cs="Arial"/>
          <w:b/>
          <w:bCs/>
          <w:color w:val="000000"/>
        </w:rPr>
        <w:t>Policy Development</w:t>
      </w:r>
      <w:r w:rsidRPr="00BB3C30">
        <w:rPr>
          <w:rStyle w:val="eop"/>
          <w:rFonts w:asciiTheme="minorHAnsi" w:eastAsiaTheme="majorEastAsia" w:hAnsiTheme="minorHAnsi" w:cs="Arial"/>
          <w:b/>
          <w:bCs/>
          <w:color w:val="000000"/>
        </w:rPr>
        <w:t> </w:t>
      </w:r>
    </w:p>
    <w:p w14:paraId="75B56F51"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normaltextrun"/>
          <w:rFonts w:asciiTheme="minorHAnsi" w:eastAsiaTheme="majorEastAsia" w:hAnsiTheme="minorHAnsi" w:cs="Arial"/>
          <w:color w:val="000000"/>
        </w:rPr>
        <w:t>Reliable research supports effective workforce planning, staff support programmes, and flexible working policies (DHSC, 2021; NHS England, 2023).</w:t>
      </w:r>
      <w:r w:rsidRPr="00BB3C30">
        <w:rPr>
          <w:rStyle w:val="eop"/>
          <w:rFonts w:asciiTheme="minorHAnsi" w:eastAsiaTheme="majorEastAsia" w:hAnsiTheme="minorHAnsi" w:cs="Arial"/>
          <w:color w:val="000000"/>
        </w:rPr>
        <w:t> </w:t>
      </w:r>
    </w:p>
    <w:p w14:paraId="4C7C7760"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eop"/>
          <w:rFonts w:asciiTheme="minorHAnsi" w:eastAsiaTheme="majorEastAsia" w:hAnsiTheme="minorHAnsi" w:cs="Arial"/>
          <w:color w:val="000000"/>
        </w:rPr>
        <w:t> </w:t>
      </w:r>
    </w:p>
    <w:p w14:paraId="3D049110" w14:textId="0501CD58"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eop"/>
          <w:rFonts w:asciiTheme="minorHAnsi" w:eastAsiaTheme="majorEastAsia" w:hAnsiTheme="minorHAnsi" w:cs="Arial"/>
          <w:color w:val="000000"/>
        </w:rPr>
        <w:t> </w:t>
      </w:r>
    </w:p>
    <w:p w14:paraId="733DE0A9" w14:textId="77777777" w:rsidR="007536F6" w:rsidRPr="00BB3C30" w:rsidRDefault="007536F6" w:rsidP="007536F6">
      <w:pPr>
        <w:pStyle w:val="paragraph"/>
        <w:spacing w:before="0" w:beforeAutospacing="0" w:after="0" w:afterAutospacing="0"/>
        <w:textAlignment w:val="baseline"/>
        <w:rPr>
          <w:rFonts w:asciiTheme="minorHAnsi" w:hAnsiTheme="minorHAnsi" w:cs="Segoe UI"/>
          <w:color w:val="000000"/>
        </w:rPr>
      </w:pPr>
      <w:r w:rsidRPr="00BB3C30">
        <w:rPr>
          <w:rStyle w:val="normaltextrun"/>
          <w:rFonts w:asciiTheme="minorHAnsi" w:eastAsiaTheme="majorEastAsia" w:hAnsiTheme="minorHAnsi" w:cs="Arial"/>
          <w:color w:val="000000"/>
        </w:rPr>
        <w:t>Understanding these issues can help improve working conditions and ensure that services continue to deliver safe, high-quality care (King’s Fund, 2022; Mental Health Foundation, 2020).</w:t>
      </w:r>
      <w:r w:rsidRPr="00BB3C30">
        <w:rPr>
          <w:rStyle w:val="eop"/>
          <w:rFonts w:asciiTheme="minorHAnsi" w:eastAsiaTheme="majorEastAsia" w:hAnsiTheme="minorHAnsi" w:cs="Arial"/>
          <w:color w:val="000000"/>
        </w:rPr>
        <w:t> </w:t>
      </w:r>
    </w:p>
    <w:p w14:paraId="27E0A909"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250117A0" w14:textId="77777777" w:rsidR="004468F8" w:rsidRDefault="004468F8" w:rsidP="004468F8">
      <w:pPr>
        <w:rPr>
          <w:rFonts w:asciiTheme="minorHAnsi" w:hAnsiTheme="minorHAnsi"/>
        </w:rPr>
      </w:pPr>
    </w:p>
    <w:p w14:paraId="2834BC22" w14:textId="77777777" w:rsidR="00142973" w:rsidRPr="00BB3C30" w:rsidRDefault="00142973" w:rsidP="004468F8">
      <w:pPr>
        <w:rPr>
          <w:rFonts w:asciiTheme="minorHAnsi" w:hAnsiTheme="minorHAnsi"/>
        </w:rPr>
      </w:pPr>
    </w:p>
    <w:p w14:paraId="35F421A1" w14:textId="77777777" w:rsidR="00530E16" w:rsidRPr="00BB3C30" w:rsidRDefault="004468F8">
      <w:pPr>
        <w:pStyle w:val="Heading2"/>
        <w:jc w:val="both"/>
        <w:rPr>
          <w:rFonts w:asciiTheme="minorHAnsi" w:hAnsiTheme="minorHAnsi"/>
        </w:rPr>
      </w:pPr>
      <w:bookmarkStart w:id="4" w:name="_Toc213674534"/>
      <w:r w:rsidRPr="00BB3C30">
        <w:rPr>
          <w:rFonts w:asciiTheme="minorHAnsi" w:hAnsiTheme="minorHAnsi"/>
        </w:rPr>
        <w:t>Information Sources and Justification</w:t>
      </w:r>
      <w:bookmarkEnd w:id="4"/>
    </w:p>
    <w:p w14:paraId="60A844EC" w14:textId="77777777" w:rsidR="00786C68" w:rsidRPr="00BB3C30" w:rsidRDefault="00786C68" w:rsidP="00786C68">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This research will draw on both primary and secondary sources to ensure a thorough and balanced understanding of staff shortages and burnout in health and social care.</w:t>
      </w:r>
      <w:r w:rsidRPr="00BB3C30">
        <w:rPr>
          <w:rStyle w:val="eop"/>
          <w:rFonts w:asciiTheme="minorHAnsi" w:eastAsiaTheme="majorEastAsia" w:hAnsiTheme="minorHAnsi" w:cs="Arial"/>
          <w:color w:val="000000"/>
        </w:rPr>
        <w:t> </w:t>
      </w:r>
    </w:p>
    <w:p w14:paraId="3269099F" w14:textId="77777777" w:rsidR="00786C68" w:rsidRPr="00BB3C30" w:rsidRDefault="00786C68" w:rsidP="00786C68">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02A2E438" w14:textId="77777777" w:rsidR="00786C68" w:rsidRPr="00BB3C30" w:rsidRDefault="00786C68" w:rsidP="00786C68">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b/>
          <w:bCs/>
          <w:color w:val="000000"/>
        </w:rPr>
        <w:lastRenderedPageBreak/>
        <w:t>Primary Data</w:t>
      </w:r>
      <w:r w:rsidRPr="00BB3C30">
        <w:rPr>
          <w:rStyle w:val="eop"/>
          <w:rFonts w:asciiTheme="minorHAnsi" w:eastAsiaTheme="majorEastAsia" w:hAnsiTheme="minorHAnsi" w:cs="Arial"/>
          <w:color w:val="000000"/>
        </w:rPr>
        <w:t> </w:t>
      </w:r>
    </w:p>
    <w:p w14:paraId="3E19E873" w14:textId="77777777" w:rsidR="00786C68" w:rsidRPr="00BB3C30" w:rsidRDefault="00786C68" w:rsidP="00786C68">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Primary data will be collected through surveys and interviews with health and social care staff. These methods provide first-hand insights into issues such as workload pressures, emotional exhaustion, job satisfaction, and coping strategies. Primary data is essential for this research because it captures the real experiences of staff currently working in the sector, which cannot be fully understood through national reports alone.</w:t>
      </w:r>
      <w:r w:rsidRPr="00BB3C30">
        <w:rPr>
          <w:rStyle w:val="eop"/>
          <w:rFonts w:asciiTheme="minorHAnsi" w:eastAsiaTheme="majorEastAsia" w:hAnsiTheme="minorHAnsi" w:cs="Arial"/>
          <w:color w:val="000000"/>
        </w:rPr>
        <w:t> </w:t>
      </w:r>
    </w:p>
    <w:p w14:paraId="02F74EC9" w14:textId="77777777" w:rsidR="00786C68" w:rsidRPr="00BB3C30" w:rsidRDefault="00786C68" w:rsidP="00786C68">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49638AE" w14:textId="77777777" w:rsidR="00786C68" w:rsidRPr="00BB3C30" w:rsidRDefault="00786C68" w:rsidP="00786C68">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b/>
          <w:bCs/>
          <w:color w:val="000000"/>
        </w:rPr>
        <w:t>Secondary Data</w:t>
      </w:r>
      <w:r w:rsidRPr="00BB3C30">
        <w:rPr>
          <w:rStyle w:val="eop"/>
          <w:rFonts w:asciiTheme="minorHAnsi" w:eastAsiaTheme="majorEastAsia" w:hAnsiTheme="minorHAnsi" w:cs="Arial"/>
          <w:color w:val="000000"/>
        </w:rPr>
        <w:t> </w:t>
      </w:r>
    </w:p>
    <w:p w14:paraId="720945E0" w14:textId="77777777" w:rsidR="00786C68" w:rsidRPr="00BB3C30" w:rsidRDefault="00786C68" w:rsidP="00786C68">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Secondary data will include information from official reports, such as those produced by NHS England, the Care Quality Commission (CQC), Skills for Care, and the General Medical Council (GMC). In addition, academic papers and policy documents from organisations such as the King’s Fund (2022) and the Association of Mental Health Providers (AMHP, 2024) will be used. These sources provide national statistics, workforce trends, and expert analysis, helping to place individual staff experiences within a wider national context.</w:t>
      </w:r>
      <w:r w:rsidRPr="00BB3C30">
        <w:rPr>
          <w:rStyle w:val="eop"/>
          <w:rFonts w:asciiTheme="minorHAnsi" w:eastAsiaTheme="majorEastAsia" w:hAnsiTheme="minorHAnsi" w:cs="Arial"/>
          <w:color w:val="000000"/>
        </w:rPr>
        <w:t> </w:t>
      </w:r>
    </w:p>
    <w:p w14:paraId="68CA8AF9" w14:textId="77777777" w:rsidR="00786C68" w:rsidRPr="00BB3C30" w:rsidRDefault="00786C68" w:rsidP="00786C68">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3D42622D" w14:textId="77777777" w:rsidR="00786C68" w:rsidRPr="00BB3C30" w:rsidRDefault="00786C68" w:rsidP="00786C68">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b/>
          <w:bCs/>
          <w:color w:val="000000"/>
        </w:rPr>
        <w:t>Justification</w:t>
      </w:r>
      <w:r w:rsidRPr="00BB3C30">
        <w:rPr>
          <w:rStyle w:val="eop"/>
          <w:rFonts w:asciiTheme="minorHAnsi" w:eastAsiaTheme="majorEastAsia" w:hAnsiTheme="minorHAnsi" w:cs="Arial"/>
          <w:color w:val="000000"/>
        </w:rPr>
        <w:t> </w:t>
      </w:r>
    </w:p>
    <w:p w14:paraId="36BD2B85" w14:textId="77777777" w:rsidR="00786C68" w:rsidRPr="00BB3C30" w:rsidRDefault="00786C68" w:rsidP="00786C68">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Using both primary and secondary data strengthens the research by combining personal experiences with established national evidence. Primary data allows the study to explore how staff shortages and burnout affect individuals directly, while secondary data provides a broader understanding of national patterns, sector-wide challenges, and long-term workforce issues. Together, they create a </w:t>
      </w:r>
      <w:proofErr w:type="gramStart"/>
      <w:r w:rsidRPr="00BB3C30">
        <w:rPr>
          <w:rStyle w:val="normaltextrun"/>
          <w:rFonts w:asciiTheme="minorHAnsi" w:eastAsiaTheme="majorEastAsia" w:hAnsiTheme="minorHAnsi" w:cs="Arial"/>
          <w:color w:val="000000"/>
        </w:rPr>
        <w:t>more complete and reliable</w:t>
      </w:r>
      <w:proofErr w:type="gramEnd"/>
      <w:r w:rsidRPr="00BB3C30">
        <w:rPr>
          <w:rStyle w:val="normaltextrun"/>
          <w:rFonts w:asciiTheme="minorHAnsi" w:eastAsiaTheme="majorEastAsia" w:hAnsiTheme="minorHAnsi" w:cs="Arial"/>
          <w:color w:val="000000"/>
        </w:rPr>
        <w:t> picture of the factors contributing to staff shortages and burnout in the health and social care sector.</w:t>
      </w:r>
      <w:r w:rsidRPr="00BB3C30">
        <w:rPr>
          <w:rStyle w:val="eop"/>
          <w:rFonts w:asciiTheme="minorHAnsi" w:eastAsiaTheme="majorEastAsia" w:hAnsiTheme="minorHAnsi" w:cs="Arial"/>
          <w:color w:val="000000"/>
        </w:rPr>
        <w:t> </w:t>
      </w:r>
    </w:p>
    <w:p w14:paraId="298D2745" w14:textId="77777777" w:rsidR="00172AD1" w:rsidRPr="00BB3C30" w:rsidRDefault="00172AD1" w:rsidP="004468F8">
      <w:pPr>
        <w:rPr>
          <w:rFonts w:asciiTheme="minorHAnsi" w:hAnsiTheme="minorHAnsi"/>
        </w:rPr>
      </w:pPr>
    </w:p>
    <w:p w14:paraId="27285A69" w14:textId="77777777" w:rsidR="004468F8" w:rsidRPr="00BB3C30" w:rsidRDefault="004468F8" w:rsidP="004468F8">
      <w:pPr>
        <w:pStyle w:val="Heading1"/>
        <w:jc w:val="both"/>
        <w:rPr>
          <w:rFonts w:asciiTheme="minorHAnsi" w:hAnsiTheme="minorHAnsi"/>
        </w:rPr>
      </w:pPr>
      <w:bookmarkStart w:id="5" w:name="_Toc213674535"/>
      <w:r w:rsidRPr="00BB3C30">
        <w:rPr>
          <w:rFonts w:asciiTheme="minorHAnsi" w:hAnsiTheme="minorHAnsi"/>
        </w:rPr>
        <w:t xml:space="preserve">Task 2: </w:t>
      </w:r>
      <w:r w:rsidR="00172AD1" w:rsidRPr="00BB3C30">
        <w:rPr>
          <w:rFonts w:asciiTheme="minorHAnsi" w:eastAsia="Aptos" w:hAnsiTheme="minorHAnsi" w:cs="Arial"/>
          <w:bCs/>
          <w:kern w:val="2"/>
          <w:lang w:eastAsia="en-US"/>
          <w14:ligatures w14:val="standardContextual"/>
        </w:rPr>
        <w:t>Research M</w:t>
      </w:r>
      <w:r w:rsidRPr="00BB3C30">
        <w:rPr>
          <w:rFonts w:asciiTheme="minorHAnsi" w:eastAsia="Aptos" w:hAnsiTheme="minorHAnsi" w:cs="Arial"/>
          <w:bCs/>
          <w:kern w:val="2"/>
          <w:lang w:eastAsia="en-US"/>
          <w14:ligatures w14:val="standardContextual"/>
        </w:rPr>
        <w:t>ethodologies</w:t>
      </w:r>
      <w:bookmarkEnd w:id="5"/>
    </w:p>
    <w:p w14:paraId="5221278A" w14:textId="77777777" w:rsidR="004468F8" w:rsidRPr="00BB3C30" w:rsidRDefault="004468F8" w:rsidP="004468F8">
      <w:pPr>
        <w:pStyle w:val="Heading2"/>
        <w:jc w:val="both"/>
        <w:rPr>
          <w:rFonts w:asciiTheme="minorHAnsi" w:eastAsia="Aptos" w:hAnsiTheme="minorHAnsi" w:cs="Arial"/>
          <w:kern w:val="2"/>
          <w:lang w:eastAsia="en-US"/>
          <w14:ligatures w14:val="standardContextual"/>
        </w:rPr>
      </w:pPr>
      <w:bookmarkStart w:id="6" w:name="_Toc213674536"/>
      <w:r w:rsidRPr="00BB3C30">
        <w:rPr>
          <w:rFonts w:asciiTheme="minorHAnsi" w:eastAsia="Aptos" w:hAnsiTheme="minorHAnsi" w:cs="Arial"/>
          <w:kern w:val="2"/>
          <w:lang w:eastAsia="en-US"/>
          <w14:ligatures w14:val="standardContextual"/>
        </w:rPr>
        <w:t>Give a brief overview of quantitative and qualitative research.</w:t>
      </w:r>
      <w:bookmarkEnd w:id="6"/>
    </w:p>
    <w:p w14:paraId="721E41E5" w14:textId="77777777" w:rsidR="00C74263" w:rsidRPr="00BB3C30" w:rsidRDefault="00C74263" w:rsidP="00C74263">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Research in health and social care often uses two main approaches: quantitative and qualitative methods. Each provides different types of information and helps build a fuller understanding of the research topic.</w:t>
      </w:r>
      <w:r w:rsidRPr="00BB3C30">
        <w:rPr>
          <w:rStyle w:val="eop"/>
          <w:rFonts w:asciiTheme="minorHAnsi" w:eastAsiaTheme="majorEastAsia" w:hAnsiTheme="minorHAnsi" w:cs="Segoe UI"/>
        </w:rPr>
        <w:t> </w:t>
      </w:r>
    </w:p>
    <w:p w14:paraId="0DD2E8B4" w14:textId="77777777" w:rsidR="00C74263" w:rsidRPr="00BB3C30" w:rsidRDefault="00C74263" w:rsidP="00C74263">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6F35F444" w14:textId="77777777" w:rsidR="00C74263" w:rsidRPr="00BB3C30" w:rsidRDefault="00C74263" w:rsidP="00C74263">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b/>
          <w:bCs/>
        </w:rPr>
        <w:t>Quantitative Research</w:t>
      </w:r>
      <w:r w:rsidRPr="00BB3C30">
        <w:rPr>
          <w:rStyle w:val="eop"/>
          <w:rFonts w:asciiTheme="minorHAnsi" w:eastAsiaTheme="majorEastAsia" w:hAnsiTheme="minorHAnsi" w:cs="Segoe UI"/>
        </w:rPr>
        <w:t> </w:t>
      </w:r>
    </w:p>
    <w:p w14:paraId="09EC766A" w14:textId="77777777" w:rsidR="00C74263" w:rsidRPr="00BB3C30" w:rsidRDefault="00C74263" w:rsidP="00C74263">
      <w:pPr>
        <w:pStyle w:val="paragraph"/>
        <w:spacing w:before="0" w:beforeAutospacing="0" w:after="0" w:afterAutospacing="0"/>
        <w:textAlignment w:val="baseline"/>
        <w:rPr>
          <w:rFonts w:asciiTheme="minorHAnsi" w:hAnsiTheme="minorHAnsi" w:cs="Segoe UI"/>
        </w:rPr>
      </w:pPr>
    </w:p>
    <w:p w14:paraId="03E8BB5C" w14:textId="77777777" w:rsidR="00C74263" w:rsidRPr="00BB3C30" w:rsidRDefault="00C74263" w:rsidP="00C74263">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Quantitative research focuses on numerical or measurable data. It is useful for identifying patterns, trends, and comparisons. Examples include data on staff turnover rates, working hours, absence levels, or the percentage of staff experiencing burnout (HEE, 2020). This type of research often uses surveys with closed questions or existing statistical reports. Quantitative methods help to show how widespread a problem is.</w:t>
      </w:r>
      <w:r w:rsidRPr="00BB3C30">
        <w:rPr>
          <w:rStyle w:val="eop"/>
          <w:rFonts w:asciiTheme="minorHAnsi" w:eastAsiaTheme="majorEastAsia" w:hAnsiTheme="minorHAnsi" w:cs="Segoe UI"/>
        </w:rPr>
        <w:t> </w:t>
      </w:r>
    </w:p>
    <w:p w14:paraId="12686635" w14:textId="77777777" w:rsidR="00C74263" w:rsidRPr="00BB3C30" w:rsidRDefault="00C74263" w:rsidP="00C74263">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4A25B20E" w14:textId="77777777" w:rsidR="00C74263" w:rsidRPr="00BB3C30" w:rsidRDefault="00C74263" w:rsidP="00C74263">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b/>
          <w:bCs/>
        </w:rPr>
        <w:t>Qualitative Research</w:t>
      </w:r>
      <w:r w:rsidRPr="00BB3C30">
        <w:rPr>
          <w:rStyle w:val="eop"/>
          <w:rFonts w:asciiTheme="minorHAnsi" w:eastAsiaTheme="majorEastAsia" w:hAnsiTheme="minorHAnsi" w:cs="Segoe UI"/>
        </w:rPr>
        <w:t> </w:t>
      </w:r>
    </w:p>
    <w:p w14:paraId="19096CC6" w14:textId="77777777" w:rsidR="00C74263" w:rsidRPr="00BB3C30" w:rsidRDefault="00C74263" w:rsidP="00C74263">
      <w:pPr>
        <w:pStyle w:val="paragraph"/>
        <w:spacing w:before="0" w:beforeAutospacing="0" w:after="0" w:afterAutospacing="0"/>
        <w:textAlignment w:val="baseline"/>
        <w:rPr>
          <w:rFonts w:asciiTheme="minorHAnsi" w:hAnsiTheme="minorHAnsi" w:cs="Segoe UI"/>
        </w:rPr>
      </w:pPr>
    </w:p>
    <w:p w14:paraId="232CA2C5" w14:textId="77777777" w:rsidR="00C74263" w:rsidRPr="00BB3C30" w:rsidRDefault="00C74263" w:rsidP="00C74263">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lastRenderedPageBreak/>
        <w:t>Qualitative research explores people’s experiences, feelings, and opinions. It is commonly collected through interviews, focus groups, or open-ended survey questions (Mental Health Foundation, 2020). This approach provides more detailed and personal insights into issues such as emotional pressure, workplace stress, and the impact of staff shortages. Qualitative methods help to explain why a problem occurs and how it affects individuals.</w:t>
      </w:r>
      <w:r w:rsidRPr="00BB3C30">
        <w:rPr>
          <w:rStyle w:val="eop"/>
          <w:rFonts w:asciiTheme="minorHAnsi" w:eastAsiaTheme="majorEastAsia" w:hAnsiTheme="minorHAnsi" w:cs="Segoe UI"/>
        </w:rPr>
        <w:t> </w:t>
      </w:r>
    </w:p>
    <w:p w14:paraId="78EA30A8" w14:textId="77777777" w:rsidR="004468F8" w:rsidRPr="00BB3C30" w:rsidRDefault="004468F8" w:rsidP="004468F8">
      <w:pPr>
        <w:rPr>
          <w:rFonts w:asciiTheme="minorHAnsi" w:hAnsiTheme="minorHAnsi"/>
          <w:lang w:eastAsia="en-US"/>
        </w:rPr>
      </w:pPr>
    </w:p>
    <w:p w14:paraId="4B598C78" w14:textId="77777777" w:rsidR="004468F8" w:rsidRPr="00BB3C30" w:rsidRDefault="004468F8" w:rsidP="004468F8">
      <w:pPr>
        <w:rPr>
          <w:rFonts w:asciiTheme="minorHAnsi" w:hAnsiTheme="minorHAnsi"/>
          <w:lang w:eastAsia="en-US"/>
        </w:rPr>
      </w:pPr>
    </w:p>
    <w:p w14:paraId="456EAD89" w14:textId="77777777" w:rsidR="004468F8" w:rsidRPr="00BB3C30" w:rsidRDefault="004468F8" w:rsidP="004468F8">
      <w:pPr>
        <w:pStyle w:val="Heading2"/>
        <w:rPr>
          <w:rFonts w:asciiTheme="minorHAnsi" w:eastAsia="Aptos" w:hAnsiTheme="minorHAnsi"/>
          <w:b/>
          <w:bCs/>
          <w:lang w:eastAsia="en-US"/>
        </w:rPr>
      </w:pPr>
      <w:bookmarkStart w:id="7" w:name="_Toc213674537"/>
      <w:r w:rsidRPr="00BB3C30">
        <w:rPr>
          <w:rFonts w:asciiTheme="minorHAnsi" w:eastAsia="Aptos" w:hAnsiTheme="minorHAnsi"/>
          <w:lang w:eastAsia="en-US"/>
        </w:rPr>
        <w:t>What type of research methodology will you use for your research and why?</w:t>
      </w:r>
      <w:bookmarkEnd w:id="7"/>
    </w:p>
    <w:p w14:paraId="509653ED"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b/>
          <w:bCs/>
        </w:rPr>
      </w:pPr>
      <w:r w:rsidRPr="00BB3C30">
        <w:rPr>
          <w:rStyle w:val="normaltextrun"/>
          <w:rFonts w:asciiTheme="minorHAnsi" w:eastAsiaTheme="majorEastAsia" w:hAnsiTheme="minorHAnsi" w:cs="Segoe UI"/>
          <w:b/>
          <w:bCs/>
        </w:rPr>
        <w:t>Chosen Methodology</w:t>
      </w:r>
      <w:r w:rsidRPr="00BB3C30">
        <w:rPr>
          <w:rStyle w:val="eop"/>
          <w:rFonts w:asciiTheme="minorHAnsi" w:eastAsiaTheme="majorEastAsia" w:hAnsiTheme="minorHAnsi" w:cs="Segoe UI"/>
          <w:b/>
          <w:bCs/>
        </w:rPr>
        <w:t> </w:t>
      </w:r>
    </w:p>
    <w:p w14:paraId="57D845E4" w14:textId="77777777" w:rsidR="00B3070A" w:rsidRPr="00BB3C30" w:rsidRDefault="00B3070A" w:rsidP="00B3070A">
      <w:pPr>
        <w:pStyle w:val="paragraph"/>
        <w:spacing w:before="0" w:beforeAutospacing="0" w:after="0" w:afterAutospacing="0"/>
        <w:textAlignment w:val="baseline"/>
        <w:rPr>
          <w:rFonts w:asciiTheme="minorHAnsi" w:hAnsiTheme="minorHAnsi" w:cs="Segoe UI"/>
          <w:b/>
          <w:bCs/>
        </w:rPr>
      </w:pPr>
    </w:p>
    <w:p w14:paraId="321E8F34"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This study will use a mixed-methods approach, combining both quantitative and qualitative research. Using more than one method allows the research to capture different types of information and develop a fuller understanding of staff shortages and burnout.</w:t>
      </w:r>
      <w:r w:rsidRPr="00BB3C30">
        <w:rPr>
          <w:rStyle w:val="eop"/>
          <w:rFonts w:asciiTheme="minorHAnsi" w:eastAsiaTheme="majorEastAsia" w:hAnsiTheme="minorHAnsi" w:cs="Segoe UI"/>
        </w:rPr>
        <w:t> </w:t>
      </w:r>
    </w:p>
    <w:p w14:paraId="59688B24"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1AAEC856"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b/>
          <w:bCs/>
        </w:rPr>
      </w:pPr>
      <w:r w:rsidRPr="00BB3C30">
        <w:rPr>
          <w:rStyle w:val="normaltextrun"/>
          <w:rFonts w:asciiTheme="minorHAnsi" w:eastAsiaTheme="majorEastAsia" w:hAnsiTheme="minorHAnsi" w:cs="Segoe UI"/>
          <w:b/>
          <w:bCs/>
        </w:rPr>
        <w:t>Why Mixed Methods?</w:t>
      </w:r>
      <w:r w:rsidRPr="00BB3C30">
        <w:rPr>
          <w:rStyle w:val="eop"/>
          <w:rFonts w:asciiTheme="minorHAnsi" w:eastAsiaTheme="majorEastAsia" w:hAnsiTheme="minorHAnsi" w:cs="Segoe UI"/>
          <w:b/>
          <w:bCs/>
        </w:rPr>
        <w:t> </w:t>
      </w:r>
    </w:p>
    <w:p w14:paraId="177D712C" w14:textId="77777777" w:rsidR="00B3070A" w:rsidRPr="00BB3C30" w:rsidRDefault="00B3070A" w:rsidP="00B3070A">
      <w:pPr>
        <w:pStyle w:val="paragraph"/>
        <w:spacing w:before="0" w:beforeAutospacing="0" w:after="0" w:afterAutospacing="0"/>
        <w:textAlignment w:val="baseline"/>
        <w:rPr>
          <w:rFonts w:asciiTheme="minorHAnsi" w:hAnsiTheme="minorHAnsi" w:cs="Segoe UI"/>
          <w:b/>
          <w:bCs/>
        </w:rPr>
      </w:pPr>
    </w:p>
    <w:p w14:paraId="3E484011" w14:textId="144AA645" w:rsidR="00B3070A" w:rsidRPr="00BB3C30" w:rsidRDefault="00B3070A" w:rsidP="00B3070A">
      <w:pPr>
        <w:pStyle w:val="paragraph"/>
        <w:numPr>
          <w:ilvl w:val="0"/>
          <w:numId w:val="16"/>
        </w:numPr>
        <w:spacing w:before="0" w:beforeAutospacing="0" w:after="0" w:afterAutospacing="0"/>
        <w:textAlignment w:val="baseline"/>
        <w:rPr>
          <w:rFonts w:asciiTheme="minorHAnsi" w:hAnsiTheme="minorHAnsi" w:cs="Segoe UI"/>
          <w:b/>
          <w:bCs/>
        </w:rPr>
      </w:pPr>
      <w:r w:rsidRPr="00BB3C30">
        <w:rPr>
          <w:rStyle w:val="normaltextrun"/>
          <w:rFonts w:asciiTheme="minorHAnsi" w:eastAsiaTheme="majorEastAsia" w:hAnsiTheme="minorHAnsi" w:cs="Segoe UI"/>
          <w:b/>
          <w:bCs/>
        </w:rPr>
        <w:t>Quantitative data for measuring the problem</w:t>
      </w:r>
      <w:r w:rsidRPr="00BB3C30">
        <w:rPr>
          <w:rStyle w:val="eop"/>
          <w:rFonts w:asciiTheme="minorHAnsi" w:eastAsiaTheme="majorEastAsia" w:hAnsiTheme="minorHAnsi" w:cs="Segoe UI"/>
          <w:b/>
          <w:bCs/>
        </w:rPr>
        <w:t> </w:t>
      </w:r>
    </w:p>
    <w:p w14:paraId="74CEA82F"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b/>
          <w:bCs/>
        </w:rPr>
      </w:pPr>
      <w:r w:rsidRPr="00BB3C30">
        <w:rPr>
          <w:rStyle w:val="normaltextrun"/>
          <w:rFonts w:asciiTheme="minorHAnsi" w:eastAsiaTheme="majorEastAsia" w:hAnsiTheme="minorHAnsi" w:cs="Segoe UI"/>
          <w:b/>
          <w:bCs/>
        </w:rPr>
        <w:t>Quantitative surveys will be used to collect numerical data, such as:</w:t>
      </w:r>
      <w:r w:rsidRPr="00BB3C30">
        <w:rPr>
          <w:rStyle w:val="eop"/>
          <w:rFonts w:asciiTheme="minorHAnsi" w:eastAsiaTheme="majorEastAsia" w:hAnsiTheme="minorHAnsi" w:cs="Segoe UI"/>
          <w:b/>
          <w:bCs/>
        </w:rPr>
        <w:t> </w:t>
      </w:r>
    </w:p>
    <w:p w14:paraId="23EDE287" w14:textId="77777777" w:rsidR="003F74D1" w:rsidRPr="00BB3C30" w:rsidRDefault="003F74D1" w:rsidP="00B3070A">
      <w:pPr>
        <w:pStyle w:val="paragraph"/>
        <w:spacing w:before="0" w:beforeAutospacing="0" w:after="0" w:afterAutospacing="0"/>
        <w:textAlignment w:val="baseline"/>
        <w:rPr>
          <w:rFonts w:asciiTheme="minorHAnsi" w:hAnsiTheme="minorHAnsi" w:cs="Segoe UI"/>
          <w:b/>
          <w:bCs/>
        </w:rPr>
      </w:pPr>
    </w:p>
    <w:p w14:paraId="37171560"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Levels of burnout</w:t>
      </w:r>
      <w:r w:rsidRPr="00BB3C30">
        <w:rPr>
          <w:rStyle w:val="eop"/>
          <w:rFonts w:asciiTheme="minorHAnsi" w:eastAsiaTheme="majorEastAsia" w:hAnsiTheme="minorHAnsi" w:cs="Segoe UI"/>
        </w:rPr>
        <w:t> </w:t>
      </w:r>
    </w:p>
    <w:p w14:paraId="3353639F"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0DFB7636" w14:textId="77777777" w:rsidR="003F74D1" w:rsidRPr="00BB3C30" w:rsidRDefault="00B3070A" w:rsidP="00B3070A">
      <w:pPr>
        <w:pStyle w:val="paragraph"/>
        <w:spacing w:before="0" w:beforeAutospacing="0" w:after="0" w:afterAutospacing="0"/>
        <w:textAlignment w:val="baseline"/>
        <w:rPr>
          <w:rStyle w:val="normaltextrun"/>
          <w:rFonts w:asciiTheme="minorHAnsi" w:eastAsiaTheme="majorEastAsia" w:hAnsiTheme="minorHAnsi" w:cs="Segoe UI"/>
        </w:rPr>
      </w:pPr>
      <w:r w:rsidRPr="00BB3C30">
        <w:rPr>
          <w:rStyle w:val="normaltextrun"/>
          <w:rFonts w:asciiTheme="minorHAnsi" w:eastAsiaTheme="majorEastAsia" w:hAnsiTheme="minorHAnsi" w:cs="Segoe UI"/>
        </w:rPr>
        <w:t>Number of hours worked</w:t>
      </w:r>
    </w:p>
    <w:p w14:paraId="0B9BD8EC" w14:textId="5CBB06A9"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74DD8F6D"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Staff-to-patient ratios</w:t>
      </w:r>
      <w:r w:rsidRPr="00BB3C30">
        <w:rPr>
          <w:rStyle w:val="eop"/>
          <w:rFonts w:asciiTheme="minorHAnsi" w:eastAsiaTheme="majorEastAsia" w:hAnsiTheme="minorHAnsi" w:cs="Segoe UI"/>
        </w:rPr>
        <w:t> </w:t>
      </w:r>
    </w:p>
    <w:p w14:paraId="1ECA94CC"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72D4438D"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Frequency of overtime</w:t>
      </w:r>
      <w:r w:rsidRPr="00BB3C30">
        <w:rPr>
          <w:rStyle w:val="eop"/>
          <w:rFonts w:asciiTheme="minorHAnsi" w:eastAsiaTheme="majorEastAsia" w:hAnsiTheme="minorHAnsi" w:cs="Segoe UI"/>
        </w:rPr>
        <w:t> </w:t>
      </w:r>
    </w:p>
    <w:p w14:paraId="54307B45"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62F5FA6E"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This helps identify how common burnout and staffing pressures are across different settings.</w:t>
      </w:r>
      <w:r w:rsidRPr="00BB3C30">
        <w:rPr>
          <w:rStyle w:val="eop"/>
          <w:rFonts w:asciiTheme="minorHAnsi" w:eastAsiaTheme="majorEastAsia" w:hAnsiTheme="minorHAnsi" w:cs="Segoe UI"/>
        </w:rPr>
        <w:t> </w:t>
      </w:r>
    </w:p>
    <w:p w14:paraId="65103B2E"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p>
    <w:p w14:paraId="11952B2D" w14:textId="01452D39" w:rsidR="00B3070A" w:rsidRPr="00BB3C30" w:rsidRDefault="00B3070A" w:rsidP="003F74D1">
      <w:pPr>
        <w:pStyle w:val="paragraph"/>
        <w:numPr>
          <w:ilvl w:val="0"/>
          <w:numId w:val="16"/>
        </w:numPr>
        <w:spacing w:before="0" w:beforeAutospacing="0" w:after="0" w:afterAutospacing="0"/>
        <w:textAlignment w:val="baseline"/>
        <w:rPr>
          <w:rFonts w:asciiTheme="minorHAnsi" w:hAnsiTheme="minorHAnsi" w:cs="Segoe UI"/>
          <w:b/>
          <w:bCs/>
        </w:rPr>
      </w:pPr>
      <w:r w:rsidRPr="00BB3C30">
        <w:rPr>
          <w:rStyle w:val="normaltextrun"/>
          <w:rFonts w:asciiTheme="minorHAnsi" w:eastAsiaTheme="majorEastAsia" w:hAnsiTheme="minorHAnsi" w:cs="Segoe UI"/>
          <w:b/>
          <w:bCs/>
        </w:rPr>
        <w:t>Qualitative data for understanding experiences</w:t>
      </w:r>
      <w:r w:rsidRPr="00BB3C30">
        <w:rPr>
          <w:rStyle w:val="eop"/>
          <w:rFonts w:asciiTheme="minorHAnsi" w:eastAsiaTheme="majorEastAsia" w:hAnsiTheme="minorHAnsi" w:cs="Segoe UI"/>
          <w:b/>
          <w:bCs/>
        </w:rPr>
        <w:t> </w:t>
      </w:r>
    </w:p>
    <w:p w14:paraId="22A60F54"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b/>
          <w:bCs/>
        </w:rPr>
        <w:t>Interviews or open-ended survey questions will explore:</w:t>
      </w:r>
      <w:r w:rsidRPr="00BB3C30">
        <w:rPr>
          <w:rStyle w:val="eop"/>
          <w:rFonts w:asciiTheme="minorHAnsi" w:eastAsiaTheme="majorEastAsia" w:hAnsiTheme="minorHAnsi" w:cs="Segoe UI"/>
        </w:rPr>
        <w:t> </w:t>
      </w:r>
    </w:p>
    <w:p w14:paraId="769AFB20"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57A6C2E9"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Personal experiences of stress</w:t>
      </w:r>
      <w:r w:rsidRPr="00BB3C30">
        <w:rPr>
          <w:rStyle w:val="eop"/>
          <w:rFonts w:asciiTheme="minorHAnsi" w:eastAsiaTheme="majorEastAsia" w:hAnsiTheme="minorHAnsi" w:cs="Segoe UI"/>
        </w:rPr>
        <w:t> </w:t>
      </w:r>
    </w:p>
    <w:p w14:paraId="63285B2E"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339043BB"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How shortages affect daily work</w:t>
      </w:r>
      <w:r w:rsidRPr="00BB3C30">
        <w:rPr>
          <w:rStyle w:val="eop"/>
          <w:rFonts w:asciiTheme="minorHAnsi" w:eastAsiaTheme="majorEastAsia" w:hAnsiTheme="minorHAnsi" w:cs="Segoe UI"/>
        </w:rPr>
        <w:t> </w:t>
      </w:r>
    </w:p>
    <w:p w14:paraId="6C62F4BE"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408323AB"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Factors that contribute to burnout</w:t>
      </w:r>
      <w:r w:rsidRPr="00BB3C30">
        <w:rPr>
          <w:rStyle w:val="eop"/>
          <w:rFonts w:asciiTheme="minorHAnsi" w:eastAsiaTheme="majorEastAsia" w:hAnsiTheme="minorHAnsi" w:cs="Segoe UI"/>
        </w:rPr>
        <w:t> </w:t>
      </w:r>
    </w:p>
    <w:p w14:paraId="53907BA6"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01FC1C95"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Coping strategies used by staff</w:t>
      </w:r>
      <w:r w:rsidRPr="00BB3C30">
        <w:rPr>
          <w:rStyle w:val="eop"/>
          <w:rFonts w:asciiTheme="minorHAnsi" w:eastAsiaTheme="majorEastAsia" w:hAnsiTheme="minorHAnsi" w:cs="Segoe UI"/>
        </w:rPr>
        <w:t> </w:t>
      </w:r>
    </w:p>
    <w:p w14:paraId="3FE14237"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3FB619C4"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lastRenderedPageBreak/>
        <w:t>This provides deeper insight into the causes and impacts of burnout that numbers alone cannot explain.</w:t>
      </w:r>
      <w:r w:rsidRPr="00BB3C30">
        <w:rPr>
          <w:rStyle w:val="eop"/>
          <w:rFonts w:asciiTheme="minorHAnsi" w:eastAsiaTheme="majorEastAsia" w:hAnsiTheme="minorHAnsi" w:cs="Segoe UI"/>
        </w:rPr>
        <w:t> </w:t>
      </w:r>
    </w:p>
    <w:p w14:paraId="4D4AE525" w14:textId="77777777" w:rsidR="003F74D1" w:rsidRPr="00BB3C30" w:rsidRDefault="003F74D1" w:rsidP="00B3070A">
      <w:pPr>
        <w:pStyle w:val="paragraph"/>
        <w:spacing w:before="0" w:beforeAutospacing="0" w:after="0" w:afterAutospacing="0"/>
        <w:textAlignment w:val="baseline"/>
        <w:rPr>
          <w:rStyle w:val="eop"/>
          <w:rFonts w:asciiTheme="minorHAnsi" w:eastAsiaTheme="majorEastAsia" w:hAnsiTheme="minorHAnsi" w:cs="Segoe UI"/>
        </w:rPr>
      </w:pPr>
    </w:p>
    <w:p w14:paraId="7F7B32A8"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48074041" w14:textId="52118121" w:rsidR="00B3070A" w:rsidRPr="00BB3C30" w:rsidRDefault="00B3070A" w:rsidP="003F74D1">
      <w:pPr>
        <w:pStyle w:val="paragraph"/>
        <w:numPr>
          <w:ilvl w:val="0"/>
          <w:numId w:val="16"/>
        </w:numPr>
        <w:spacing w:before="0" w:beforeAutospacing="0" w:after="0" w:afterAutospacing="0"/>
        <w:textAlignment w:val="baseline"/>
        <w:rPr>
          <w:rFonts w:asciiTheme="minorHAnsi" w:hAnsiTheme="minorHAnsi" w:cs="Segoe UI"/>
          <w:b/>
          <w:bCs/>
        </w:rPr>
      </w:pPr>
      <w:r w:rsidRPr="00BB3C30">
        <w:rPr>
          <w:rStyle w:val="normaltextrun"/>
          <w:rFonts w:asciiTheme="minorHAnsi" w:eastAsiaTheme="majorEastAsia" w:hAnsiTheme="minorHAnsi" w:cs="Segoe UI"/>
          <w:b/>
          <w:bCs/>
        </w:rPr>
        <w:t>Strength of combining both</w:t>
      </w:r>
      <w:r w:rsidRPr="00BB3C30">
        <w:rPr>
          <w:rStyle w:val="eop"/>
          <w:rFonts w:asciiTheme="minorHAnsi" w:eastAsiaTheme="majorEastAsia" w:hAnsiTheme="minorHAnsi" w:cs="Segoe UI"/>
          <w:b/>
          <w:bCs/>
        </w:rPr>
        <w:t> </w:t>
      </w:r>
    </w:p>
    <w:p w14:paraId="5938E576"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b/>
          <w:bCs/>
        </w:rPr>
      </w:pPr>
      <w:r w:rsidRPr="00BB3C30">
        <w:rPr>
          <w:rStyle w:val="normaltextrun"/>
          <w:rFonts w:asciiTheme="minorHAnsi" w:eastAsiaTheme="majorEastAsia" w:hAnsiTheme="minorHAnsi" w:cs="Segoe UI"/>
          <w:b/>
          <w:bCs/>
        </w:rPr>
        <w:t>Using both approaches together means the research can:</w:t>
      </w:r>
      <w:r w:rsidRPr="00BB3C30">
        <w:rPr>
          <w:rStyle w:val="eop"/>
          <w:rFonts w:asciiTheme="minorHAnsi" w:eastAsiaTheme="majorEastAsia" w:hAnsiTheme="minorHAnsi" w:cs="Segoe UI"/>
          <w:b/>
          <w:bCs/>
        </w:rPr>
        <w:t> </w:t>
      </w:r>
    </w:p>
    <w:p w14:paraId="55B59F2E"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76C7D6A0"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Measure the scale of the issue (quantitative)</w:t>
      </w:r>
      <w:r w:rsidRPr="00BB3C30">
        <w:rPr>
          <w:rStyle w:val="eop"/>
          <w:rFonts w:asciiTheme="minorHAnsi" w:eastAsiaTheme="majorEastAsia" w:hAnsiTheme="minorHAnsi" w:cs="Segoe UI"/>
        </w:rPr>
        <w:t> </w:t>
      </w:r>
    </w:p>
    <w:p w14:paraId="7A0D4426"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6B81B481"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Understand the reasons behind it (qualitative)</w:t>
      </w:r>
      <w:r w:rsidRPr="00BB3C30">
        <w:rPr>
          <w:rStyle w:val="eop"/>
          <w:rFonts w:asciiTheme="minorHAnsi" w:eastAsiaTheme="majorEastAsia" w:hAnsiTheme="minorHAnsi" w:cs="Segoe UI"/>
        </w:rPr>
        <w:t> </w:t>
      </w:r>
    </w:p>
    <w:p w14:paraId="0FA93185"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69F6A6C8"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Compare staff experiences with national workforce challenges</w:t>
      </w:r>
      <w:r w:rsidRPr="00BB3C30">
        <w:rPr>
          <w:rStyle w:val="eop"/>
          <w:rFonts w:asciiTheme="minorHAnsi" w:eastAsiaTheme="majorEastAsia" w:hAnsiTheme="minorHAnsi" w:cs="Segoe UI"/>
        </w:rPr>
        <w:t> </w:t>
      </w:r>
    </w:p>
    <w:p w14:paraId="3669327B"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7CC25AC4"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A mixed-methods approach is therefore suitable because it gives a balanced, reliable, and realistic picture of workforce pressures in health and social care.</w:t>
      </w:r>
      <w:r w:rsidRPr="00BB3C30">
        <w:rPr>
          <w:rStyle w:val="eop"/>
          <w:rFonts w:asciiTheme="minorHAnsi" w:eastAsiaTheme="majorEastAsia" w:hAnsiTheme="minorHAnsi" w:cs="Segoe UI"/>
        </w:rPr>
        <w:t> </w:t>
      </w:r>
    </w:p>
    <w:p w14:paraId="47211959"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This research will adopt a mixed-methods approach, combining quantitative surveys and qualitative interviews. Quantitative data will measure burnout prevalence and staffing pressures, while qualitative data will provide detailed insights into staff experiences. This approach allows a comprehensive understanding of both the scale and the causes of staff burnout and shortages.</w:t>
      </w:r>
      <w:r w:rsidRPr="00BB3C30">
        <w:rPr>
          <w:rStyle w:val="eop"/>
          <w:rFonts w:asciiTheme="minorHAnsi" w:eastAsiaTheme="majorEastAsia" w:hAnsiTheme="minorHAnsi" w:cs="Segoe UI"/>
        </w:rPr>
        <w:t> </w:t>
      </w:r>
    </w:p>
    <w:p w14:paraId="064363EE" w14:textId="77777777" w:rsidR="004468F8" w:rsidRPr="00BB3C30" w:rsidRDefault="004468F8">
      <w:pPr>
        <w:spacing w:line="360" w:lineRule="auto"/>
        <w:jc w:val="both"/>
        <w:rPr>
          <w:rFonts w:asciiTheme="minorHAnsi" w:eastAsia="Arial" w:hAnsiTheme="minorHAnsi" w:cs="Arial"/>
          <w:sz w:val="22"/>
          <w:szCs w:val="22"/>
        </w:rPr>
      </w:pPr>
    </w:p>
    <w:p w14:paraId="625D4667" w14:textId="77777777" w:rsidR="00530E16" w:rsidRPr="00BB3C30" w:rsidRDefault="004468F8">
      <w:pPr>
        <w:pStyle w:val="Heading1"/>
        <w:jc w:val="both"/>
        <w:rPr>
          <w:rFonts w:asciiTheme="minorHAnsi" w:hAnsiTheme="minorHAnsi"/>
        </w:rPr>
      </w:pPr>
      <w:bookmarkStart w:id="8" w:name="_Toc213674538"/>
      <w:r w:rsidRPr="00BB3C30">
        <w:rPr>
          <w:rFonts w:asciiTheme="minorHAnsi" w:hAnsiTheme="minorHAnsi"/>
        </w:rPr>
        <w:t>Task 3: Data Collection</w:t>
      </w:r>
      <w:bookmarkEnd w:id="8"/>
      <w:r w:rsidRPr="00BB3C30">
        <w:rPr>
          <w:rFonts w:asciiTheme="minorHAnsi" w:hAnsiTheme="minorHAnsi"/>
        </w:rPr>
        <w:t xml:space="preserve"> </w:t>
      </w:r>
    </w:p>
    <w:p w14:paraId="2F62BCF2" w14:textId="77777777" w:rsidR="004468F8" w:rsidRPr="00BB3C30" w:rsidRDefault="00BA0043" w:rsidP="004468F8">
      <w:pPr>
        <w:pStyle w:val="Heading2"/>
        <w:rPr>
          <w:rFonts w:asciiTheme="minorHAnsi" w:eastAsia="Aptos" w:hAnsiTheme="minorHAnsi"/>
          <w:lang w:eastAsia="en-US"/>
        </w:rPr>
      </w:pPr>
      <w:bookmarkStart w:id="9" w:name="_Toc213674539"/>
      <w:r w:rsidRPr="00BB3C30">
        <w:rPr>
          <w:rFonts w:asciiTheme="minorHAnsi" w:eastAsia="Aptos" w:hAnsiTheme="minorHAnsi"/>
          <w:lang w:eastAsia="en-US"/>
        </w:rPr>
        <w:t>Overview of primary and secondary data collection</w:t>
      </w:r>
      <w:bookmarkEnd w:id="9"/>
    </w:p>
    <w:p w14:paraId="5C48C742" w14:textId="77777777" w:rsidR="00FE681A" w:rsidRPr="00BB3C30" w:rsidRDefault="00FE681A" w:rsidP="00FE681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b/>
          <w:bCs/>
        </w:rPr>
        <w:t>Primary Data:</w:t>
      </w:r>
      <w:r w:rsidRPr="00BB3C30">
        <w:rPr>
          <w:rStyle w:val="eop"/>
          <w:rFonts w:asciiTheme="minorHAnsi" w:eastAsiaTheme="majorEastAsia" w:hAnsiTheme="minorHAnsi" w:cs="Segoe UI"/>
        </w:rPr>
        <w:t> </w:t>
      </w:r>
    </w:p>
    <w:p w14:paraId="6F11133A" w14:textId="77777777" w:rsidR="00FE681A" w:rsidRPr="00BB3C30" w:rsidRDefault="00FE681A" w:rsidP="00FE681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Surveys and interviews with staff members to collect current and specific information (HEE, 2020).</w:t>
      </w:r>
      <w:r w:rsidRPr="00BB3C30">
        <w:rPr>
          <w:rStyle w:val="eop"/>
          <w:rFonts w:asciiTheme="minorHAnsi" w:eastAsiaTheme="majorEastAsia" w:hAnsiTheme="minorHAnsi" w:cs="Segoe UI"/>
        </w:rPr>
        <w:t> </w:t>
      </w:r>
    </w:p>
    <w:p w14:paraId="7D1B999E" w14:textId="77777777" w:rsidR="00FE681A" w:rsidRPr="00BB3C30" w:rsidRDefault="00FE681A" w:rsidP="00FE681A">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26E144DA" w14:textId="77777777" w:rsidR="00FE681A" w:rsidRPr="00BB3C30" w:rsidRDefault="00FE681A" w:rsidP="00FE681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b/>
          <w:bCs/>
        </w:rPr>
        <w:t>Secondary Data:</w:t>
      </w:r>
      <w:r w:rsidRPr="00BB3C30">
        <w:rPr>
          <w:rStyle w:val="eop"/>
          <w:rFonts w:asciiTheme="minorHAnsi" w:eastAsiaTheme="majorEastAsia" w:hAnsiTheme="minorHAnsi" w:cs="Segoe UI"/>
        </w:rPr>
        <w:t> </w:t>
      </w:r>
    </w:p>
    <w:p w14:paraId="2B1B1BD0" w14:textId="77777777" w:rsidR="00FE681A" w:rsidRPr="00BB3C30" w:rsidRDefault="00FE681A" w:rsidP="00FE681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Reports, academic publications, and official statistics to provide national context (CQC, 2023; Skills for Care, 2023).</w:t>
      </w:r>
      <w:r w:rsidRPr="00BB3C30">
        <w:rPr>
          <w:rStyle w:val="eop"/>
          <w:rFonts w:asciiTheme="minorHAnsi" w:eastAsiaTheme="majorEastAsia" w:hAnsiTheme="minorHAnsi" w:cs="Segoe UI"/>
        </w:rPr>
        <w:t> </w:t>
      </w:r>
    </w:p>
    <w:p w14:paraId="4A06D261" w14:textId="77777777" w:rsidR="00FE681A" w:rsidRPr="00BB3C30" w:rsidRDefault="00FE681A" w:rsidP="00FE681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Using both types of data strengthens the research, ensuring that findings are valid and supported (DHSC, 2021; GMC, 2024).</w:t>
      </w:r>
      <w:r w:rsidRPr="00BB3C30">
        <w:rPr>
          <w:rStyle w:val="eop"/>
          <w:rFonts w:asciiTheme="minorHAnsi" w:eastAsiaTheme="majorEastAsia" w:hAnsiTheme="minorHAnsi" w:cs="Segoe UI"/>
        </w:rPr>
        <w:t> </w:t>
      </w:r>
    </w:p>
    <w:p w14:paraId="06903DA5" w14:textId="77777777" w:rsidR="004468F8" w:rsidRPr="00BB3C30" w:rsidRDefault="004468F8" w:rsidP="004468F8">
      <w:pPr>
        <w:rPr>
          <w:rFonts w:asciiTheme="minorHAnsi" w:hAnsiTheme="minorHAnsi"/>
          <w:lang w:eastAsia="en-US"/>
        </w:rPr>
      </w:pPr>
    </w:p>
    <w:p w14:paraId="6699907F" w14:textId="77777777" w:rsidR="004468F8" w:rsidRPr="00BB3C30" w:rsidRDefault="004468F8" w:rsidP="004468F8">
      <w:pPr>
        <w:rPr>
          <w:rFonts w:asciiTheme="minorHAnsi" w:hAnsiTheme="minorHAnsi"/>
          <w:lang w:eastAsia="en-US"/>
        </w:rPr>
      </w:pPr>
    </w:p>
    <w:p w14:paraId="2C4942C3" w14:textId="77777777" w:rsidR="004468F8" w:rsidRPr="00BB3C30" w:rsidRDefault="004468F8" w:rsidP="004468F8">
      <w:pPr>
        <w:pStyle w:val="Heading2"/>
        <w:rPr>
          <w:rFonts w:asciiTheme="minorHAnsi" w:eastAsia="Aptos" w:hAnsiTheme="minorHAnsi"/>
          <w:lang w:eastAsia="en-US"/>
        </w:rPr>
      </w:pPr>
      <w:bookmarkStart w:id="10" w:name="_Toc213674540"/>
      <w:r w:rsidRPr="00BB3C30">
        <w:rPr>
          <w:rFonts w:asciiTheme="minorHAnsi" w:eastAsia="Aptos" w:hAnsiTheme="minorHAnsi"/>
          <w:lang w:eastAsia="en-US"/>
        </w:rPr>
        <w:t>What form of data will be used to address your research problem, and why?</w:t>
      </w:r>
      <w:bookmarkEnd w:id="10"/>
    </w:p>
    <w:p w14:paraId="2A8CE076"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This research will use both primary and secondary data to understand how staff shortages contribute to burnout in UK health and social care settings.</w:t>
      </w:r>
      <w:r w:rsidRPr="00BB3C30">
        <w:rPr>
          <w:rStyle w:val="eop"/>
          <w:rFonts w:asciiTheme="minorHAnsi" w:eastAsiaTheme="majorEastAsia" w:hAnsiTheme="minorHAnsi" w:cs="Arial"/>
          <w:color w:val="000000"/>
        </w:rPr>
        <w:t> </w:t>
      </w:r>
    </w:p>
    <w:p w14:paraId="798BCC3B"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0326F613" w14:textId="3D06C5B8"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lastRenderedPageBreak/>
        <w:t xml:space="preserve">Primary data will come directly from workers through questionnaires or interviews. This data is useful because it captures the real experiences of staff working under pressure. It helps show how shortages affect workload, stress, motivation, and overall </w:t>
      </w:r>
      <w:r w:rsidR="001035CC" w:rsidRPr="00BB3C30">
        <w:rPr>
          <w:rStyle w:val="normaltextrun"/>
          <w:rFonts w:asciiTheme="minorHAnsi" w:eastAsiaTheme="majorEastAsia" w:hAnsiTheme="minorHAnsi" w:cs="Arial"/>
          <w:color w:val="000000"/>
        </w:rPr>
        <w:t>well-being</w:t>
      </w:r>
      <w:r w:rsidRPr="00BB3C30">
        <w:rPr>
          <w:rStyle w:val="normaltextrun"/>
          <w:rFonts w:asciiTheme="minorHAnsi" w:eastAsiaTheme="majorEastAsia" w:hAnsiTheme="minorHAnsi" w:cs="Arial"/>
          <w:color w:val="000000"/>
        </w:rPr>
        <w:t>.</w:t>
      </w:r>
      <w:r w:rsidRPr="00BB3C30">
        <w:rPr>
          <w:rStyle w:val="eop"/>
          <w:rFonts w:asciiTheme="minorHAnsi" w:eastAsiaTheme="majorEastAsia" w:hAnsiTheme="minorHAnsi" w:cs="Arial"/>
          <w:color w:val="000000"/>
        </w:rPr>
        <w:t> </w:t>
      </w:r>
    </w:p>
    <w:p w14:paraId="08BAF1BA"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06D8103E"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Secondary data will be collected from published reports, national workforce documents, and policy sources. These materials highlight wider national trends in staffing, recruitment, and retention (HEE, 2020; DHSC, 2021). Secondary data also helps compare local findings with what is happening across the country.</w:t>
      </w:r>
      <w:r w:rsidRPr="00BB3C30">
        <w:rPr>
          <w:rStyle w:val="eop"/>
          <w:rFonts w:asciiTheme="minorHAnsi" w:eastAsiaTheme="majorEastAsia" w:hAnsiTheme="minorHAnsi" w:cs="Arial"/>
          <w:color w:val="000000"/>
        </w:rPr>
        <w:t> </w:t>
      </w:r>
    </w:p>
    <w:p w14:paraId="29F3D050"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098B67AF"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Using both types of data allows the study to combine personal experiences with national evidence, creating a more complete picture.</w:t>
      </w:r>
      <w:r w:rsidRPr="00BB3C30">
        <w:rPr>
          <w:rStyle w:val="eop"/>
          <w:rFonts w:asciiTheme="minorHAnsi" w:eastAsiaTheme="majorEastAsia" w:hAnsiTheme="minorHAnsi" w:cs="Arial"/>
          <w:color w:val="000000"/>
        </w:rPr>
        <w:t> </w:t>
      </w:r>
    </w:p>
    <w:p w14:paraId="44155042"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00B4C9D9"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32B04374"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b/>
          <w:bCs/>
          <w:color w:val="000000"/>
        </w:rPr>
        <w:t>UK Case Studies</w:t>
      </w:r>
      <w:r w:rsidRPr="00BB3C30">
        <w:rPr>
          <w:rStyle w:val="eop"/>
          <w:rFonts w:asciiTheme="minorHAnsi" w:eastAsiaTheme="majorEastAsia" w:hAnsiTheme="minorHAnsi" w:cs="Arial"/>
          <w:color w:val="000000"/>
        </w:rPr>
        <w:t> </w:t>
      </w:r>
    </w:p>
    <w:p w14:paraId="2F1886C5"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5AF6F970"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To support the research, the study will also draw on UK case studies that show the impact of staff shortages in real settings:</w:t>
      </w:r>
      <w:r w:rsidRPr="00BB3C30">
        <w:rPr>
          <w:rStyle w:val="eop"/>
          <w:rFonts w:asciiTheme="minorHAnsi" w:eastAsiaTheme="majorEastAsia" w:hAnsiTheme="minorHAnsi" w:cs="Arial"/>
          <w:color w:val="000000"/>
        </w:rPr>
        <w:t> </w:t>
      </w:r>
    </w:p>
    <w:p w14:paraId="4FCC12EB"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2FE9FA1"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b/>
          <w:bCs/>
          <w:color w:val="000000"/>
        </w:rPr>
        <w:t>1. NHS Nursing Shortages</w:t>
      </w:r>
      <w:r w:rsidRPr="00BB3C30">
        <w:rPr>
          <w:rStyle w:val="eop"/>
          <w:rFonts w:asciiTheme="minorHAnsi" w:eastAsiaTheme="majorEastAsia" w:hAnsiTheme="minorHAnsi" w:cs="Arial"/>
          <w:color w:val="000000"/>
        </w:rPr>
        <w:t> </w:t>
      </w:r>
    </w:p>
    <w:p w14:paraId="5D3ED0A8"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Reports show that nurses often face heavy workloads and increased administrative pressure. These factors contribute to burnout and higher staff turnover, reducing the stability of patient care services (RCN, 2022).</w:t>
      </w:r>
      <w:r w:rsidRPr="00BB3C30">
        <w:rPr>
          <w:rStyle w:val="eop"/>
          <w:rFonts w:asciiTheme="minorHAnsi" w:eastAsiaTheme="majorEastAsia" w:hAnsiTheme="minorHAnsi" w:cs="Arial"/>
          <w:color w:val="000000"/>
        </w:rPr>
        <w:t> </w:t>
      </w:r>
    </w:p>
    <w:p w14:paraId="4DD7AFD2"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680EF9E"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7B75628D"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b/>
          <w:bCs/>
          <w:color w:val="000000"/>
        </w:rPr>
        <w:t>2. Adult Social Care Services</w:t>
      </w:r>
      <w:r w:rsidRPr="00BB3C30">
        <w:rPr>
          <w:rStyle w:val="eop"/>
          <w:rFonts w:asciiTheme="minorHAnsi" w:eastAsiaTheme="majorEastAsia" w:hAnsiTheme="minorHAnsi" w:cs="Arial"/>
          <w:color w:val="000000"/>
        </w:rPr>
        <w:t> </w:t>
      </w:r>
    </w:p>
    <w:p w14:paraId="6152B97A"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Staff shortages in social care have resulted in missed home visits, shorter appointments, and inconsistent support for service users. This places additional emotional and physical strain on workers (CQC, 2023).</w:t>
      </w:r>
      <w:r w:rsidRPr="00BB3C30">
        <w:rPr>
          <w:rStyle w:val="eop"/>
          <w:rFonts w:asciiTheme="minorHAnsi" w:eastAsiaTheme="majorEastAsia" w:hAnsiTheme="minorHAnsi" w:cs="Arial"/>
          <w:color w:val="000000"/>
        </w:rPr>
        <w:t> </w:t>
      </w:r>
    </w:p>
    <w:p w14:paraId="3DA259B5"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18584D2C"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0E95515A"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b/>
          <w:bCs/>
          <w:color w:val="000000"/>
        </w:rPr>
        <w:t>3. Early-Career Doctors</w:t>
      </w:r>
      <w:r w:rsidRPr="00BB3C30">
        <w:rPr>
          <w:rStyle w:val="eop"/>
          <w:rFonts w:asciiTheme="minorHAnsi" w:eastAsiaTheme="majorEastAsia" w:hAnsiTheme="minorHAnsi" w:cs="Arial"/>
          <w:color w:val="000000"/>
        </w:rPr>
        <w:t> </w:t>
      </w:r>
    </w:p>
    <w:p w14:paraId="115E9E4C"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Data from the GMC shows that 24% of early-career doctors are at high risk of burnout. This raises concerns about future workforce sustainability and patient safety (GMC, 2024).</w:t>
      </w:r>
      <w:r w:rsidRPr="00BB3C30">
        <w:rPr>
          <w:rStyle w:val="eop"/>
          <w:rFonts w:asciiTheme="minorHAnsi" w:eastAsiaTheme="majorEastAsia" w:hAnsiTheme="minorHAnsi" w:cs="Arial"/>
          <w:color w:val="000000"/>
        </w:rPr>
        <w:t> </w:t>
      </w:r>
    </w:p>
    <w:p w14:paraId="75EB90B7"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91BA4C7"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48D6080"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b/>
          <w:bCs/>
          <w:color w:val="000000"/>
        </w:rPr>
        <w:t>4. Mental Health Services</w:t>
      </w:r>
      <w:r w:rsidRPr="00BB3C30">
        <w:rPr>
          <w:rStyle w:val="eop"/>
          <w:rFonts w:asciiTheme="minorHAnsi" w:eastAsiaTheme="majorEastAsia" w:hAnsiTheme="minorHAnsi" w:cs="Arial"/>
          <w:color w:val="000000"/>
        </w:rPr>
        <w:t> </w:t>
      </w:r>
    </w:p>
    <w:p w14:paraId="1EBBF228"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Workforce reports highlight turnover rates above 40% in some mental health services. High demand and low staffing leave workers overstretched, increasing stress and reducing service quality (AMHP, 2024).</w:t>
      </w:r>
      <w:r w:rsidRPr="00BB3C30">
        <w:rPr>
          <w:rStyle w:val="eop"/>
          <w:rFonts w:asciiTheme="minorHAnsi" w:eastAsiaTheme="majorEastAsia" w:hAnsiTheme="minorHAnsi" w:cs="Arial"/>
          <w:color w:val="000000"/>
        </w:rPr>
        <w:t> </w:t>
      </w:r>
    </w:p>
    <w:p w14:paraId="2B45B256"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2BD763DC"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011EC7DE"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b/>
          <w:bCs/>
          <w:color w:val="000000"/>
        </w:rPr>
        <w:t>5. Care Home Managers</w:t>
      </w:r>
      <w:r w:rsidRPr="00BB3C30">
        <w:rPr>
          <w:rStyle w:val="eop"/>
          <w:rFonts w:asciiTheme="minorHAnsi" w:eastAsiaTheme="majorEastAsia" w:hAnsiTheme="minorHAnsi" w:cs="Arial"/>
          <w:color w:val="000000"/>
        </w:rPr>
        <w:t> </w:t>
      </w:r>
    </w:p>
    <w:p w14:paraId="14E63411"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Vacancy rates of around 11.4% mean managers have less support for supervising teams. This creates stress for both managers and frontline staff and affects the day-to-day running of care homes (CQC, 2023).</w:t>
      </w:r>
      <w:r w:rsidRPr="00BB3C30">
        <w:rPr>
          <w:rStyle w:val="eop"/>
          <w:rFonts w:asciiTheme="minorHAnsi" w:eastAsiaTheme="majorEastAsia" w:hAnsiTheme="minorHAnsi" w:cs="Arial"/>
          <w:color w:val="000000"/>
        </w:rPr>
        <w:t> </w:t>
      </w:r>
    </w:p>
    <w:p w14:paraId="5E682E4A"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lastRenderedPageBreak/>
        <w:t> </w:t>
      </w:r>
    </w:p>
    <w:p w14:paraId="5DC4C87A"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14BCE94" w14:textId="77777777" w:rsidR="0043151C" w:rsidRPr="00BB3C30" w:rsidRDefault="0043151C" w:rsidP="0043151C">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These case studies demonstrate how staff shortages directly contribute to increased burnout and reduced quality of care. They support the need for both primary and secondary data to fully address the research problem.</w:t>
      </w:r>
      <w:r w:rsidRPr="00BB3C30">
        <w:rPr>
          <w:rStyle w:val="eop"/>
          <w:rFonts w:asciiTheme="minorHAnsi" w:eastAsiaTheme="majorEastAsia" w:hAnsiTheme="minorHAnsi" w:cs="Arial"/>
          <w:color w:val="000000"/>
        </w:rPr>
        <w:t> </w:t>
      </w:r>
    </w:p>
    <w:p w14:paraId="342E2475" w14:textId="77777777" w:rsidR="004468F8" w:rsidRPr="00BB3C30" w:rsidRDefault="004468F8" w:rsidP="004468F8">
      <w:pPr>
        <w:rPr>
          <w:rFonts w:asciiTheme="minorHAnsi" w:hAnsiTheme="minorHAnsi"/>
        </w:rPr>
      </w:pPr>
    </w:p>
    <w:p w14:paraId="69395C7E" w14:textId="77777777" w:rsidR="00530E16" w:rsidRPr="00BB3C30" w:rsidRDefault="004468F8">
      <w:pPr>
        <w:pStyle w:val="Heading1"/>
        <w:jc w:val="both"/>
        <w:rPr>
          <w:rFonts w:asciiTheme="minorHAnsi" w:hAnsiTheme="minorHAnsi"/>
        </w:rPr>
      </w:pPr>
      <w:bookmarkStart w:id="11" w:name="_Toc213674541"/>
      <w:r w:rsidRPr="00BB3C30">
        <w:rPr>
          <w:rFonts w:asciiTheme="minorHAnsi" w:hAnsiTheme="minorHAnsi"/>
        </w:rPr>
        <w:t>Conclusion</w:t>
      </w:r>
      <w:bookmarkEnd w:id="11"/>
    </w:p>
    <w:p w14:paraId="5D85EAEE" w14:textId="77777777" w:rsidR="00EE1AD3" w:rsidRPr="00BB3C30" w:rsidRDefault="00EE1AD3" w:rsidP="00EE1AD3">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Staff shortages and burnout are pressing issues in UK health and social care. High workloads, emotional pressure, and limited support contribute to stress, absenteeism, and staff turnover. Patients experience delays and reduced-quality care, while organisations face higher costs and challenges in maintaining standards (CQC, 2023; RCN, 2022).</w:t>
      </w:r>
      <w:r w:rsidRPr="00BB3C30">
        <w:rPr>
          <w:rStyle w:val="eop"/>
          <w:rFonts w:asciiTheme="minorHAnsi" w:eastAsiaTheme="majorEastAsia" w:hAnsiTheme="minorHAnsi" w:cs="Segoe UI"/>
        </w:rPr>
        <w:t> </w:t>
      </w:r>
    </w:p>
    <w:p w14:paraId="75929090" w14:textId="77777777" w:rsidR="00EE1AD3" w:rsidRPr="00BB3C30" w:rsidRDefault="00EE1AD3" w:rsidP="00EE1AD3">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12C0D7EE" w14:textId="77777777" w:rsidR="00EE1AD3" w:rsidRPr="00BB3C30" w:rsidRDefault="00EE1AD3" w:rsidP="00EE1AD3">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A mixed-methods approach using surveys, interviews, and secondary data will provide evidence to support staff wellbeing, workforce planning, and service improvement. Key recommendations include flexible working arrangements, mental health support, and workforce sustainability strategies (DHSC, 2021; NHS England, 2023).</w:t>
      </w:r>
      <w:r w:rsidRPr="00BB3C30">
        <w:rPr>
          <w:rStyle w:val="eop"/>
          <w:rFonts w:asciiTheme="minorHAnsi" w:eastAsiaTheme="majorEastAsia" w:hAnsiTheme="minorHAnsi" w:cs="Segoe UI"/>
        </w:rPr>
        <w:t> </w:t>
      </w:r>
    </w:p>
    <w:p w14:paraId="4714BBB0" w14:textId="77777777" w:rsidR="004468F8" w:rsidRPr="00BB3C30" w:rsidRDefault="004468F8" w:rsidP="004468F8">
      <w:pPr>
        <w:rPr>
          <w:rFonts w:asciiTheme="minorHAnsi" w:hAnsiTheme="minorHAnsi"/>
        </w:rPr>
      </w:pPr>
    </w:p>
    <w:p w14:paraId="0171355E" w14:textId="77777777" w:rsidR="00530E16" w:rsidRPr="00BB3C30" w:rsidRDefault="004468F8">
      <w:pPr>
        <w:pStyle w:val="Heading1"/>
        <w:rPr>
          <w:rFonts w:asciiTheme="minorHAnsi" w:hAnsiTheme="minorHAnsi"/>
        </w:rPr>
      </w:pPr>
      <w:bookmarkStart w:id="12" w:name="_Toc213674542"/>
      <w:r w:rsidRPr="00BB3C30">
        <w:rPr>
          <w:rFonts w:asciiTheme="minorHAnsi" w:hAnsiTheme="minorHAnsi"/>
        </w:rPr>
        <w:t>References</w:t>
      </w:r>
      <w:bookmarkEnd w:id="12"/>
    </w:p>
    <w:p w14:paraId="5DF63EE0"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Buchan, J. et al. (2019) A critical moment: NHS staffing trends, retention and attrition. London: The Health Foundation.</w:t>
      </w:r>
      <w:r w:rsidRPr="00BB3C30">
        <w:rPr>
          <w:rStyle w:val="eop"/>
          <w:rFonts w:asciiTheme="minorHAnsi" w:eastAsiaTheme="majorEastAsia" w:hAnsiTheme="minorHAnsi" w:cs="Arial"/>
          <w:color w:val="000000"/>
        </w:rPr>
        <w:t> </w:t>
      </w:r>
    </w:p>
    <w:p w14:paraId="4AD70BF7"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36F2CE7C"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Care Quality Commission (CQC) (2023) The state of health care and adult social care in England 2022/23. Newcastle upon Tyne: CQC. Available at: https://www.cqc.org.uk (Accessed: 28 November 2025).</w:t>
      </w:r>
      <w:r w:rsidRPr="00BB3C30">
        <w:rPr>
          <w:rStyle w:val="eop"/>
          <w:rFonts w:asciiTheme="minorHAnsi" w:eastAsiaTheme="majorEastAsia" w:hAnsiTheme="minorHAnsi" w:cs="Arial"/>
          <w:color w:val="000000"/>
        </w:rPr>
        <w:t> </w:t>
      </w:r>
    </w:p>
    <w:p w14:paraId="1BE83707"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3693C210"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Department of Health and Social Care (DHSC) (2021) People at the Heart of Care: Adult Social Care Reform White Paper. London: DHSC. Available at: https://www.gov.uk/government/publications (Accessed: 28 November 2025).</w:t>
      </w:r>
      <w:r w:rsidRPr="00BB3C30">
        <w:rPr>
          <w:rStyle w:val="eop"/>
          <w:rFonts w:asciiTheme="minorHAnsi" w:eastAsiaTheme="majorEastAsia" w:hAnsiTheme="minorHAnsi" w:cs="Arial"/>
          <w:color w:val="000000"/>
        </w:rPr>
        <w:t> </w:t>
      </w:r>
    </w:p>
    <w:p w14:paraId="5D88B455"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07AF685"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Health Education England (HEE) (2020) The future NHS workforce: A digital vision. London: HEE. Available at: https://www.hee.nhs.uk (Accessed: 28 November 2025).</w:t>
      </w:r>
      <w:r w:rsidRPr="00BB3C30">
        <w:rPr>
          <w:rStyle w:val="eop"/>
          <w:rFonts w:asciiTheme="minorHAnsi" w:eastAsiaTheme="majorEastAsia" w:hAnsiTheme="minorHAnsi" w:cs="Arial"/>
          <w:color w:val="000000"/>
        </w:rPr>
        <w:t> </w:t>
      </w:r>
    </w:p>
    <w:p w14:paraId="68503DC1"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95E1577"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House of Commons Health and Social Care Committee (2022) Workforce: Recruitment, training and retention in health and social care. London: House of Commons. Available at: https://committees.parliament.uk (Accessed: 28 November 2025).</w:t>
      </w:r>
      <w:r w:rsidRPr="00BB3C30">
        <w:rPr>
          <w:rStyle w:val="eop"/>
          <w:rFonts w:asciiTheme="minorHAnsi" w:eastAsiaTheme="majorEastAsia" w:hAnsiTheme="minorHAnsi" w:cs="Arial"/>
          <w:color w:val="000000"/>
        </w:rPr>
        <w:t> </w:t>
      </w:r>
    </w:p>
    <w:p w14:paraId="596A55D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5F6BEA40"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King’s Fund (2022) NHS workforce: Key issues and challenges. London: King’s Fund. Available at: https://www.kingsfund.org.uk (Accessed: 29 November 2025).</w:t>
      </w:r>
      <w:r w:rsidRPr="00BB3C30">
        <w:rPr>
          <w:rStyle w:val="eop"/>
          <w:rFonts w:asciiTheme="minorHAnsi" w:eastAsiaTheme="majorEastAsia" w:hAnsiTheme="minorHAnsi" w:cs="Arial"/>
          <w:color w:val="000000"/>
        </w:rPr>
        <w:t> </w:t>
      </w:r>
    </w:p>
    <w:p w14:paraId="4A068E9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7898FB90"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lastRenderedPageBreak/>
        <w:t>Mental Health Foundation (2020) Burnout: Risk factors and prevention. London: Mental Health Foundation. Available at: https://www.mentalhealth.org.uk (Accessed: 29 November 2025).</w:t>
      </w:r>
      <w:r w:rsidRPr="00BB3C30">
        <w:rPr>
          <w:rStyle w:val="eop"/>
          <w:rFonts w:asciiTheme="minorHAnsi" w:eastAsiaTheme="majorEastAsia" w:hAnsiTheme="minorHAnsi" w:cs="Arial"/>
          <w:color w:val="000000"/>
        </w:rPr>
        <w:t> </w:t>
      </w:r>
    </w:p>
    <w:p w14:paraId="1FF7B2CF"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7C936D7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NHS England (2023) NHS Long Term Workforce Plan. Leeds: NHS England. Available at: https://www.england.nhs.uk (Accessed: 28 November 2025).</w:t>
      </w:r>
      <w:r w:rsidRPr="00BB3C30">
        <w:rPr>
          <w:rStyle w:val="eop"/>
          <w:rFonts w:asciiTheme="minorHAnsi" w:eastAsiaTheme="majorEastAsia" w:hAnsiTheme="minorHAnsi" w:cs="Arial"/>
          <w:color w:val="000000"/>
        </w:rPr>
        <w:t> </w:t>
      </w:r>
    </w:p>
    <w:p w14:paraId="3EDB45E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7D15501C"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Royal College of Nursing (RCN) (2022) Nursing workforce shortages: The urgent need for action. London: RCN. Available at: https://www.rcn.org.uk (Accessed: 29 November 2025).</w:t>
      </w:r>
      <w:r w:rsidRPr="00BB3C30">
        <w:rPr>
          <w:rStyle w:val="eop"/>
          <w:rFonts w:asciiTheme="minorHAnsi" w:eastAsiaTheme="majorEastAsia" w:hAnsiTheme="minorHAnsi" w:cs="Arial"/>
          <w:color w:val="000000"/>
        </w:rPr>
        <w:t> </w:t>
      </w:r>
    </w:p>
    <w:p w14:paraId="35AF2DEB"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1C817201"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Skills for Care (2023) The state of the adult social care sector and workforce in England 2023. Leeds: Skills for Care. Available at: https://www.skillsforcare.org.uk (Accessed: 29 November 2025).</w:t>
      </w:r>
      <w:r w:rsidRPr="00BB3C30">
        <w:rPr>
          <w:rStyle w:val="eop"/>
          <w:rFonts w:asciiTheme="minorHAnsi" w:eastAsiaTheme="majorEastAsia" w:hAnsiTheme="minorHAnsi" w:cs="Arial"/>
          <w:color w:val="000000"/>
        </w:rPr>
        <w:t> </w:t>
      </w:r>
    </w:p>
    <w:p w14:paraId="2CFF5DD7"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5BBFD3E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General Medical Council (GMC) (2024) Workplace and training experiences survey. London: GMC. Available at: https://www.gmc-uk.org (Accessed: 28 November 2025).</w:t>
      </w:r>
      <w:r w:rsidRPr="00BB3C30">
        <w:rPr>
          <w:rStyle w:val="eop"/>
          <w:rFonts w:asciiTheme="minorHAnsi" w:eastAsiaTheme="majorEastAsia" w:hAnsiTheme="minorHAnsi" w:cs="Arial"/>
          <w:color w:val="000000"/>
        </w:rPr>
        <w:t> </w:t>
      </w:r>
    </w:p>
    <w:p w14:paraId="693113BE"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1ACF3D29"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World Health Organization (WHO) (2019) Burn-out an “occupational phenomenon”: International Classification of Diseases. Geneva: WHO. Available at: https://www.who.int (Accessed: 28 November 2025).</w:t>
      </w:r>
      <w:r w:rsidRPr="00BB3C30">
        <w:rPr>
          <w:rStyle w:val="eop"/>
          <w:rFonts w:asciiTheme="minorHAnsi" w:eastAsiaTheme="majorEastAsia" w:hAnsiTheme="minorHAnsi" w:cs="Arial"/>
          <w:color w:val="000000"/>
        </w:rPr>
        <w:t> </w:t>
      </w:r>
    </w:p>
    <w:p w14:paraId="1B6A1F45"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513E5795"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Association of Mental Health Providers (AMHP) (2024) Workforce pressures in mental health services. London: AMHP. Available at: https://www.amhp.org.uk (Accessed: 29 November 2025).</w:t>
      </w:r>
      <w:r w:rsidRPr="00BB3C30">
        <w:rPr>
          <w:rStyle w:val="eop"/>
          <w:rFonts w:asciiTheme="minorHAnsi" w:eastAsiaTheme="majorEastAsia" w:hAnsiTheme="minorHAnsi" w:cs="Arial"/>
          <w:color w:val="000000"/>
        </w:rPr>
        <w:t> </w:t>
      </w:r>
    </w:p>
    <w:p w14:paraId="5FB2CDD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F19163C" w14:textId="3FD809A1" w:rsidR="00530E16" w:rsidRPr="00BB3C30" w:rsidRDefault="00530E16" w:rsidP="00201EA1">
      <w:pPr>
        <w:rPr>
          <w:rFonts w:asciiTheme="minorHAnsi" w:eastAsia="Arial" w:hAnsiTheme="minorHAnsi" w:cs="Arial"/>
          <w:color w:val="FF0000"/>
        </w:rPr>
      </w:pPr>
    </w:p>
    <w:sectPr w:rsidR="00530E16" w:rsidRPr="00BB3C30"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292AA4" w14:textId="77777777" w:rsidR="0043270D" w:rsidRDefault="0043270D" w:rsidP="002A1842">
      <w:pPr>
        <w:spacing w:after="0" w:line="240" w:lineRule="auto"/>
      </w:pPr>
      <w:r>
        <w:separator/>
      </w:r>
    </w:p>
  </w:endnote>
  <w:endnote w:type="continuationSeparator" w:id="0">
    <w:p w14:paraId="7A273360" w14:textId="77777777" w:rsidR="0043270D" w:rsidRDefault="0043270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3C706D1"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55D5A23"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C01CD3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7C2AAD70"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48D55" w14:textId="77777777" w:rsidR="0043270D" w:rsidRDefault="0043270D" w:rsidP="002A1842">
      <w:pPr>
        <w:spacing w:after="0" w:line="240" w:lineRule="auto"/>
      </w:pPr>
      <w:r>
        <w:separator/>
      </w:r>
    </w:p>
  </w:footnote>
  <w:footnote w:type="continuationSeparator" w:id="0">
    <w:p w14:paraId="579F82D3" w14:textId="77777777" w:rsidR="0043270D" w:rsidRDefault="0043270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4D84E1A"/>
    <w:multiLevelType w:val="multilevel"/>
    <w:tmpl w:val="F6E430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B616BC"/>
    <w:multiLevelType w:val="multilevel"/>
    <w:tmpl w:val="C20856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2C3ACF"/>
    <w:multiLevelType w:val="multilevel"/>
    <w:tmpl w:val="D35C27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37A27974"/>
    <w:multiLevelType w:val="multilevel"/>
    <w:tmpl w:val="34FE5A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180EEB"/>
    <w:multiLevelType w:val="multilevel"/>
    <w:tmpl w:val="FC749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7F4254"/>
    <w:multiLevelType w:val="multilevel"/>
    <w:tmpl w:val="913AF7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6E4A6DB2"/>
    <w:multiLevelType w:val="hybridMultilevel"/>
    <w:tmpl w:val="5470C29A"/>
    <w:lvl w:ilvl="0" w:tplc="C5F8697C">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7F681BA7"/>
    <w:multiLevelType w:val="multilevel"/>
    <w:tmpl w:val="19B47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4035280">
    <w:abstractNumId w:val="12"/>
  </w:num>
  <w:num w:numId="2" w16cid:durableId="1725568101">
    <w:abstractNumId w:val="9"/>
  </w:num>
  <w:num w:numId="3" w16cid:durableId="835923800">
    <w:abstractNumId w:val="5"/>
  </w:num>
  <w:num w:numId="4" w16cid:durableId="1126121022">
    <w:abstractNumId w:val="2"/>
  </w:num>
  <w:num w:numId="5" w16cid:durableId="843863839">
    <w:abstractNumId w:val="10"/>
  </w:num>
  <w:num w:numId="6" w16cid:durableId="328411521">
    <w:abstractNumId w:val="0"/>
  </w:num>
  <w:num w:numId="7" w16cid:durableId="559291950">
    <w:abstractNumId w:val="14"/>
  </w:num>
  <w:num w:numId="8" w16cid:durableId="2015376347">
    <w:abstractNumId w:val="13"/>
  </w:num>
  <w:num w:numId="9" w16cid:durableId="78257101">
    <w:abstractNumId w:val="15"/>
  </w:num>
  <w:num w:numId="10" w16cid:durableId="975909601">
    <w:abstractNumId w:val="4"/>
  </w:num>
  <w:num w:numId="11" w16cid:durableId="353843162">
    <w:abstractNumId w:val="3"/>
  </w:num>
  <w:num w:numId="12" w16cid:durableId="542056434">
    <w:abstractNumId w:val="8"/>
  </w:num>
  <w:num w:numId="13" w16cid:durableId="263268327">
    <w:abstractNumId w:val="7"/>
  </w:num>
  <w:num w:numId="14" w16cid:durableId="2056853443">
    <w:abstractNumId w:val="1"/>
  </w:num>
  <w:num w:numId="15" w16cid:durableId="1256329843">
    <w:abstractNumId w:val="6"/>
  </w:num>
  <w:num w:numId="16" w16cid:durableId="192036064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035CC"/>
    <w:rsid w:val="00142973"/>
    <w:rsid w:val="00172AD1"/>
    <w:rsid w:val="001813E7"/>
    <w:rsid w:val="00190327"/>
    <w:rsid w:val="00196C28"/>
    <w:rsid w:val="00201EA1"/>
    <w:rsid w:val="002A1842"/>
    <w:rsid w:val="00313A7F"/>
    <w:rsid w:val="003F74D1"/>
    <w:rsid w:val="0043151C"/>
    <w:rsid w:val="0043270D"/>
    <w:rsid w:val="004468F8"/>
    <w:rsid w:val="00530E16"/>
    <w:rsid w:val="005765A1"/>
    <w:rsid w:val="00722EFE"/>
    <w:rsid w:val="007536F6"/>
    <w:rsid w:val="007577A9"/>
    <w:rsid w:val="007637E9"/>
    <w:rsid w:val="00786C68"/>
    <w:rsid w:val="008867B0"/>
    <w:rsid w:val="008E7834"/>
    <w:rsid w:val="00977C6B"/>
    <w:rsid w:val="009F60D1"/>
    <w:rsid w:val="00A75B15"/>
    <w:rsid w:val="00AE06EA"/>
    <w:rsid w:val="00B3070A"/>
    <w:rsid w:val="00B65ED6"/>
    <w:rsid w:val="00BA0043"/>
    <w:rsid w:val="00BB3C30"/>
    <w:rsid w:val="00C74263"/>
    <w:rsid w:val="00C87A5B"/>
    <w:rsid w:val="00C94A14"/>
    <w:rsid w:val="00CA192F"/>
    <w:rsid w:val="00CF650B"/>
    <w:rsid w:val="00D62A9C"/>
    <w:rsid w:val="00DB181C"/>
    <w:rsid w:val="00EE1AD3"/>
    <w:rsid w:val="00F618F2"/>
    <w:rsid w:val="00F82B52"/>
    <w:rsid w:val="00FA3CF6"/>
    <w:rsid w:val="00FE6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C34B2"/>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customStyle="1" w:styleId="paragraph">
    <w:name w:val="paragraph"/>
    <w:basedOn w:val="Normal"/>
    <w:rsid w:val="00201EA1"/>
    <w:pPr>
      <w:spacing w:before="100" w:beforeAutospacing="1" w:after="100" w:afterAutospacing="1" w:line="240" w:lineRule="auto"/>
    </w:pPr>
    <w:rPr>
      <w:rFonts w:ascii="Times New Roman" w:eastAsia="Times New Roman" w:hAnsi="Times New Roman" w:cs="Times New Roman"/>
    </w:rPr>
  </w:style>
  <w:style w:type="character" w:customStyle="1" w:styleId="normaltextrun">
    <w:name w:val="normaltextrun"/>
    <w:basedOn w:val="DefaultParagraphFont"/>
    <w:rsid w:val="00201EA1"/>
  </w:style>
  <w:style w:type="character" w:customStyle="1" w:styleId="eop">
    <w:name w:val="eop"/>
    <w:basedOn w:val="DefaultParagraphFont"/>
    <w:rsid w:val="00201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2297</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barbara campbell</cp:lastModifiedBy>
  <cp:revision>2</cp:revision>
  <dcterms:created xsi:type="dcterms:W3CDTF">2025-12-02T23:30:00Z</dcterms:created>
  <dcterms:modified xsi:type="dcterms:W3CDTF">2025-12-02T23:30:00Z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f4127a23-1674-4460-a7da-60031d7ae063</vt:lpwstr>
  </property>
</Properties>
</file>